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7E9E0">
      <w:pPr>
        <w:ind w:firstLine="0" w:firstLineChars="0"/>
        <w:jc w:val="center"/>
        <w:rPr>
          <w:rFonts w:ascii="方正小标宋简体" w:eastAsia="方正小标宋简体"/>
          <w:sz w:val="44"/>
          <w:szCs w:val="44"/>
        </w:rPr>
      </w:pPr>
    </w:p>
    <w:p w14:paraId="56F41203">
      <w:pPr>
        <w:ind w:firstLine="0" w:firstLineChars="0"/>
        <w:jc w:val="center"/>
        <w:rPr>
          <w:rFonts w:ascii="方正小标宋简体" w:eastAsia="方正小标宋简体"/>
          <w:sz w:val="44"/>
          <w:szCs w:val="44"/>
        </w:rPr>
      </w:pPr>
    </w:p>
    <w:p w14:paraId="6C63DC8C">
      <w:pPr>
        <w:ind w:firstLine="0" w:firstLineChars="0"/>
        <w:jc w:val="center"/>
        <w:rPr>
          <w:rFonts w:ascii="方正小标宋简体" w:eastAsia="方正小标宋简体"/>
          <w:sz w:val="44"/>
          <w:szCs w:val="44"/>
        </w:rPr>
      </w:pPr>
    </w:p>
    <w:p w14:paraId="4E10D06F">
      <w:pPr>
        <w:spacing w:line="240" w:lineRule="auto"/>
        <w:ind w:firstLine="0" w:firstLineChars="0"/>
        <w:jc w:val="center"/>
        <w:rPr>
          <w:rFonts w:ascii="方正小标宋简体" w:eastAsia="方正小标宋简体"/>
          <w:sz w:val="44"/>
          <w:szCs w:val="44"/>
        </w:rPr>
      </w:pPr>
      <w:r>
        <w:rPr>
          <w:rFonts w:hint="eastAsia" w:ascii="方正小标宋简体" w:eastAsia="方正小标宋简体"/>
          <w:sz w:val="44"/>
          <w:szCs w:val="44"/>
        </w:rPr>
        <w:t>广东省地方标准</w:t>
      </w:r>
    </w:p>
    <w:p w14:paraId="7619099D">
      <w:pPr>
        <w:spacing w:line="240" w:lineRule="auto"/>
        <w:ind w:firstLine="0" w:firstLineChars="0"/>
        <w:jc w:val="center"/>
        <w:rPr>
          <w:rFonts w:ascii="方正小标宋简体" w:eastAsia="方正小标宋简体"/>
          <w:sz w:val="44"/>
          <w:szCs w:val="44"/>
        </w:rPr>
      </w:pPr>
      <w:r>
        <w:rPr>
          <w:rFonts w:hint="eastAsia" w:ascii="方正小标宋简体" w:eastAsia="方正小标宋简体"/>
          <w:sz w:val="44"/>
          <w:szCs w:val="44"/>
        </w:rPr>
        <w:t>《经营性自建房消防安全管理规范》</w:t>
      </w:r>
    </w:p>
    <w:p w14:paraId="3992BD54">
      <w:pPr>
        <w:spacing w:line="240" w:lineRule="auto"/>
        <w:ind w:firstLine="0" w:firstLineChars="0"/>
        <w:jc w:val="center"/>
        <w:rPr>
          <w:rFonts w:ascii="方正小标宋简体" w:eastAsia="方正小标宋简体"/>
          <w:sz w:val="44"/>
          <w:szCs w:val="44"/>
        </w:rPr>
      </w:pPr>
      <w:r>
        <w:rPr>
          <w:rFonts w:hint="eastAsia" w:ascii="方正小标宋简体" w:eastAsia="方正小标宋简体"/>
          <w:sz w:val="44"/>
          <w:szCs w:val="44"/>
        </w:rPr>
        <w:t>（征求意见稿）</w:t>
      </w:r>
    </w:p>
    <w:p w14:paraId="4D760B91">
      <w:pPr>
        <w:ind w:firstLine="0" w:firstLineChars="0"/>
        <w:jc w:val="center"/>
        <w:rPr>
          <w:rFonts w:ascii="方正小标宋简体" w:eastAsia="方正小标宋简体"/>
          <w:sz w:val="44"/>
          <w:szCs w:val="44"/>
        </w:rPr>
      </w:pPr>
    </w:p>
    <w:p w14:paraId="44A6A187">
      <w:pPr>
        <w:ind w:firstLine="0" w:firstLineChars="0"/>
        <w:jc w:val="center"/>
        <w:rPr>
          <w:rFonts w:ascii="方正小标宋简体" w:eastAsia="方正小标宋简体"/>
          <w:sz w:val="44"/>
          <w:szCs w:val="44"/>
        </w:rPr>
      </w:pPr>
    </w:p>
    <w:p w14:paraId="478F8871">
      <w:pPr>
        <w:ind w:firstLine="0" w:firstLineChars="0"/>
        <w:jc w:val="center"/>
        <w:rPr>
          <w:rFonts w:ascii="方正小标宋简体" w:eastAsia="方正小标宋简体"/>
          <w:sz w:val="44"/>
          <w:szCs w:val="44"/>
        </w:rPr>
      </w:pPr>
      <w:r>
        <w:rPr>
          <w:rFonts w:hint="eastAsia" w:ascii="方正小标宋简体" w:eastAsia="方正小标宋简体"/>
          <w:sz w:val="44"/>
          <w:szCs w:val="44"/>
        </w:rPr>
        <w:t>编制说明</w:t>
      </w:r>
    </w:p>
    <w:p w14:paraId="68722D11">
      <w:pPr>
        <w:ind w:firstLine="0" w:firstLineChars="0"/>
        <w:jc w:val="center"/>
        <w:rPr>
          <w:rFonts w:ascii="方正小标宋简体" w:eastAsia="方正小标宋简体"/>
          <w:sz w:val="44"/>
          <w:szCs w:val="44"/>
        </w:rPr>
      </w:pPr>
    </w:p>
    <w:p w14:paraId="7F37D318">
      <w:pPr>
        <w:ind w:firstLine="0" w:firstLineChars="0"/>
        <w:jc w:val="center"/>
        <w:rPr>
          <w:rFonts w:ascii="方正小标宋简体" w:eastAsia="方正小标宋简体"/>
          <w:sz w:val="44"/>
          <w:szCs w:val="44"/>
        </w:rPr>
      </w:pPr>
    </w:p>
    <w:p w14:paraId="1BAA2B78">
      <w:pPr>
        <w:ind w:firstLine="0" w:firstLineChars="0"/>
        <w:jc w:val="center"/>
        <w:rPr>
          <w:rFonts w:ascii="方正小标宋简体" w:eastAsia="方正小标宋简体"/>
          <w:sz w:val="44"/>
          <w:szCs w:val="44"/>
        </w:rPr>
      </w:pPr>
    </w:p>
    <w:p w14:paraId="6A5255DC">
      <w:pPr>
        <w:ind w:firstLine="0" w:firstLineChars="0"/>
        <w:jc w:val="center"/>
        <w:rPr>
          <w:rFonts w:ascii="方正小标宋简体" w:eastAsia="方正小标宋简体"/>
          <w:sz w:val="44"/>
          <w:szCs w:val="44"/>
        </w:rPr>
      </w:pPr>
    </w:p>
    <w:p w14:paraId="73B4CCC2">
      <w:pPr>
        <w:ind w:firstLine="0" w:firstLineChars="0"/>
        <w:jc w:val="center"/>
        <w:rPr>
          <w:rFonts w:ascii="方正小标宋简体" w:eastAsia="方正小标宋简体"/>
          <w:sz w:val="44"/>
          <w:szCs w:val="44"/>
        </w:rPr>
      </w:pPr>
    </w:p>
    <w:p w14:paraId="7A2027A2">
      <w:pPr>
        <w:ind w:firstLine="0" w:firstLineChars="0"/>
        <w:jc w:val="center"/>
        <w:rPr>
          <w:rFonts w:ascii="方正小标宋简体" w:eastAsia="方正小标宋简体"/>
          <w:sz w:val="44"/>
          <w:szCs w:val="44"/>
        </w:rPr>
      </w:pPr>
    </w:p>
    <w:p w14:paraId="3E9D671D">
      <w:pPr>
        <w:ind w:firstLine="0" w:firstLineChars="0"/>
        <w:jc w:val="center"/>
        <w:rPr>
          <w:rFonts w:ascii="方正小标宋简体" w:eastAsia="方正小标宋简体"/>
          <w:sz w:val="44"/>
          <w:szCs w:val="44"/>
        </w:rPr>
      </w:pPr>
    </w:p>
    <w:p w14:paraId="3789A7B7">
      <w:pPr>
        <w:ind w:firstLine="0" w:firstLineChars="0"/>
        <w:jc w:val="center"/>
        <w:rPr>
          <w:rFonts w:ascii="方正小标宋简体" w:eastAsia="方正小标宋简体"/>
          <w:sz w:val="44"/>
          <w:szCs w:val="44"/>
        </w:rPr>
      </w:pPr>
    </w:p>
    <w:p w14:paraId="36F3EBB3">
      <w:pPr>
        <w:ind w:firstLine="0" w:firstLineChars="0"/>
        <w:jc w:val="center"/>
        <w:rPr>
          <w:rFonts w:ascii="方正小标宋简体" w:eastAsia="方正小标宋简体"/>
          <w:sz w:val="44"/>
          <w:szCs w:val="44"/>
        </w:rPr>
      </w:pPr>
    </w:p>
    <w:p w14:paraId="46A61229">
      <w:pPr>
        <w:ind w:firstLine="0" w:firstLineChars="0"/>
        <w:jc w:val="center"/>
        <w:rPr>
          <w:rFonts w:ascii="方正小标宋简体" w:eastAsia="方正小标宋简体"/>
          <w:sz w:val="44"/>
          <w:szCs w:val="44"/>
        </w:rPr>
      </w:pPr>
    </w:p>
    <w:p w14:paraId="6C138A74">
      <w:pPr>
        <w:widowControl/>
        <w:spacing w:after="160" w:line="278" w:lineRule="auto"/>
        <w:ind w:firstLine="0" w:firstLineChars="0"/>
        <w:jc w:val="center"/>
        <w:rPr>
          <w:rFonts w:ascii="方正小标宋简体" w:eastAsia="方正小标宋简体"/>
          <w:szCs w:val="32"/>
        </w:rPr>
      </w:pPr>
      <w:r>
        <w:rPr>
          <w:rFonts w:hint="eastAsia" w:ascii="方正小标宋简体" w:eastAsia="方正小标宋简体"/>
          <w:szCs w:val="32"/>
        </w:rPr>
        <w:t>《经营性自建房消防安全管理规范》标准编制组</w:t>
      </w:r>
    </w:p>
    <w:p w14:paraId="44B382FF">
      <w:pPr>
        <w:ind w:firstLine="640"/>
      </w:pPr>
    </w:p>
    <w:p w14:paraId="35B5380B">
      <w:pPr>
        <w:widowControl/>
        <w:spacing w:after="160" w:line="278" w:lineRule="auto"/>
        <w:ind w:firstLine="0" w:firstLineChars="0"/>
        <w:jc w:val="center"/>
        <w:rPr>
          <w:szCs w:val="32"/>
        </w:rPr>
      </w:pPr>
      <w:r>
        <w:rPr>
          <w:rFonts w:hint="eastAsia" w:ascii="方正小标宋简体" w:eastAsia="方正小标宋简体"/>
          <w:szCs w:val="32"/>
        </w:rPr>
        <w:t>2025年</w:t>
      </w:r>
      <w:r>
        <w:rPr>
          <w:rFonts w:hint="eastAsia" w:ascii="方正小标宋简体" w:eastAsia="方正小标宋简体"/>
          <w:szCs w:val="32"/>
          <w:lang w:val="en-US" w:eastAsia="zh-CN"/>
        </w:rPr>
        <w:t>10</w:t>
      </w:r>
      <w:r>
        <w:rPr>
          <w:rFonts w:hint="eastAsia" w:ascii="方正小标宋简体" w:eastAsia="方正小标宋简体"/>
          <w:szCs w:val="32"/>
        </w:rPr>
        <w:t>月</w:t>
      </w:r>
      <w:r>
        <w:rPr>
          <w:szCs w:val="32"/>
        </w:rPr>
        <w:br w:type="page"/>
      </w:r>
    </w:p>
    <w:sdt>
      <w:sdtPr>
        <w:rPr>
          <w:rFonts w:ascii="宋体" w:hAnsi="宋体" w:eastAsia="宋体"/>
          <w:sz w:val="21"/>
        </w:rPr>
        <w:id w:val="147476729"/>
        <w15:color w:val="DBDBDB"/>
        <w:docPartObj>
          <w:docPartGallery w:val="Table of Contents"/>
          <w:docPartUnique/>
        </w:docPartObj>
      </w:sdtPr>
      <w:sdtEndPr>
        <w:rPr>
          <w:rFonts w:ascii="宋体" w:hAnsi="宋体" w:eastAsia="宋体"/>
          <w:sz w:val="21"/>
        </w:rPr>
      </w:sdtEndPr>
      <w:sdtContent>
        <w:p w14:paraId="0433DBCF">
          <w:pPr>
            <w:spacing w:line="240" w:lineRule="auto"/>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5484578F">
          <w:pPr>
            <w:pStyle w:val="13"/>
            <w:tabs>
              <w:tab w:val="right" w:leader="dot" w:pos="8306"/>
            </w:tabs>
            <w:ind w:firstLine="640"/>
          </w:pPr>
          <w:r>
            <w:fldChar w:fldCharType="begin"/>
          </w:r>
          <w:r>
            <w:instrText xml:space="preserve">TOC \o "1-1" \h \u </w:instrText>
          </w:r>
          <w:r>
            <w:fldChar w:fldCharType="separate"/>
          </w:r>
          <w:r>
            <w:fldChar w:fldCharType="begin"/>
          </w:r>
          <w:r>
            <w:instrText xml:space="preserve"> HYPERLINK \l "_Toc24435" </w:instrText>
          </w:r>
          <w:r>
            <w:fldChar w:fldCharType="separate"/>
          </w:r>
          <w:r>
            <w:rPr>
              <w:rFonts w:hint="eastAsia" w:ascii="黑体" w:hAnsi="黑体" w:eastAsia="黑体"/>
            </w:rPr>
            <w:t>一、编制背景</w:t>
          </w:r>
          <w:r>
            <w:tab/>
          </w:r>
          <w:r>
            <w:fldChar w:fldCharType="begin"/>
          </w:r>
          <w:r>
            <w:instrText xml:space="preserve"> PAGEREF _Toc24435 \h </w:instrText>
          </w:r>
          <w:r>
            <w:fldChar w:fldCharType="separate"/>
          </w:r>
          <w:r>
            <w:t>1</w:t>
          </w:r>
          <w:r>
            <w:fldChar w:fldCharType="end"/>
          </w:r>
          <w:r>
            <w:fldChar w:fldCharType="end"/>
          </w:r>
        </w:p>
        <w:p w14:paraId="741FEE19">
          <w:pPr>
            <w:pStyle w:val="13"/>
            <w:tabs>
              <w:tab w:val="right" w:leader="dot" w:pos="8306"/>
            </w:tabs>
            <w:ind w:firstLine="640"/>
          </w:pPr>
          <w:r>
            <w:fldChar w:fldCharType="begin"/>
          </w:r>
          <w:r>
            <w:instrText xml:space="preserve"> HYPERLINK \l "_Toc3768" </w:instrText>
          </w:r>
          <w:r>
            <w:fldChar w:fldCharType="separate"/>
          </w:r>
          <w:r>
            <w:rPr>
              <w:rFonts w:hint="eastAsia" w:ascii="黑体" w:hAnsi="黑体" w:eastAsia="黑体"/>
            </w:rPr>
            <w:t>二、任务来源</w:t>
          </w:r>
          <w:r>
            <w:tab/>
          </w:r>
          <w:r>
            <w:fldChar w:fldCharType="begin"/>
          </w:r>
          <w:r>
            <w:instrText xml:space="preserve"> PAGEREF _Toc3768 \h </w:instrText>
          </w:r>
          <w:r>
            <w:fldChar w:fldCharType="separate"/>
          </w:r>
          <w:r>
            <w:t>1</w:t>
          </w:r>
          <w:r>
            <w:fldChar w:fldCharType="end"/>
          </w:r>
          <w:r>
            <w:fldChar w:fldCharType="end"/>
          </w:r>
        </w:p>
        <w:p w14:paraId="07FE3D88">
          <w:pPr>
            <w:pStyle w:val="13"/>
            <w:tabs>
              <w:tab w:val="right" w:leader="dot" w:pos="8306"/>
            </w:tabs>
            <w:ind w:firstLine="640"/>
          </w:pPr>
          <w:r>
            <w:fldChar w:fldCharType="begin"/>
          </w:r>
          <w:r>
            <w:instrText xml:space="preserve"> HYPERLINK \l "_Toc17802" </w:instrText>
          </w:r>
          <w:r>
            <w:fldChar w:fldCharType="separate"/>
          </w:r>
          <w:r>
            <w:rPr>
              <w:rFonts w:hint="eastAsia" w:ascii="黑体" w:hAnsi="黑体" w:eastAsia="黑体"/>
            </w:rPr>
            <w:t>三、标准编制原则</w:t>
          </w:r>
          <w:r>
            <w:tab/>
          </w:r>
          <w:r>
            <w:fldChar w:fldCharType="begin"/>
          </w:r>
          <w:r>
            <w:instrText xml:space="preserve"> PAGEREF _Toc17802 \h </w:instrText>
          </w:r>
          <w:r>
            <w:fldChar w:fldCharType="separate"/>
          </w:r>
          <w:r>
            <w:t>2</w:t>
          </w:r>
          <w:r>
            <w:fldChar w:fldCharType="end"/>
          </w:r>
          <w:r>
            <w:fldChar w:fldCharType="end"/>
          </w:r>
        </w:p>
        <w:p w14:paraId="3F8B350A">
          <w:pPr>
            <w:pStyle w:val="13"/>
            <w:tabs>
              <w:tab w:val="right" w:leader="dot" w:pos="8306"/>
            </w:tabs>
            <w:ind w:firstLine="640"/>
          </w:pPr>
          <w:r>
            <w:fldChar w:fldCharType="begin"/>
          </w:r>
          <w:r>
            <w:instrText xml:space="preserve"> HYPERLINK \l "_Toc21985" </w:instrText>
          </w:r>
          <w:r>
            <w:fldChar w:fldCharType="separate"/>
          </w:r>
          <w:r>
            <w:rPr>
              <w:rFonts w:hint="eastAsia" w:ascii="黑体" w:hAnsi="黑体" w:eastAsia="黑体"/>
            </w:rPr>
            <w:t>四、标准框架、主要内容及其依据</w:t>
          </w:r>
          <w:r>
            <w:tab/>
          </w:r>
          <w:r>
            <w:fldChar w:fldCharType="begin"/>
          </w:r>
          <w:r>
            <w:instrText xml:space="preserve"> PAGEREF _Toc21985 \h </w:instrText>
          </w:r>
          <w:r>
            <w:fldChar w:fldCharType="separate"/>
          </w:r>
          <w:r>
            <w:t>2</w:t>
          </w:r>
          <w:r>
            <w:fldChar w:fldCharType="end"/>
          </w:r>
          <w:r>
            <w:fldChar w:fldCharType="end"/>
          </w:r>
        </w:p>
        <w:p w14:paraId="5A7EA808">
          <w:pPr>
            <w:pStyle w:val="13"/>
            <w:tabs>
              <w:tab w:val="right" w:leader="dot" w:pos="8306"/>
            </w:tabs>
            <w:ind w:firstLine="640"/>
          </w:pPr>
          <w:r>
            <w:fldChar w:fldCharType="begin"/>
          </w:r>
          <w:r>
            <w:instrText xml:space="preserve"> HYPERLINK \l "_Toc15972" </w:instrText>
          </w:r>
          <w:r>
            <w:fldChar w:fldCharType="separate"/>
          </w:r>
          <w:r>
            <w:rPr>
              <w:rFonts w:hint="eastAsia" w:ascii="黑体" w:hAnsi="黑体" w:eastAsia="黑体"/>
            </w:rPr>
            <w:t>五、与现行法律法规</w:t>
          </w:r>
          <w:bookmarkStart w:id="8" w:name="_GoBack"/>
          <w:bookmarkEnd w:id="8"/>
          <w:r>
            <w:rPr>
              <w:rFonts w:hint="eastAsia" w:ascii="黑体" w:hAnsi="黑体" w:eastAsia="黑体"/>
            </w:rPr>
            <w:t>、强制性标准等上位标准关系</w:t>
          </w:r>
          <w:r>
            <w:tab/>
          </w:r>
          <w:r>
            <w:fldChar w:fldCharType="begin"/>
          </w:r>
          <w:r>
            <w:instrText xml:space="preserve"> PAGEREF _Toc15972 \h </w:instrText>
          </w:r>
          <w:r>
            <w:fldChar w:fldCharType="separate"/>
          </w:r>
          <w:r>
            <w:t>5</w:t>
          </w:r>
          <w:r>
            <w:fldChar w:fldCharType="end"/>
          </w:r>
          <w:r>
            <w:fldChar w:fldCharType="end"/>
          </w:r>
        </w:p>
        <w:p w14:paraId="48012E39">
          <w:pPr>
            <w:pStyle w:val="13"/>
            <w:tabs>
              <w:tab w:val="right" w:leader="dot" w:pos="8306"/>
            </w:tabs>
            <w:ind w:firstLine="640"/>
          </w:pPr>
          <w:r>
            <w:fldChar w:fldCharType="begin"/>
          </w:r>
          <w:r>
            <w:instrText xml:space="preserve"> HYPERLINK \l "_Toc20596" </w:instrText>
          </w:r>
          <w:r>
            <w:fldChar w:fldCharType="separate"/>
          </w:r>
          <w:r>
            <w:rPr>
              <w:rFonts w:hint="eastAsia" w:ascii="黑体" w:hAnsi="黑体" w:eastAsia="黑体"/>
            </w:rPr>
            <w:t>六、标准的先进性、特色性</w:t>
          </w:r>
          <w:r>
            <w:tab/>
          </w:r>
          <w:r>
            <w:fldChar w:fldCharType="begin"/>
          </w:r>
          <w:r>
            <w:instrText xml:space="preserve"> PAGEREF _Toc20596 \h </w:instrText>
          </w:r>
          <w:r>
            <w:fldChar w:fldCharType="separate"/>
          </w:r>
          <w:r>
            <w:t>6</w:t>
          </w:r>
          <w:r>
            <w:fldChar w:fldCharType="end"/>
          </w:r>
          <w:r>
            <w:fldChar w:fldCharType="end"/>
          </w:r>
        </w:p>
        <w:p w14:paraId="70570916">
          <w:pPr>
            <w:pStyle w:val="13"/>
            <w:tabs>
              <w:tab w:val="right" w:leader="dot" w:pos="8306"/>
            </w:tabs>
            <w:ind w:firstLine="640"/>
          </w:pPr>
          <w:r>
            <w:fldChar w:fldCharType="begin"/>
          </w:r>
          <w:r>
            <w:instrText xml:space="preserve"> HYPERLINK \l "_Toc12015" </w:instrText>
          </w:r>
          <w:r>
            <w:fldChar w:fldCharType="separate"/>
          </w:r>
          <w:r>
            <w:rPr>
              <w:rFonts w:hint="eastAsia" w:ascii="黑体" w:hAnsi="黑体" w:eastAsia="黑体"/>
            </w:rPr>
            <w:t>七、主要起草过程</w:t>
          </w:r>
          <w:r>
            <w:tab/>
          </w:r>
          <w:r>
            <w:fldChar w:fldCharType="begin"/>
          </w:r>
          <w:r>
            <w:instrText xml:space="preserve"> PAGEREF _Toc12015 \h </w:instrText>
          </w:r>
          <w:r>
            <w:fldChar w:fldCharType="separate"/>
          </w:r>
          <w:r>
            <w:t>7</w:t>
          </w:r>
          <w:r>
            <w:fldChar w:fldCharType="end"/>
          </w:r>
          <w:r>
            <w:fldChar w:fldCharType="end"/>
          </w:r>
        </w:p>
        <w:p w14:paraId="56047CAA">
          <w:pPr>
            <w:pStyle w:val="13"/>
            <w:tabs>
              <w:tab w:val="right" w:leader="dot" w:pos="8306"/>
            </w:tabs>
            <w:ind w:firstLine="640"/>
          </w:pPr>
          <w:r>
            <w:fldChar w:fldCharType="begin"/>
          </w:r>
          <w:r>
            <w:instrText xml:space="preserve"> HYPERLINK \l "_Toc12078" </w:instrText>
          </w:r>
          <w:r>
            <w:fldChar w:fldCharType="separate"/>
          </w:r>
          <w:r>
            <w:rPr>
              <w:rFonts w:hint="eastAsia" w:ascii="黑体" w:hAnsi="黑体" w:eastAsia="黑体"/>
            </w:rPr>
            <w:t>八、其他应当说明的事项</w:t>
          </w:r>
          <w:r>
            <w:tab/>
          </w:r>
          <w:r>
            <w:fldChar w:fldCharType="begin"/>
          </w:r>
          <w:r>
            <w:instrText xml:space="preserve"> PAGEREF _Toc12078 \h </w:instrText>
          </w:r>
          <w:r>
            <w:fldChar w:fldCharType="separate"/>
          </w:r>
          <w:r>
            <w:t>8</w:t>
          </w:r>
          <w:r>
            <w:fldChar w:fldCharType="end"/>
          </w:r>
          <w:r>
            <w:fldChar w:fldCharType="end"/>
          </w:r>
        </w:p>
        <w:p w14:paraId="052F605A">
          <w:pPr>
            <w:ind w:firstLine="640"/>
          </w:pPr>
          <w:r>
            <w:fldChar w:fldCharType="end"/>
          </w:r>
        </w:p>
      </w:sdtContent>
    </w:sdt>
    <w:p w14:paraId="059000F7">
      <w:pPr>
        <w:ind w:firstLine="640"/>
      </w:pPr>
    </w:p>
    <w:p w14:paraId="0081B3EA">
      <w:pPr>
        <w:ind w:firstLine="640"/>
        <w:outlineLvl w:val="0"/>
        <w:rPr>
          <w:rFonts w:hint="eastAsia" w:ascii="黑体" w:hAnsi="黑体" w:eastAsia="黑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bookmarkStart w:id="0" w:name="_Toc24435"/>
    </w:p>
    <w:p w14:paraId="0ADFC39F">
      <w:pPr>
        <w:ind w:firstLine="640"/>
        <w:outlineLvl w:val="0"/>
        <w:rPr>
          <w:rFonts w:hint="eastAsia" w:ascii="黑体" w:hAnsi="黑体" w:eastAsia="黑体"/>
        </w:rPr>
      </w:pPr>
      <w:r>
        <w:rPr>
          <w:rFonts w:hint="eastAsia" w:ascii="黑体" w:hAnsi="黑体" w:eastAsia="黑体"/>
        </w:rPr>
        <w:t>一、编制背景</w:t>
      </w:r>
      <w:bookmarkEnd w:id="0"/>
    </w:p>
    <w:p w14:paraId="4560534D">
      <w:pPr>
        <w:ind w:firstLine="640"/>
      </w:pPr>
      <w:bookmarkStart w:id="1" w:name="_Toc3768"/>
      <w:r>
        <w:t>随着城乡经济的发展，自建房用于生产经营活动日益普遍，经营性自建房数量持续增长</w:t>
      </w:r>
      <w:r>
        <w:rPr>
          <w:rFonts w:hint="eastAsia"/>
        </w:rPr>
        <w:t>。经营性自建房</w:t>
      </w:r>
      <w:r>
        <w:t>业态多样，在</w:t>
      </w:r>
      <w:r>
        <w:rPr>
          <w:rFonts w:hint="eastAsia"/>
        </w:rPr>
        <w:t>盘活利用房屋、</w:t>
      </w:r>
      <w:r>
        <w:t>促进</w:t>
      </w:r>
      <w:r>
        <w:rPr>
          <w:rFonts w:hint="eastAsia"/>
        </w:rPr>
        <w:t>劳动</w:t>
      </w:r>
      <w:r>
        <w:t>就业、方便群众生活的同时，</w:t>
      </w:r>
      <w:r>
        <w:rPr>
          <w:rFonts w:hint="eastAsia"/>
        </w:rPr>
        <w:t>经营性自建房的经营行为给消防安全带来了严峻的挑战。近年来发生的经营性自建房亡人火灾事故，例如广州市海珠区海幢街5·14较大火灾事故、阳江市阳西县溪头镇宏观日杂店11·5较大火灾事故、潮州市饶平县三饶镇“4·15”较大火灾事故等，暴露出经营性自建房</w:t>
      </w:r>
      <w:r>
        <w:t>存在</w:t>
      </w:r>
      <w:r>
        <w:rPr>
          <w:rFonts w:hint="eastAsia"/>
        </w:rPr>
        <w:t>消防安全</w:t>
      </w:r>
      <w:r>
        <w:t>责任不清</w:t>
      </w:r>
      <w:r>
        <w:rPr>
          <w:rFonts w:hint="eastAsia"/>
        </w:rPr>
        <w:t>、消防安全管理薄弱、</w:t>
      </w:r>
      <w:r>
        <w:t>消防设施</w:t>
      </w:r>
      <w:r>
        <w:rPr>
          <w:rFonts w:hint="eastAsia"/>
        </w:rPr>
        <w:t>缺失、安全疏散条件不足</w:t>
      </w:r>
      <w:r>
        <w:t>等问题</w:t>
      </w:r>
      <w:r>
        <w:rPr>
          <w:rFonts w:hint="eastAsia"/>
        </w:rPr>
        <w:t>。</w:t>
      </w:r>
    </w:p>
    <w:p w14:paraId="1B687A38">
      <w:pPr>
        <w:ind w:firstLine="640"/>
      </w:pPr>
      <w:r>
        <w:t>为切实规范经营性自建房的消防安全管理，压实各方</w:t>
      </w:r>
      <w:r>
        <w:rPr>
          <w:rFonts w:hint="eastAsia"/>
        </w:rPr>
        <w:t>消防安全</w:t>
      </w:r>
      <w:r>
        <w:t>责任，提升</w:t>
      </w:r>
      <w:r>
        <w:rPr>
          <w:rFonts w:hint="eastAsia"/>
        </w:rPr>
        <w:t>消防</w:t>
      </w:r>
      <w:r>
        <w:t>安全</w:t>
      </w:r>
      <w:r>
        <w:rPr>
          <w:rFonts w:hint="eastAsia"/>
        </w:rPr>
        <w:t>管理</w:t>
      </w:r>
      <w:r>
        <w:t>水平，有效防范和遏制火灾事故发生，保障人民群众生命财产安全，亟需制定一部</w:t>
      </w:r>
      <w:r>
        <w:rPr>
          <w:rFonts w:hint="eastAsia" w:hAnsi="宋体" w:cs="宋体"/>
          <w:szCs w:val="21"/>
        </w:rPr>
        <w:t>适用于经营性自建房开展消防安全管理</w:t>
      </w:r>
      <w:r>
        <w:rPr>
          <w:rFonts w:hint="eastAsia"/>
        </w:rPr>
        <w:t>的</w:t>
      </w:r>
      <w:r>
        <w:t>地方标准。本标准旨在系统梳理经营性自建房消防安全管理要求，明确管理责任，细化管理措施，为全省经营性自建房消防安全管理提供统一、规范的技术依据。</w:t>
      </w:r>
    </w:p>
    <w:p w14:paraId="12256BD8">
      <w:pPr>
        <w:ind w:firstLine="640"/>
        <w:outlineLvl w:val="0"/>
        <w:rPr>
          <w:rFonts w:hint="eastAsia" w:ascii="黑体" w:hAnsi="黑体" w:eastAsia="黑体"/>
        </w:rPr>
      </w:pPr>
      <w:r>
        <w:rPr>
          <w:rFonts w:hint="eastAsia" w:ascii="黑体" w:hAnsi="黑体" w:eastAsia="黑体"/>
        </w:rPr>
        <w:t>二、任务来源</w:t>
      </w:r>
      <w:bookmarkEnd w:id="1"/>
    </w:p>
    <w:p w14:paraId="40A70B78">
      <w:pPr>
        <w:ind w:firstLine="640"/>
      </w:pPr>
      <w:r>
        <w:rPr>
          <w:rFonts w:hint="eastAsia"/>
        </w:rPr>
        <w:t>根据广东省市场监督管理局《关于批准下达2022年第一批广东省地方标准制修订计划的通知》（粤市监标准〔2022〕379号）要求，地方标准《经营性自建房消防安全管理规范》（原名称为《农村自建房消防安全技术要求》）制定项目由广东省消防救援总队提出。</w:t>
      </w:r>
    </w:p>
    <w:p w14:paraId="636FD7CD">
      <w:pPr>
        <w:ind w:firstLine="640"/>
      </w:pPr>
      <w:r>
        <w:rPr>
          <w:rFonts w:hint="eastAsia"/>
        </w:rPr>
        <w:t>本文件起草单位包括：广东省消防救援总队、中国科学技术大学火灾科学国家重点实验室。</w:t>
      </w:r>
    </w:p>
    <w:p w14:paraId="54B6D22D">
      <w:pPr>
        <w:ind w:firstLine="640"/>
        <w:outlineLvl w:val="0"/>
        <w:rPr>
          <w:rFonts w:hint="eastAsia" w:ascii="黑体" w:hAnsi="黑体" w:eastAsia="黑体"/>
        </w:rPr>
      </w:pPr>
      <w:bookmarkStart w:id="2" w:name="_Toc17802"/>
      <w:r>
        <w:rPr>
          <w:rFonts w:hint="eastAsia" w:ascii="黑体" w:hAnsi="黑体" w:eastAsia="黑体"/>
        </w:rPr>
        <w:t>三、标准编制原则</w:t>
      </w:r>
      <w:bookmarkEnd w:id="2"/>
    </w:p>
    <w:p w14:paraId="04A9E81C">
      <w:pPr>
        <w:ind w:firstLine="640"/>
      </w:pPr>
      <w:r>
        <w:rPr>
          <w:rFonts w:hint="eastAsia"/>
        </w:rPr>
        <w:t>本标准编制遵循以下原则：</w:t>
      </w:r>
    </w:p>
    <w:p w14:paraId="053A32E6">
      <w:pPr>
        <w:ind w:firstLine="640"/>
      </w:pPr>
      <w:r>
        <w:rPr>
          <w:rFonts w:hint="eastAsia"/>
        </w:rPr>
        <w:t>科学性：紧密结合全国经营性自建房火灾事故教训和场所风险特点，依据消防法律法规和技术标准要求，确保消防安全管理措施科学有效。</w:t>
      </w:r>
    </w:p>
    <w:p w14:paraId="24BF41ED">
      <w:pPr>
        <w:ind w:firstLine="640"/>
      </w:pPr>
      <w:r>
        <w:rPr>
          <w:rFonts w:hint="eastAsia"/>
        </w:rPr>
        <w:t>适用性：立足广东省经营性自建房实际，聚焦消防安全管理难点，提出具有普遍适用性的消防安全管理措施。</w:t>
      </w:r>
    </w:p>
    <w:p w14:paraId="5850E68E">
      <w:pPr>
        <w:ind w:firstLine="640"/>
      </w:pPr>
      <w:r>
        <w:rPr>
          <w:rFonts w:hint="eastAsia"/>
        </w:rPr>
        <w:t>规范性：严格按照《标准化工作导则 第1部分：标准化文件的结构和起草规则》（GB/T 1.1-2020）的要求进行编写。</w:t>
      </w:r>
    </w:p>
    <w:p w14:paraId="32A9BE0A">
      <w:pPr>
        <w:ind w:firstLine="640"/>
      </w:pPr>
      <w:r>
        <w:rPr>
          <w:rFonts w:hint="eastAsia"/>
        </w:rPr>
        <w:t>可操作性：注重条款的实用性和可执行性，明确责任主体、管理内容和操作流程，为经营性自建房开展自我管理提供清晰指引。</w:t>
      </w:r>
    </w:p>
    <w:p w14:paraId="34EC410D">
      <w:pPr>
        <w:ind w:firstLine="640"/>
        <w:outlineLvl w:val="0"/>
        <w:rPr>
          <w:rFonts w:hint="eastAsia" w:ascii="黑体" w:hAnsi="黑体" w:eastAsia="黑体"/>
        </w:rPr>
      </w:pPr>
      <w:bookmarkStart w:id="3" w:name="_Toc21985"/>
      <w:r>
        <w:rPr>
          <w:rFonts w:hint="eastAsia" w:ascii="黑体" w:hAnsi="黑体" w:eastAsia="黑体"/>
        </w:rPr>
        <w:t>四、标准框架、主要内容及其依据</w:t>
      </w:r>
      <w:bookmarkEnd w:id="3"/>
    </w:p>
    <w:p w14:paraId="66886B22">
      <w:pPr>
        <w:ind w:firstLine="640"/>
        <w:rPr>
          <w:rFonts w:eastAsia="楷体_GB2312"/>
        </w:rPr>
      </w:pPr>
      <w:r>
        <w:rPr>
          <w:rFonts w:hint="eastAsia" w:eastAsia="楷体_GB2312"/>
        </w:rPr>
        <w:t>（一）范围</w:t>
      </w:r>
    </w:p>
    <w:p w14:paraId="1A82E845">
      <w:pPr>
        <w:ind w:firstLine="640"/>
      </w:pPr>
      <w:r>
        <w:rPr>
          <w:rFonts w:hint="eastAsia"/>
        </w:rPr>
        <w:t>本文件规定了经营性自建房消防安全管理的要求，包括总则、消防安全责任、消防安全管理、重点场所消防安全管理、应急处置。</w:t>
      </w:r>
    </w:p>
    <w:p w14:paraId="2B156EA4">
      <w:pPr>
        <w:ind w:firstLine="640"/>
      </w:pPr>
      <w:r>
        <w:rPr>
          <w:rFonts w:hint="eastAsia"/>
        </w:rPr>
        <w:t>本文件适用于生产加工和商业营业活动的经营性自建房消防安全管理，仓储、出租居住等相似用途的经营性自建房消防安全管理可参照执行。</w:t>
      </w:r>
    </w:p>
    <w:p w14:paraId="70425FAB">
      <w:pPr>
        <w:ind w:firstLine="640"/>
        <w:rPr>
          <w:rFonts w:eastAsia="楷体_GB2312"/>
        </w:rPr>
      </w:pPr>
      <w:r>
        <w:rPr>
          <w:rFonts w:hint="eastAsia" w:eastAsia="楷体_GB2312"/>
        </w:rPr>
        <w:t>（二）规范性引用文件</w:t>
      </w:r>
    </w:p>
    <w:p w14:paraId="3D5D1802">
      <w:pPr>
        <w:ind w:firstLine="640"/>
      </w:pPr>
      <w:r>
        <w:rPr>
          <w:rFonts w:hint="eastAsia"/>
        </w:rPr>
        <w:t>本标准的规范性引用文件包括下列标准：</w:t>
      </w:r>
    </w:p>
    <w:p w14:paraId="376EEC5A">
      <w:pPr>
        <w:ind w:firstLine="640"/>
      </w:pPr>
      <w:r>
        <w:rPr>
          <w:rFonts w:hint="eastAsia"/>
        </w:rPr>
        <w:t>GB 21976.1  建筑火灾逃生避难器材 第1部分：配备指南</w:t>
      </w:r>
    </w:p>
    <w:p w14:paraId="356E1A8D">
      <w:pPr>
        <w:ind w:firstLine="640"/>
      </w:pPr>
      <w:r>
        <w:rPr>
          <w:rFonts w:hint="eastAsia"/>
        </w:rPr>
        <w:t>GB 25201  建筑消防设施的维护管理</w:t>
      </w:r>
    </w:p>
    <w:p w14:paraId="5BFD759A">
      <w:pPr>
        <w:ind w:firstLine="640"/>
      </w:pPr>
      <w:r>
        <w:rPr>
          <w:rFonts w:hint="eastAsia"/>
        </w:rPr>
        <w:t>GB/T 40248  人员密集场所消防安全管理</w:t>
      </w:r>
    </w:p>
    <w:p w14:paraId="259581BE">
      <w:pPr>
        <w:ind w:firstLine="640"/>
      </w:pPr>
      <w:r>
        <w:rPr>
          <w:rFonts w:hint="eastAsia"/>
        </w:rPr>
        <w:t>GB/T 44481  建筑消防设施检测技术规范</w:t>
      </w:r>
    </w:p>
    <w:p w14:paraId="739F25F8">
      <w:pPr>
        <w:ind w:firstLine="640"/>
      </w:pPr>
      <w:r>
        <w:rPr>
          <w:rFonts w:hint="eastAsia"/>
        </w:rPr>
        <w:t>GB 50140  建筑灭火器配置设计规范</w:t>
      </w:r>
    </w:p>
    <w:p w14:paraId="3B809407">
      <w:pPr>
        <w:ind w:firstLine="640"/>
      </w:pPr>
      <w:r>
        <w:rPr>
          <w:rFonts w:hint="eastAsia"/>
        </w:rPr>
        <w:t>XF 703  住宿与生产储存经营合用场所消防安全技术要求</w:t>
      </w:r>
    </w:p>
    <w:p w14:paraId="4EBBB0FA">
      <w:pPr>
        <w:ind w:firstLine="640"/>
      </w:pPr>
      <w:r>
        <w:rPr>
          <w:rFonts w:hint="eastAsia"/>
        </w:rPr>
        <w:t>XF 1131  仓储场所消防安全管理通则</w:t>
      </w:r>
    </w:p>
    <w:p w14:paraId="118137E5">
      <w:pPr>
        <w:ind w:firstLine="640"/>
      </w:pPr>
      <w:r>
        <w:rPr>
          <w:rFonts w:hint="eastAsia"/>
        </w:rPr>
        <w:t>XF/T 1245  多产权建筑消防安全管理</w:t>
      </w:r>
    </w:p>
    <w:p w14:paraId="254A1433">
      <w:pPr>
        <w:ind w:firstLine="640"/>
      </w:pPr>
      <w:r>
        <w:rPr>
          <w:rFonts w:hint="eastAsia"/>
        </w:rPr>
        <w:t>DB44/T 1591  小档口、小作坊、小娱乐场所消防安全整治技术要求</w:t>
      </w:r>
    </w:p>
    <w:p w14:paraId="25F5B15C">
      <w:pPr>
        <w:ind w:firstLine="640"/>
        <w:rPr>
          <w:rFonts w:eastAsia="楷体_GB2312"/>
        </w:rPr>
      </w:pPr>
      <w:r>
        <w:rPr>
          <w:rFonts w:hint="eastAsia" w:eastAsia="楷体_GB2312"/>
        </w:rPr>
        <w:t>（三）术语和定义</w:t>
      </w:r>
    </w:p>
    <w:p w14:paraId="5DA1DF2D">
      <w:pPr>
        <w:ind w:firstLine="640"/>
      </w:pPr>
      <w:r>
        <w:rPr>
          <w:rFonts w:hint="eastAsia"/>
        </w:rPr>
        <w:t>本章引用了GB/T 40248、DB44/T 1591界定的术语，并规定了自建房、经营性自建房的定义。其中本文件使用的人员密集场所、公众聚集场所在GB/T 40248内有相关术语；小档口、小作坊、小娱乐场所在DB44/T 1591内有相关术语。</w:t>
      </w:r>
    </w:p>
    <w:p w14:paraId="25FBA980">
      <w:pPr>
        <w:ind w:firstLine="640"/>
        <w:rPr>
          <w:rFonts w:eastAsia="楷体_GB2312"/>
        </w:rPr>
      </w:pPr>
      <w:r>
        <w:rPr>
          <w:rFonts w:hint="eastAsia" w:eastAsia="楷体_GB2312"/>
        </w:rPr>
        <w:t>（四）总则</w:t>
      </w:r>
    </w:p>
    <w:p w14:paraId="42A25969">
      <w:pPr>
        <w:ind w:firstLine="640"/>
      </w:pPr>
      <w:r>
        <w:rPr>
          <w:rFonts w:hint="eastAsia"/>
        </w:rPr>
        <w:t>本章规定了经营性自建房消防安全管理的基本原则、责任主体确定、责任划分原则等总体性要求。特别明确了禁止设置居住场所的原则性要求及例外情况下的合规条件。</w:t>
      </w:r>
    </w:p>
    <w:p w14:paraId="694CD6AD">
      <w:pPr>
        <w:ind w:firstLine="640"/>
        <w:rPr>
          <w:rFonts w:eastAsia="楷体_GB2312"/>
        </w:rPr>
      </w:pPr>
      <w:r>
        <w:rPr>
          <w:rFonts w:hint="eastAsia" w:eastAsia="楷体_GB2312"/>
        </w:rPr>
        <w:t>（五）消防安全责任</w:t>
      </w:r>
    </w:p>
    <w:p w14:paraId="43D49A44">
      <w:pPr>
        <w:ind w:firstLine="640"/>
      </w:pPr>
      <w:r>
        <w:rPr>
          <w:rFonts w:hint="eastAsia"/>
        </w:rPr>
        <w:t>本章规定了经营性自建房所有权人、出租人、使用人（承租人）的消防安全职责，其中，所有权人主要承担。出租人主要承担监督把关责任，包括：提供符合安全条件的场所、确保出租用途符合约定且合法、在交付使用前确认场所安全、在租赁期间对使用人的生产经营活动进行监督、及时制止消防安全违法行为等。使用人、承租人承担使用、承租区域的主体责任，包括：对其经营区域内的消防安全负直接责任、不擅自改变场所使用性质、开展日常防火巡查、检查，维护本区域消防设施完好有效、火灾时及时报警并组织初起扑救和疏散等。</w:t>
      </w:r>
    </w:p>
    <w:p w14:paraId="4E2F005D">
      <w:pPr>
        <w:ind w:firstLine="640"/>
        <w:rPr>
          <w:rFonts w:eastAsia="楷体_GB2312"/>
        </w:rPr>
      </w:pPr>
      <w:r>
        <w:rPr>
          <w:rFonts w:hint="eastAsia" w:eastAsia="楷体_GB2312"/>
        </w:rPr>
        <w:t>（六）消防安全管理</w:t>
      </w:r>
    </w:p>
    <w:p w14:paraId="7C2DCB92">
      <w:pPr>
        <w:ind w:firstLine="640"/>
      </w:pPr>
      <w:r>
        <w:rPr>
          <w:rFonts w:hint="eastAsia"/>
        </w:rPr>
        <w:t>本章规定了消防设施管理、安全疏散管理、用电防火安全管理、动火作业管理、用火安全管理、易燃易爆危险品管理、消防安全宣传教育培训、防火巡查、检查等消防安全管理内容要求。</w:t>
      </w:r>
    </w:p>
    <w:p w14:paraId="03E78D70">
      <w:pPr>
        <w:ind w:firstLine="640"/>
      </w:pPr>
      <w:r>
        <w:rPr>
          <w:rFonts w:hint="eastAsia"/>
        </w:rPr>
        <w:t>消防设施管理：要求明确管理职责、保持设施完好有效，规定了消防软管卷盘、灭火器位置、独立式感烟报警器、常闭式防火门的管理要求。</w:t>
      </w:r>
    </w:p>
    <w:p w14:paraId="6529BCA7">
      <w:pPr>
        <w:ind w:firstLine="640"/>
      </w:pPr>
      <w:r>
        <w:rPr>
          <w:rFonts w:hint="eastAsia"/>
        </w:rPr>
        <w:t>安全疏散管理：重点保障“生命通道”畅通，对疏散门禁系统、疏散通道、外窗防盗网、室外</w:t>
      </w:r>
      <w:r>
        <w:rPr>
          <w:rFonts w:hint="eastAsia"/>
          <w:lang w:eastAsia="zh-CN"/>
        </w:rPr>
        <w:t>疏散</w:t>
      </w:r>
      <w:r>
        <w:rPr>
          <w:rFonts w:hint="eastAsia"/>
        </w:rPr>
        <w:t>梯、逃生梯等提出了具体管理要求。</w:t>
      </w:r>
    </w:p>
    <w:p w14:paraId="0D375100">
      <w:pPr>
        <w:ind w:firstLine="640"/>
      </w:pPr>
      <w:r>
        <w:rPr>
          <w:rFonts w:hint="eastAsia"/>
        </w:rPr>
        <w:t>用电防火安全管理：针对电气火灾高发的特点，规定了电气线路敷设、设备安全使用、电动自行车停放充电等要求。</w:t>
      </w:r>
    </w:p>
    <w:p w14:paraId="1E2B29EB">
      <w:pPr>
        <w:ind w:firstLine="640"/>
      </w:pPr>
      <w:r>
        <w:rPr>
          <w:rFonts w:hint="eastAsia"/>
        </w:rPr>
        <w:t>动火作业管理：规定了动火作业的审批、监护和事后检查流程。</w:t>
      </w:r>
    </w:p>
    <w:p w14:paraId="78F3E9B2">
      <w:pPr>
        <w:ind w:firstLine="640"/>
      </w:pPr>
      <w:r>
        <w:rPr>
          <w:rFonts w:hint="eastAsia"/>
        </w:rPr>
        <w:t>用火安全管理：规定了厨房的防火分隔，以及使用燃气、醇基燃料、柴火、卡式燃具等各种火源的安全使用要求。</w:t>
      </w:r>
    </w:p>
    <w:p w14:paraId="40593CE3">
      <w:pPr>
        <w:ind w:firstLine="640"/>
      </w:pPr>
      <w:r>
        <w:rPr>
          <w:rFonts w:hint="eastAsia"/>
        </w:rPr>
        <w:t>易燃易爆危险品管理：主要规定了限量存放、专库专人管理的要求。</w:t>
      </w:r>
    </w:p>
    <w:p w14:paraId="3A81A79B">
      <w:pPr>
        <w:ind w:firstLine="640"/>
      </w:pPr>
      <w:r>
        <w:rPr>
          <w:rFonts w:hint="eastAsia"/>
        </w:rPr>
        <w:t>消防安全宣传教育培训：规定了宣传培训的内容、频次。</w:t>
      </w:r>
    </w:p>
    <w:p w14:paraId="1B07C8AB">
      <w:pPr>
        <w:ind w:firstLine="640"/>
      </w:pPr>
      <w:r>
        <w:rPr>
          <w:rFonts w:hint="eastAsia"/>
        </w:rPr>
        <w:t>防火巡查、检查：规定了防火巡查、防火检查的具体内容、频次和记录要求。</w:t>
      </w:r>
    </w:p>
    <w:p w14:paraId="14A9F60E">
      <w:pPr>
        <w:ind w:firstLine="640"/>
        <w:rPr>
          <w:rFonts w:eastAsia="楷体_GB2312"/>
        </w:rPr>
      </w:pPr>
      <w:r>
        <w:rPr>
          <w:rFonts w:hint="eastAsia" w:eastAsia="楷体_GB2312"/>
        </w:rPr>
        <w:t>（七）重点场所消防安全管理</w:t>
      </w:r>
    </w:p>
    <w:p w14:paraId="575137D3">
      <w:pPr>
        <w:ind w:firstLine="640"/>
      </w:pPr>
      <w:r>
        <w:rPr>
          <w:rFonts w:hint="eastAsia"/>
        </w:rPr>
        <w:t>在通用管理要求基础上，结合火灾事故教训和日常监督检查发现的情况，针对生产加工场所、商店、餐饮场所、电动自行车售卖维修场所、废品回收站、诊所、推拿足疗店、自助棋牌室与桌球室、酒吧、卡拉OK、网吧等经营性自建房数量较多、风险特点突出的业态，提出了特殊的消防安全管理要求。</w:t>
      </w:r>
    </w:p>
    <w:p w14:paraId="61D77118">
      <w:pPr>
        <w:ind w:firstLine="640"/>
        <w:rPr>
          <w:rFonts w:eastAsia="楷体_GB2312"/>
        </w:rPr>
      </w:pPr>
      <w:r>
        <w:rPr>
          <w:rFonts w:hint="eastAsia" w:eastAsia="楷体_GB2312"/>
        </w:rPr>
        <w:t>（八）应急处置</w:t>
      </w:r>
    </w:p>
    <w:p w14:paraId="211A7E96">
      <w:pPr>
        <w:ind w:firstLine="640"/>
      </w:pPr>
      <w:r>
        <w:rPr>
          <w:rFonts w:hint="eastAsia"/>
        </w:rPr>
        <w:t>规定了制定灭火和应急疏散预案，明确火警处置、人员疏散流程，并规定每年至少开展一次演练，演练资料需存档备查等要求。</w:t>
      </w:r>
    </w:p>
    <w:p w14:paraId="1077044E">
      <w:pPr>
        <w:ind w:firstLine="640"/>
        <w:rPr>
          <w:rFonts w:eastAsia="楷体_GB2312"/>
        </w:rPr>
      </w:pPr>
      <w:r>
        <w:rPr>
          <w:rFonts w:hint="eastAsia" w:eastAsia="楷体_GB2312"/>
        </w:rPr>
        <w:t>（九）附录A（资料性） 防火巡查、检查表格</w:t>
      </w:r>
    </w:p>
    <w:p w14:paraId="40ECE693">
      <w:pPr>
        <w:ind w:firstLine="640"/>
      </w:pPr>
      <w:r>
        <w:rPr>
          <w:rFonts w:hint="eastAsia"/>
        </w:rPr>
        <w:t>附录A给出了防火巡查、检查表格的示例。</w:t>
      </w:r>
    </w:p>
    <w:p w14:paraId="5B565EC1">
      <w:pPr>
        <w:ind w:firstLine="640"/>
        <w:outlineLvl w:val="0"/>
        <w:rPr>
          <w:rFonts w:hint="eastAsia" w:ascii="黑体" w:hAnsi="黑体" w:eastAsia="黑体"/>
        </w:rPr>
      </w:pPr>
      <w:bookmarkStart w:id="4" w:name="_Toc15972"/>
      <w:r>
        <w:rPr>
          <w:rFonts w:hint="eastAsia" w:ascii="黑体" w:hAnsi="黑体" w:eastAsia="黑体"/>
        </w:rPr>
        <w:t>五、与现行法律法规、强制性标准等上位标准关系</w:t>
      </w:r>
      <w:bookmarkEnd w:id="4"/>
    </w:p>
    <w:p w14:paraId="1B7E0BA6">
      <w:pPr>
        <w:ind w:firstLine="640"/>
        <w:rPr>
          <w:rFonts w:eastAsia="楷体_GB2312"/>
        </w:rPr>
      </w:pPr>
      <w:r>
        <w:rPr>
          <w:rFonts w:hint="eastAsia" w:eastAsia="楷体_GB2312"/>
        </w:rPr>
        <w:t>（一）与有关法律法规的关系</w:t>
      </w:r>
    </w:p>
    <w:p w14:paraId="4D91AA9B">
      <w:pPr>
        <w:ind w:firstLine="640"/>
      </w:pPr>
      <w:r>
        <w:rPr>
          <w:rFonts w:hint="eastAsia"/>
        </w:rPr>
        <w:t>本标准严格遵循《中华人民共和国消防法》《广东省实施〈中华人民共和国消防法〉办法》等法律法规的规定，是对法律法规中关于单位消防安全主体责任、消防安全管理要求等在经营性自建房这一特定对象上的具体细化。</w:t>
      </w:r>
    </w:p>
    <w:p w14:paraId="684AEB33">
      <w:pPr>
        <w:ind w:firstLine="640"/>
        <w:rPr>
          <w:rFonts w:eastAsia="楷体_GB2312"/>
        </w:rPr>
      </w:pPr>
      <w:r>
        <w:rPr>
          <w:rFonts w:hint="eastAsia" w:eastAsia="楷体_GB2312"/>
        </w:rPr>
        <w:t>（二）与有关技术标准的关系</w:t>
      </w:r>
    </w:p>
    <w:p w14:paraId="1D2DFD23">
      <w:pPr>
        <w:ind w:firstLine="640"/>
      </w:pPr>
      <w:r>
        <w:rPr>
          <w:rFonts w:hint="eastAsia"/>
        </w:rPr>
        <w:t>本标准与《建筑设计防火规范》（GB 50016）、《建筑防火通用规范》（GB 55037）等工程建设标准相衔接，重点聚焦于建筑投入使用后的“管理”环节。同时，本标准引用</w:t>
      </w:r>
      <w:r>
        <w:rPr>
          <w:rFonts w:hint="eastAsia"/>
          <w:lang w:eastAsia="zh-CN"/>
        </w:rPr>
        <w:t>、衔接</w:t>
      </w:r>
      <w:r>
        <w:rPr>
          <w:rFonts w:hint="eastAsia"/>
        </w:rPr>
        <w:t>了《人员密集场所消防安全管理》（GB/T 40248）、《住宿与生产储存经营合用场所消防安全技术要求》（XF 703）、《小档口、小作坊、小娱乐场所消防安全整治技术要求》（DB44/T 1591）等多个国家、行业及地方管理标准的相关要求，并结合经营性自建房特点进行了整合与补充，形成了专门针对经营性自建房的消防安全管理规范体系，与现行标准协调一致、互为补充。</w:t>
      </w:r>
    </w:p>
    <w:p w14:paraId="0854F9FD">
      <w:pPr>
        <w:ind w:firstLine="640"/>
        <w:outlineLvl w:val="0"/>
        <w:rPr>
          <w:rFonts w:hint="eastAsia" w:ascii="黑体" w:hAnsi="黑体" w:eastAsia="黑体"/>
        </w:rPr>
      </w:pPr>
      <w:bookmarkStart w:id="5" w:name="_Toc20596"/>
      <w:r>
        <w:rPr>
          <w:rFonts w:hint="eastAsia" w:ascii="黑体" w:hAnsi="黑体" w:eastAsia="黑体"/>
        </w:rPr>
        <w:t>六、标准的先进性、特色性</w:t>
      </w:r>
      <w:bookmarkEnd w:id="5"/>
    </w:p>
    <w:p w14:paraId="3F072352">
      <w:pPr>
        <w:ind w:firstLine="640"/>
      </w:pPr>
      <w:r>
        <w:t>《</w:t>
      </w:r>
      <w:r>
        <w:rPr>
          <w:rFonts w:hint="eastAsia"/>
        </w:rPr>
        <w:t>经营性自建房消防安全</w:t>
      </w:r>
      <w:r>
        <w:t>管理规范》的编制立足于广东省消防安全管理的现实需求，充分吸收国内</w:t>
      </w:r>
      <w:r>
        <w:rPr>
          <w:rFonts w:hint="eastAsia"/>
        </w:rPr>
        <w:t>相关标准的</w:t>
      </w:r>
      <w:r>
        <w:t>先进经验，具有显著的</w:t>
      </w:r>
      <w:r>
        <w:rPr>
          <w:rFonts w:hint="eastAsia"/>
        </w:rPr>
        <w:t>地方特点</w:t>
      </w:r>
      <w:r>
        <w:t>。</w:t>
      </w:r>
      <w:r>
        <w:rPr>
          <w:rFonts w:hint="eastAsia"/>
        </w:rPr>
        <w:t>一是针对性突出。首次在我省系统性地针对“经营性自建房”这一特定建筑类型制定专门的消防安全管理规范，填补了管理空白。二是责任链条清晰。明确区分并细化了所有权人、出租人、使用人（承租人）以及统一管理人等不同主体的消防安全责任。三是管控措施精准。紧密结合经营性自建房常见火灾风险，如“三合一”现象、电动自行车违规充电、厨房用火不慎、安全疏散条件不足等问题，提出了具体、可操作的管控措施。四是业态覆盖广泛。标准不仅提出通用管理要求，还针对生产加工、商业、餐饮、特定服务业态等多种经营场景提出了差异化的管理要求，增强了标准的针对性和适用性。</w:t>
      </w:r>
    </w:p>
    <w:p w14:paraId="0FE2D46A">
      <w:pPr>
        <w:ind w:firstLine="640"/>
        <w:outlineLvl w:val="0"/>
        <w:rPr>
          <w:rFonts w:hint="eastAsia" w:ascii="黑体" w:hAnsi="黑体" w:eastAsia="黑体"/>
        </w:rPr>
      </w:pPr>
      <w:bookmarkStart w:id="6" w:name="_Toc12015"/>
      <w:r>
        <w:rPr>
          <w:rFonts w:hint="eastAsia" w:ascii="黑体" w:hAnsi="黑体" w:eastAsia="黑体"/>
        </w:rPr>
        <w:t>七、主要起草过程</w:t>
      </w:r>
      <w:bookmarkEnd w:id="6"/>
    </w:p>
    <w:p w14:paraId="0BFB8EE6">
      <w:pPr>
        <w:ind w:firstLine="640"/>
        <w:rPr>
          <w:rFonts w:ascii="楷体_GB2312" w:eastAsia="楷体_GB2312"/>
        </w:rPr>
      </w:pPr>
      <w:r>
        <w:rPr>
          <w:rFonts w:hint="eastAsia" w:ascii="楷体_GB2312" w:eastAsia="楷体_GB2312"/>
        </w:rPr>
        <w:t>（一）立项阶段</w:t>
      </w:r>
    </w:p>
    <w:p w14:paraId="4CA5BD5C">
      <w:pPr>
        <w:ind w:firstLine="640"/>
      </w:pPr>
      <w:r>
        <w:rPr>
          <w:rFonts w:hint="eastAsia"/>
        </w:rPr>
        <w:t>2022年8月，根据广东省市场监督管理局《关于批准下达2022年第一批广东省地方标准制修订计划的通知》（粤市监标准〔2022〕379号），地方标准《农村自建房消防安全技术要求》立项，主导单位为广东省消防救援总队。</w:t>
      </w:r>
    </w:p>
    <w:p w14:paraId="0D5E47EB">
      <w:pPr>
        <w:ind w:firstLine="640"/>
        <w:rPr>
          <w:rFonts w:ascii="楷体_GB2312" w:eastAsia="楷体_GB2312"/>
        </w:rPr>
      </w:pPr>
      <w:r>
        <w:rPr>
          <w:rFonts w:hint="eastAsia" w:ascii="楷体_GB2312" w:eastAsia="楷体_GB2312"/>
        </w:rPr>
        <w:t>（二）起草阶段</w:t>
      </w:r>
    </w:p>
    <w:p w14:paraId="74F9BF82">
      <w:pPr>
        <w:ind w:firstLine="640"/>
      </w:pPr>
      <w:r>
        <w:rPr>
          <w:rFonts w:hint="eastAsia"/>
        </w:rPr>
        <w:t>2022年10月，广东省消防救援总队组织中国科学技术大学火灾科学国家重点实验室等单位成立标准编制工作组，开始标准研制工作。</w:t>
      </w:r>
    </w:p>
    <w:p w14:paraId="2C34E6D3">
      <w:pPr>
        <w:ind w:firstLine="640"/>
      </w:pPr>
      <w:r>
        <w:rPr>
          <w:rFonts w:hint="eastAsia"/>
        </w:rPr>
        <w:t>2022年11月—2023年5月</w:t>
      </w:r>
      <w:r>
        <w:t>，编制组开展前期调研、资料收集、文献查阅</w:t>
      </w:r>
      <w:r>
        <w:rPr>
          <w:rFonts w:hint="eastAsia"/>
        </w:rPr>
        <w:t>、数据分析</w:t>
      </w:r>
      <w:r>
        <w:t>，</w:t>
      </w:r>
      <w:r>
        <w:rPr>
          <w:rFonts w:hint="eastAsia"/>
        </w:rPr>
        <w:t>前往各地经营性自建房开展调研</w:t>
      </w:r>
      <w:r>
        <w:t>，</w:t>
      </w:r>
      <w:r>
        <w:rPr>
          <w:rFonts w:hint="eastAsia"/>
        </w:rPr>
        <w:t>分析了近年来经营性自建房亡人火灾事故、全省的火灾数据、消防监督检查数据，梳理工程建设消防</w:t>
      </w:r>
      <w:r>
        <w:t>设计</w:t>
      </w:r>
      <w:r>
        <w:rPr>
          <w:rFonts w:hint="eastAsia"/>
        </w:rPr>
        <w:t>标准和消防安全管理标准的要求，充分了解经营性自建房消防安全的现状及问题</w:t>
      </w:r>
      <w:r>
        <w:t>。</w:t>
      </w:r>
    </w:p>
    <w:p w14:paraId="0487E53A">
      <w:pPr>
        <w:ind w:firstLine="640"/>
      </w:pPr>
      <w:r>
        <w:rPr>
          <w:rFonts w:hint="eastAsia"/>
        </w:rPr>
        <w:t>2023年6—12月，在调研分析工作的基础上，</w:t>
      </w:r>
      <w:r>
        <w:t>确定了标准基本框架，</w:t>
      </w:r>
      <w:r>
        <w:rPr>
          <w:rFonts w:hint="eastAsia"/>
        </w:rPr>
        <w:t>编制组成员</w:t>
      </w:r>
      <w:r>
        <w:t>认真讨论标准各项条款，编制形成了标准草案稿</w:t>
      </w:r>
      <w:r>
        <w:rPr>
          <w:rFonts w:hint="eastAsia"/>
        </w:rPr>
        <w:t>。</w:t>
      </w:r>
    </w:p>
    <w:p w14:paraId="6C719ADD">
      <w:pPr>
        <w:ind w:firstLine="640"/>
      </w:pPr>
      <w:r>
        <w:rPr>
          <w:rFonts w:hint="eastAsia"/>
        </w:rPr>
        <w:t>2024年1—4月，标准编制工作组开展内部研讨与征求意见，咨询从事消防监督管理、消防法制、消防标准化等领域的专家及消防救援机构骨干，从与其他法律法规、技术标准的衔接、解决现实存在问题等角度分析，拟决定修改标准制定方向与适用范围。</w:t>
      </w:r>
    </w:p>
    <w:p w14:paraId="5D4F0459">
      <w:pPr>
        <w:ind w:firstLine="640"/>
      </w:pPr>
      <w:r>
        <w:rPr>
          <w:rFonts w:hint="eastAsia"/>
        </w:rPr>
        <w:t>2024年5—12月，标准编制工作赴长沙、广州等地城中村调研经营性自建房消防安全情况，确定了标准编制方向为规范经营性自建房消防安全管理，并根据调研分析工作情况，形成了草案。</w:t>
      </w:r>
    </w:p>
    <w:p w14:paraId="3B66B21C">
      <w:pPr>
        <w:ind w:firstLine="640"/>
      </w:pPr>
      <w:r>
        <w:rPr>
          <w:rFonts w:hint="eastAsia"/>
        </w:rPr>
        <w:t>2025年2月，向省市场监督管理局递交标准名称变更申请，标准制定项目由《农村自建房消防安全技术要求》修改为《经营性</w:t>
      </w:r>
      <w:r>
        <w:t>自建房消防安全</w:t>
      </w:r>
      <w:r>
        <w:rPr>
          <w:rFonts w:hint="eastAsia"/>
        </w:rPr>
        <w:t>管理规范》。</w:t>
      </w:r>
    </w:p>
    <w:p w14:paraId="6DCBA599">
      <w:pPr>
        <w:ind w:firstLine="640"/>
        <w:rPr>
          <w:rFonts w:hint="eastAsia" w:eastAsia="仿宋_GB2312"/>
          <w:lang w:eastAsia="zh-CN"/>
        </w:rPr>
      </w:pPr>
      <w:r>
        <w:rPr>
          <w:rFonts w:hint="eastAsia"/>
        </w:rPr>
        <w:t>2025年3—9月，标准编制工作组开展内部研讨，形成内部征求意见稿，并向全省21个消防救援支队征求意见。共收集3</w:t>
      </w:r>
      <w:r>
        <w:rPr>
          <w:rFonts w:hint="eastAsia"/>
          <w:lang w:val="en-US" w:eastAsia="zh-CN"/>
        </w:rPr>
        <w:t>5</w:t>
      </w:r>
      <w:r>
        <w:rPr>
          <w:rFonts w:hint="eastAsia"/>
        </w:rPr>
        <w:t>条意见，修改后形成公开征求意见稿。</w:t>
      </w:r>
    </w:p>
    <w:p w14:paraId="389CDF16">
      <w:pPr>
        <w:ind w:firstLine="640"/>
        <w:outlineLvl w:val="0"/>
        <w:rPr>
          <w:rFonts w:hint="eastAsia" w:ascii="黑体" w:hAnsi="黑体" w:eastAsia="黑体"/>
        </w:rPr>
      </w:pPr>
      <w:bookmarkStart w:id="7" w:name="_Toc12078"/>
      <w:r>
        <w:rPr>
          <w:rFonts w:hint="eastAsia" w:ascii="黑体" w:hAnsi="黑体" w:eastAsia="黑体"/>
        </w:rPr>
        <w:t>八、其他应当说明的事项</w:t>
      </w:r>
      <w:bookmarkEnd w:id="7"/>
    </w:p>
    <w:p w14:paraId="7527163F">
      <w:pPr>
        <w:ind w:firstLine="640"/>
      </w:pPr>
      <w:r>
        <w:rPr>
          <w:rFonts w:hint="eastAsia"/>
        </w:rPr>
        <w:t>无。</w:t>
      </w: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18DCE3-17BA-49CB-AFD6-A203F47C76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AB64CD0-58D8-4936-B121-4870B47C3D4C}"/>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3" w:fontKey="{BD273A8C-A23D-4854-8873-EA4E3465A329}"/>
  </w:font>
  <w:font w:name="楷体_GB2312">
    <w:panose1 w:val="02010609030101010101"/>
    <w:charset w:val="86"/>
    <w:family w:val="modern"/>
    <w:pitch w:val="default"/>
    <w:sig w:usb0="00000001" w:usb1="080E0000" w:usb2="00000000" w:usb3="00000000" w:csb0="00040000" w:csb1="00000000"/>
    <w:embedRegular r:id="rId4" w:fontKey="{E9FF6AEC-AA15-4DCD-822A-936E2678D5C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0C10">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69237">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8121">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86B8">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18670">
                          <w:pPr>
                            <w:pStyle w:val="11"/>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918670">
                    <w:pPr>
                      <w:pStyle w:val="11"/>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CDDB">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1E4D1">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93B0D">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478"/>
    <w:rsid w:val="00030DA9"/>
    <w:rsid w:val="00037777"/>
    <w:rsid w:val="00070E3E"/>
    <w:rsid w:val="000B318E"/>
    <w:rsid w:val="000C326A"/>
    <w:rsid w:val="000C3310"/>
    <w:rsid w:val="000C7093"/>
    <w:rsid w:val="000F3BC1"/>
    <w:rsid w:val="001158FF"/>
    <w:rsid w:val="001470EE"/>
    <w:rsid w:val="00166C41"/>
    <w:rsid w:val="00177FAA"/>
    <w:rsid w:val="0019657E"/>
    <w:rsid w:val="00196FE8"/>
    <w:rsid w:val="001D5DC1"/>
    <w:rsid w:val="00261171"/>
    <w:rsid w:val="00290BEA"/>
    <w:rsid w:val="002B14B8"/>
    <w:rsid w:val="002D3AEA"/>
    <w:rsid w:val="002F30C6"/>
    <w:rsid w:val="003021B2"/>
    <w:rsid w:val="00364912"/>
    <w:rsid w:val="00365B97"/>
    <w:rsid w:val="003A05DB"/>
    <w:rsid w:val="003A4963"/>
    <w:rsid w:val="00444AB0"/>
    <w:rsid w:val="00450CD2"/>
    <w:rsid w:val="00454598"/>
    <w:rsid w:val="00454E5F"/>
    <w:rsid w:val="004845DA"/>
    <w:rsid w:val="0049463D"/>
    <w:rsid w:val="004B7C86"/>
    <w:rsid w:val="004D0B29"/>
    <w:rsid w:val="004D16B4"/>
    <w:rsid w:val="004E3521"/>
    <w:rsid w:val="00517AA3"/>
    <w:rsid w:val="00523308"/>
    <w:rsid w:val="00524BE2"/>
    <w:rsid w:val="005255AA"/>
    <w:rsid w:val="00533C73"/>
    <w:rsid w:val="0053699C"/>
    <w:rsid w:val="005B0F3C"/>
    <w:rsid w:val="005B38C9"/>
    <w:rsid w:val="005D2214"/>
    <w:rsid w:val="005E34F7"/>
    <w:rsid w:val="005F0F83"/>
    <w:rsid w:val="0061054D"/>
    <w:rsid w:val="00617A97"/>
    <w:rsid w:val="006412D0"/>
    <w:rsid w:val="006477C4"/>
    <w:rsid w:val="006C35B1"/>
    <w:rsid w:val="006D52F4"/>
    <w:rsid w:val="0070012F"/>
    <w:rsid w:val="00721F6D"/>
    <w:rsid w:val="00730625"/>
    <w:rsid w:val="00736801"/>
    <w:rsid w:val="007402F2"/>
    <w:rsid w:val="00764CCD"/>
    <w:rsid w:val="00830A61"/>
    <w:rsid w:val="00836F42"/>
    <w:rsid w:val="00847025"/>
    <w:rsid w:val="008553B5"/>
    <w:rsid w:val="00873E8B"/>
    <w:rsid w:val="00885FCA"/>
    <w:rsid w:val="008C5377"/>
    <w:rsid w:val="0090786C"/>
    <w:rsid w:val="009378C2"/>
    <w:rsid w:val="00951C0B"/>
    <w:rsid w:val="00952F9F"/>
    <w:rsid w:val="00976671"/>
    <w:rsid w:val="009B0FB8"/>
    <w:rsid w:val="009C2788"/>
    <w:rsid w:val="009D4B6B"/>
    <w:rsid w:val="009E47B0"/>
    <w:rsid w:val="00A06DB6"/>
    <w:rsid w:val="00A07F22"/>
    <w:rsid w:val="00A1604B"/>
    <w:rsid w:val="00A224CE"/>
    <w:rsid w:val="00A93D43"/>
    <w:rsid w:val="00AA00B4"/>
    <w:rsid w:val="00AC49F6"/>
    <w:rsid w:val="00AD1F4E"/>
    <w:rsid w:val="00AF47C9"/>
    <w:rsid w:val="00B014E7"/>
    <w:rsid w:val="00B53D8F"/>
    <w:rsid w:val="00B65428"/>
    <w:rsid w:val="00B874C8"/>
    <w:rsid w:val="00BF2732"/>
    <w:rsid w:val="00C15CE7"/>
    <w:rsid w:val="00C35AE7"/>
    <w:rsid w:val="00C37C5B"/>
    <w:rsid w:val="00C63EF0"/>
    <w:rsid w:val="00CF0543"/>
    <w:rsid w:val="00CF684A"/>
    <w:rsid w:val="00CF6964"/>
    <w:rsid w:val="00D03DF8"/>
    <w:rsid w:val="00D320F8"/>
    <w:rsid w:val="00D3706A"/>
    <w:rsid w:val="00D658B4"/>
    <w:rsid w:val="00DD41A6"/>
    <w:rsid w:val="00E042EC"/>
    <w:rsid w:val="00E2598E"/>
    <w:rsid w:val="00E96001"/>
    <w:rsid w:val="00EC169D"/>
    <w:rsid w:val="00EC62B6"/>
    <w:rsid w:val="00EE5761"/>
    <w:rsid w:val="00F1531C"/>
    <w:rsid w:val="00F60F9D"/>
    <w:rsid w:val="00F90478"/>
    <w:rsid w:val="00FA09C9"/>
    <w:rsid w:val="00FC4BCE"/>
    <w:rsid w:val="018255B6"/>
    <w:rsid w:val="03AB672E"/>
    <w:rsid w:val="085F7B47"/>
    <w:rsid w:val="0FBA1B44"/>
    <w:rsid w:val="11292F39"/>
    <w:rsid w:val="18C60172"/>
    <w:rsid w:val="195F47D0"/>
    <w:rsid w:val="1C350917"/>
    <w:rsid w:val="1DE61726"/>
    <w:rsid w:val="24687AF0"/>
    <w:rsid w:val="250B3654"/>
    <w:rsid w:val="2B2F2EAB"/>
    <w:rsid w:val="2F9E402D"/>
    <w:rsid w:val="337C55B0"/>
    <w:rsid w:val="3432419F"/>
    <w:rsid w:val="41864183"/>
    <w:rsid w:val="45225AF9"/>
    <w:rsid w:val="46DD4680"/>
    <w:rsid w:val="49C04C0E"/>
    <w:rsid w:val="52F2339B"/>
    <w:rsid w:val="5364008D"/>
    <w:rsid w:val="56304AB3"/>
    <w:rsid w:val="58DC522A"/>
    <w:rsid w:val="5A36525B"/>
    <w:rsid w:val="5D915818"/>
    <w:rsid w:val="604B086F"/>
    <w:rsid w:val="6A547029"/>
    <w:rsid w:val="6D853458"/>
    <w:rsid w:val="6F22368D"/>
    <w:rsid w:val="749D0659"/>
    <w:rsid w:val="765D709B"/>
    <w:rsid w:val="770B2153"/>
    <w:rsid w:val="7A9321A2"/>
    <w:rsid w:val="7BDC4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1"/>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40"/>
    <w:unhideWhenUsed/>
    <w:qFormat/>
    <w:uiPriority w:val="99"/>
    <w:pPr>
      <w:tabs>
        <w:tab w:val="center" w:pos="4153"/>
        <w:tab w:val="right" w:pos="8306"/>
      </w:tabs>
      <w:snapToGrid w:val="0"/>
      <w:spacing w:line="240" w:lineRule="atLeast"/>
      <w:jc w:val="center"/>
    </w:pPr>
    <w:rPr>
      <w:sz w:val="18"/>
      <w:szCs w:val="18"/>
    </w:rPr>
  </w:style>
  <w:style w:type="paragraph" w:styleId="13">
    <w:name w:val="toc 1"/>
    <w:basedOn w:val="1"/>
    <w:next w:val="1"/>
    <w:semiHidden/>
    <w:unhideWhenUsed/>
    <w:qFormat/>
    <w:uiPriority w:val="39"/>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rPr>
      <w:sz w:val="24"/>
    </w:rPr>
  </w:style>
  <w:style w:type="paragraph" w:styleId="16">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9">
    <w:name w:val="Strong"/>
    <w:basedOn w:val="18"/>
    <w:qFormat/>
    <w:uiPriority w:val="22"/>
    <w:rPr>
      <w:b/>
    </w:rPr>
  </w:style>
  <w:style w:type="character" w:styleId="20">
    <w:name w:val="Hyperlink"/>
    <w:basedOn w:val="18"/>
    <w:unhideWhenUsed/>
    <w:qFormat/>
    <w:uiPriority w:val="99"/>
    <w:rPr>
      <w:color w:val="467886" w:themeColor="hyperlink"/>
      <w:u w:val="single"/>
      <w14:textFill>
        <w14:solidFill>
          <w14:schemeClr w14:val="hlink"/>
        </w14:solidFill>
      </w14:textFill>
    </w:rPr>
  </w:style>
  <w:style w:type="character" w:customStyle="1" w:styleId="21">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8"/>
    <w:link w:val="5"/>
    <w:semiHidden/>
    <w:qFormat/>
    <w:uiPriority w:val="9"/>
    <w:rPr>
      <w:rFonts w:cstheme="majorBidi"/>
      <w:color w:val="104862" w:themeColor="accent1" w:themeShade="BF"/>
      <w:sz w:val="28"/>
      <w:szCs w:val="28"/>
    </w:rPr>
  </w:style>
  <w:style w:type="character" w:customStyle="1" w:styleId="25">
    <w:name w:val="标题 5 字符"/>
    <w:basedOn w:val="18"/>
    <w:link w:val="6"/>
    <w:semiHidden/>
    <w:qFormat/>
    <w:uiPriority w:val="9"/>
    <w:rPr>
      <w:rFonts w:cstheme="majorBidi"/>
      <w:color w:val="104862" w:themeColor="accent1" w:themeShade="BF"/>
      <w:sz w:val="24"/>
    </w:rPr>
  </w:style>
  <w:style w:type="character" w:customStyle="1" w:styleId="26">
    <w:name w:val="标题 6 字符"/>
    <w:basedOn w:val="18"/>
    <w:link w:val="7"/>
    <w:semiHidden/>
    <w:qFormat/>
    <w:uiPriority w:val="9"/>
    <w:rPr>
      <w:rFonts w:cstheme="majorBidi"/>
      <w:b/>
      <w:bCs/>
      <w:color w:val="104862" w:themeColor="accent1" w:themeShade="BF"/>
      <w:sz w:val="32"/>
      <w:szCs w:val="22"/>
    </w:rPr>
  </w:style>
  <w:style w:type="character" w:customStyle="1" w:styleId="27">
    <w:name w:val="标题 7 字符"/>
    <w:basedOn w:val="18"/>
    <w:link w:val="8"/>
    <w:semiHidden/>
    <w:qFormat/>
    <w:uiPriority w:val="9"/>
    <w:rPr>
      <w:rFonts w:cstheme="majorBidi"/>
      <w:b/>
      <w:bCs/>
      <w:color w:val="595959" w:themeColor="text1" w:themeTint="A6"/>
      <w:sz w:val="32"/>
      <w:szCs w:val="22"/>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cstheme="majorBidi"/>
      <w:color w:val="595959" w:themeColor="text1" w:themeTint="A6"/>
      <w:sz w:val="32"/>
      <w:szCs w:val="22"/>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eastAsiaTheme="majorEastAsia" w:cstheme="majorBidi"/>
      <w:color w:val="595959" w:themeColor="text1" w:themeTint="A6"/>
      <w:sz w:val="32"/>
      <w:szCs w:val="22"/>
      <w14:textFill>
        <w14:solidFill>
          <w14:schemeClr w14:val="tx1">
            <w14:lumMod w14:val="65000"/>
            <w14:lumOff w14:val="35000"/>
          </w14:schemeClr>
        </w14:solidFill>
      </w14:textFill>
    </w:rPr>
  </w:style>
  <w:style w:type="character" w:customStyle="1" w:styleId="30">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8"/>
    <w:link w:val="32"/>
    <w:qFormat/>
    <w:uiPriority w:val="29"/>
    <w:rPr>
      <w:rFonts w:ascii="Times New Roman" w:hAnsi="Times New Roman" w:eastAsia="仿宋_GB2312"/>
      <w:i/>
      <w:iCs/>
      <w:color w:val="404040" w:themeColor="text1" w:themeTint="BF"/>
      <w:sz w:val="32"/>
      <w:szCs w:val="22"/>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8"/>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8"/>
    <w:link w:val="36"/>
    <w:qFormat/>
    <w:uiPriority w:val="30"/>
    <w:rPr>
      <w:rFonts w:ascii="Times New Roman" w:hAnsi="Times New Roman" w:eastAsia="仿宋_GB2312"/>
      <w:i/>
      <w:iCs/>
      <w:color w:val="104862" w:themeColor="accent1" w:themeShade="BF"/>
      <w:sz w:val="32"/>
      <w:szCs w:val="22"/>
    </w:rPr>
  </w:style>
  <w:style w:type="character" w:customStyle="1" w:styleId="38">
    <w:name w:val="明显参考1"/>
    <w:basedOn w:val="18"/>
    <w:qFormat/>
    <w:uiPriority w:val="32"/>
    <w:rPr>
      <w:b/>
      <w:bCs/>
      <w:smallCaps/>
      <w:color w:val="104862" w:themeColor="accent1" w:themeShade="BF"/>
      <w:spacing w:val="5"/>
    </w:rPr>
  </w:style>
  <w:style w:type="character" w:customStyle="1" w:styleId="39">
    <w:name w:val="未处理的提及1"/>
    <w:basedOn w:val="18"/>
    <w:semiHidden/>
    <w:unhideWhenUsed/>
    <w:qFormat/>
    <w:uiPriority w:val="99"/>
    <w:rPr>
      <w:color w:val="605E5C"/>
      <w:shd w:val="clear" w:color="auto" w:fill="E1DFDD"/>
    </w:rPr>
  </w:style>
  <w:style w:type="character" w:customStyle="1" w:styleId="40">
    <w:name w:val="页眉 字符"/>
    <w:basedOn w:val="18"/>
    <w:link w:val="12"/>
    <w:qFormat/>
    <w:uiPriority w:val="99"/>
    <w:rPr>
      <w:rFonts w:ascii="Times New Roman" w:hAnsi="Times New Roman" w:eastAsia="仿宋_GB2312"/>
      <w:sz w:val="18"/>
      <w:szCs w:val="18"/>
    </w:rPr>
  </w:style>
  <w:style w:type="character" w:customStyle="1" w:styleId="41">
    <w:name w:val="页脚 字符"/>
    <w:basedOn w:val="18"/>
    <w:link w:val="11"/>
    <w:qFormat/>
    <w:uiPriority w:val="99"/>
    <w:rPr>
      <w:rFonts w:ascii="Times New Roman" w:hAnsi="Times New Roman" w:eastAsia="仿宋_GB2312"/>
      <w:sz w:val="18"/>
      <w:szCs w:val="18"/>
    </w:rPr>
  </w:style>
  <w:style w:type="paragraph" w:customStyle="1" w:styleId="42">
    <w:name w:val="修订1"/>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43">
    <w:name w:val="修订2"/>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44">
    <w:name w:val="修订3"/>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45">
    <w:name w:val="段落"/>
    <w:qFormat/>
    <w:uiPriority w:val="0"/>
    <w:pPr>
      <w:widowControl w:val="0"/>
      <w:autoSpaceDE w:val="0"/>
      <w:autoSpaceDN w:val="0"/>
      <w:ind w:firstLine="420" w:firstLineChars="200"/>
    </w:pPr>
    <w:rPr>
      <w:rFonts w:ascii="宋体" w:hAnsi="Times New Roman" w:eastAsia="宋体" w:cs="Times New Roman"/>
      <w:sz w:val="21"/>
      <w:lang w:val="en-US" w:eastAsia="zh-CN" w:bidi="ar-SA"/>
    </w:rPr>
  </w:style>
  <w:style w:type="paragraph" w:customStyle="1" w:styleId="46">
    <w:name w:val="修订4"/>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47">
    <w:name w:val="Revision"/>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3957</Words>
  <Characters>4165</Characters>
  <Lines>135</Lines>
  <Paragraphs>95</Paragraphs>
  <TotalTime>7</TotalTime>
  <ScaleCrop>false</ScaleCrop>
  <LinksUpToDate>false</LinksUpToDate>
  <CharactersWithSpaces>4229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2025-09-28T08:05:00Z</dcterms:created>
  <dc:creator>Djs</dc:creator>
  <cp:lastModifiedBy>丁</cp:lastModifiedBy>
  <dcterms:modified xsi:type="dcterms:W3CDTF">2025-10-23T08:22:25Z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eyJoZGlkIjoiOGFkN2IwYjQ4NGExMDgzYTA4ZjljZTUzNDZmMDFiZmMiLCJ1c2VySWQiOiIzMTc4NjY1MzAifQ==</vt:lpwstr>
  </property>
  <property fmtid="{D5CDD505-2E9C-101B-9397-08002B2CF9AE}" pid="3" name="KSOProductBuildVer">
    <vt:lpwstr>2052-12.1.0.23125</vt:lpwstr>
  </property>
  <property fmtid="{D5CDD505-2E9C-101B-9397-08002B2CF9AE}" pid="4" name="ICV">
    <vt:lpwstr>3E3789AAA17740BFB2812C65D62520A3_13</vt:lpwstr>
  </property>
</Properties>
</file>