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15DA0">
      <w:pPr>
        <w:pStyle w:val="4"/>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2C4B1CBD">
      <w:pPr>
        <w:spacing w:line="594" w:lineRule="exact"/>
        <w:jc w:val="center"/>
        <w:rPr>
          <w:rFonts w:hint="eastAsia" w:ascii="宋体" w:hAnsi="宋体"/>
          <w:b/>
          <w:bCs/>
          <w:spacing w:val="0"/>
          <w:w w:val="90"/>
          <w:sz w:val="56"/>
          <w:szCs w:val="56"/>
        </w:rPr>
      </w:pPr>
    </w:p>
    <w:p w14:paraId="2148542A">
      <w:pPr>
        <w:spacing w:line="594" w:lineRule="exact"/>
        <w:jc w:val="center"/>
        <w:rPr>
          <w:rFonts w:hint="eastAsia" w:ascii="宋体" w:hAnsi="宋体"/>
          <w:b/>
          <w:bCs/>
          <w:spacing w:val="0"/>
          <w:w w:val="90"/>
          <w:sz w:val="56"/>
          <w:szCs w:val="56"/>
        </w:rPr>
      </w:pPr>
      <w:r>
        <w:rPr>
          <w:rFonts w:hint="eastAsia" w:ascii="宋体" w:hAnsi="宋体"/>
          <w:b/>
          <w:bCs/>
          <w:spacing w:val="0"/>
          <w:w w:val="90"/>
          <w:sz w:val="56"/>
          <w:szCs w:val="56"/>
        </w:rPr>
        <w:t>广东省政府挂牌督办火灾隐患重点地区</w:t>
      </w:r>
    </w:p>
    <w:p w14:paraId="6AE3DBCE">
      <w:pPr>
        <w:spacing w:line="594" w:lineRule="exact"/>
        <w:jc w:val="center"/>
        <w:rPr>
          <w:rFonts w:ascii="宋体" w:hAnsi="宋体"/>
          <w:b/>
          <w:bCs/>
          <w:spacing w:val="0"/>
          <w:w w:val="90"/>
          <w:sz w:val="56"/>
          <w:szCs w:val="56"/>
        </w:rPr>
      </w:pPr>
      <w:r>
        <w:rPr>
          <w:rFonts w:hint="eastAsia" w:ascii="宋体" w:hAnsi="宋体"/>
          <w:b/>
          <w:bCs/>
          <w:spacing w:val="0"/>
          <w:w w:val="90"/>
          <w:sz w:val="56"/>
          <w:szCs w:val="56"/>
        </w:rPr>
        <w:t>社会调查项目</w:t>
      </w:r>
    </w:p>
    <w:p w14:paraId="02F8437A">
      <w:pPr>
        <w:pStyle w:val="18"/>
        <w:adjustRightInd/>
        <w:snapToGrid/>
        <w:spacing w:line="360" w:lineRule="auto"/>
        <w:jc w:val="center"/>
        <w:rPr>
          <w:rFonts w:ascii="宋体" w:hAnsi="宋体" w:eastAsia="宋体" w:cs="宋体"/>
          <w:b/>
          <w:bCs/>
        </w:rPr>
      </w:pPr>
      <w:r>
        <w:rPr>
          <w:rFonts w:hint="eastAsia" w:ascii="宋体" w:hAnsi="宋体" w:eastAsia="宋体" w:cs="宋体"/>
          <w:b/>
          <w:bCs/>
        </w:rPr>
        <w:t>（项目编号</w:t>
      </w:r>
      <w:r>
        <w:rPr>
          <w:rFonts w:ascii="宋体" w:hAnsi="宋体" w:eastAsia="宋体" w:cs="宋体"/>
          <w:b/>
          <w:bCs/>
        </w:rPr>
        <w:t>：</w:t>
      </w:r>
      <w:r>
        <w:rPr>
          <w:rFonts w:hint="eastAsia" w:ascii="宋体" w:hAnsi="宋体" w:eastAsia="宋体" w:cs="宋体"/>
          <w:b/>
          <w:bCs/>
        </w:rPr>
        <w:t>FHJDC202413）</w:t>
      </w:r>
    </w:p>
    <w:p w14:paraId="43A1D6FA">
      <w:pPr>
        <w:tabs>
          <w:tab w:val="left" w:pos="720"/>
        </w:tabs>
        <w:spacing w:line="360" w:lineRule="auto"/>
        <w:jc w:val="center"/>
        <w:rPr>
          <w:rFonts w:ascii="宋体" w:hAnsi="宋体"/>
          <w:sz w:val="52"/>
          <w:szCs w:val="52"/>
        </w:rPr>
      </w:pPr>
    </w:p>
    <w:p w14:paraId="38C9816B">
      <w:pPr>
        <w:spacing w:line="360" w:lineRule="auto"/>
        <w:jc w:val="center"/>
        <w:rPr>
          <w:rFonts w:ascii="宋体" w:hAnsi="宋体"/>
          <w:b/>
          <w:bCs/>
          <w:spacing w:val="-30"/>
          <w:sz w:val="52"/>
          <w:szCs w:val="52"/>
        </w:rPr>
      </w:pPr>
      <w:r>
        <w:rPr>
          <w:rFonts w:hint="eastAsia" w:ascii="宋体" w:hAnsi="宋体"/>
          <w:b/>
          <w:bCs/>
          <w:spacing w:val="-30"/>
          <w:sz w:val="52"/>
          <w:szCs w:val="52"/>
        </w:rPr>
        <w:t>遴选文件</w:t>
      </w:r>
    </w:p>
    <w:p w14:paraId="0258DA0B">
      <w:pPr>
        <w:spacing w:line="360" w:lineRule="auto"/>
        <w:jc w:val="center"/>
        <w:rPr>
          <w:rFonts w:ascii="宋体" w:hAnsi="宋体"/>
          <w:b/>
          <w:bCs/>
          <w:sz w:val="52"/>
          <w:szCs w:val="52"/>
        </w:rPr>
      </w:pPr>
    </w:p>
    <w:p w14:paraId="77BF5313">
      <w:pPr>
        <w:spacing w:line="360" w:lineRule="auto"/>
        <w:rPr>
          <w:rFonts w:ascii="宋体" w:hAnsi="宋体"/>
          <w:bCs/>
          <w:sz w:val="32"/>
          <w:szCs w:val="32"/>
        </w:rPr>
      </w:pPr>
    </w:p>
    <w:p w14:paraId="79FF8464">
      <w:pPr>
        <w:pStyle w:val="4"/>
      </w:pPr>
    </w:p>
    <w:p w14:paraId="1B33289A">
      <w:pPr>
        <w:pStyle w:val="4"/>
      </w:pPr>
    </w:p>
    <w:p w14:paraId="4B759876">
      <w:pPr>
        <w:pStyle w:val="4"/>
      </w:pPr>
    </w:p>
    <w:p w14:paraId="41EF826C">
      <w:pPr>
        <w:pStyle w:val="4"/>
      </w:pPr>
    </w:p>
    <w:p w14:paraId="462C7E07">
      <w:pPr>
        <w:pStyle w:val="4"/>
      </w:pPr>
    </w:p>
    <w:p w14:paraId="0D504C5B">
      <w:pPr>
        <w:pStyle w:val="4"/>
      </w:pPr>
    </w:p>
    <w:p w14:paraId="134E9063">
      <w:pPr>
        <w:pStyle w:val="4"/>
      </w:pPr>
    </w:p>
    <w:p w14:paraId="35B6EE51">
      <w:pPr>
        <w:spacing w:line="360" w:lineRule="auto"/>
        <w:rPr>
          <w:rFonts w:ascii="宋体" w:hAnsi="宋体"/>
          <w:b/>
          <w:bCs/>
          <w:sz w:val="32"/>
          <w:szCs w:val="32"/>
        </w:rPr>
      </w:pPr>
    </w:p>
    <w:p w14:paraId="39F6240E">
      <w:pPr>
        <w:spacing w:line="360" w:lineRule="auto"/>
        <w:jc w:val="center"/>
        <w:rPr>
          <w:rFonts w:ascii="宋体" w:hAnsi="宋体"/>
          <w:b/>
          <w:bCs/>
          <w:sz w:val="32"/>
          <w:szCs w:val="32"/>
        </w:rPr>
      </w:pPr>
      <w:r>
        <w:rPr>
          <w:rFonts w:hint="eastAsia" w:ascii="宋体" w:hAnsi="宋体"/>
          <w:b/>
          <w:bCs/>
          <w:sz w:val="32"/>
          <w:szCs w:val="32"/>
        </w:rPr>
        <w:t>采购人：广东省消防救援总队</w:t>
      </w:r>
    </w:p>
    <w:p w14:paraId="6005E363">
      <w:pPr>
        <w:spacing w:line="360" w:lineRule="auto"/>
        <w:jc w:val="center"/>
        <w:rPr>
          <w:rFonts w:ascii="宋体" w:hAnsi="宋体"/>
          <w:b/>
          <w:bCs/>
          <w:sz w:val="32"/>
          <w:szCs w:val="32"/>
        </w:rPr>
      </w:pPr>
      <w:r>
        <w:rPr>
          <w:rFonts w:ascii="宋体" w:hAnsi="宋体"/>
          <w:b/>
          <w:bCs/>
          <w:sz w:val="32"/>
          <w:szCs w:val="32"/>
        </w:rPr>
        <w:t>202</w:t>
      </w:r>
      <w:r>
        <w:rPr>
          <w:rFonts w:hint="eastAsia" w:ascii="宋体" w:hAnsi="宋体"/>
          <w:b/>
          <w:bCs/>
          <w:sz w:val="32"/>
          <w:szCs w:val="32"/>
          <w:lang w:val="en-US" w:eastAsia="zh-CN"/>
        </w:rPr>
        <w:t>4</w:t>
      </w:r>
      <w:r>
        <w:rPr>
          <w:rFonts w:hint="eastAsia" w:ascii="宋体" w:hAnsi="宋体"/>
          <w:b/>
          <w:bCs/>
          <w:sz w:val="32"/>
          <w:szCs w:val="32"/>
        </w:rPr>
        <w:t>年</w:t>
      </w:r>
      <w:r>
        <w:rPr>
          <w:rFonts w:hint="eastAsia" w:ascii="宋体" w:hAnsi="宋体"/>
          <w:b/>
          <w:bCs/>
          <w:sz w:val="32"/>
          <w:szCs w:val="32"/>
          <w:lang w:val="en-US" w:eastAsia="zh-CN"/>
        </w:rPr>
        <w:t>12</w:t>
      </w:r>
      <w:r>
        <w:rPr>
          <w:rFonts w:hint="eastAsia" w:ascii="宋体" w:hAnsi="宋体"/>
          <w:b/>
          <w:bCs/>
          <w:sz w:val="32"/>
          <w:szCs w:val="32"/>
        </w:rPr>
        <w:t>月</w:t>
      </w:r>
    </w:p>
    <w:p w14:paraId="781331D6">
      <w:pPr>
        <w:jc w:val="center"/>
        <w:rPr>
          <w:rFonts w:ascii="宋体" w:hAnsi="宋体"/>
          <w:b/>
          <w:sz w:val="32"/>
          <w:szCs w:val="32"/>
        </w:rPr>
        <w:sectPr>
          <w:headerReference r:id="rId3" w:type="default"/>
          <w:footerReference r:id="rId4" w:type="default"/>
          <w:pgSz w:w="11906" w:h="16838"/>
          <w:pgMar w:top="1440" w:right="1416" w:bottom="1440" w:left="1276" w:header="851" w:footer="992" w:gutter="0"/>
          <w:pgNumType w:fmt="decimal" w:start="0"/>
          <w:cols w:space="720" w:num="1"/>
          <w:docGrid w:type="lines" w:linePitch="312" w:charSpace="0"/>
        </w:sectPr>
      </w:pPr>
      <w:bookmarkStart w:id="0" w:name="_Toc370744755"/>
    </w:p>
    <w:bookmarkEnd w:id="0"/>
    <w:p w14:paraId="55A96725">
      <w:pPr>
        <w:keepNext/>
        <w:keepLines/>
        <w:adjustRightInd w:val="0"/>
        <w:spacing w:line="400" w:lineRule="exact"/>
        <w:jc w:val="center"/>
        <w:textAlignment w:val="baseline"/>
        <w:outlineLvl w:val="1"/>
        <w:rPr>
          <w:rFonts w:ascii="宋体" w:hAnsi="宋体"/>
          <w:b/>
          <w:sz w:val="36"/>
          <w:szCs w:val="36"/>
        </w:rPr>
      </w:pPr>
      <w:bookmarkStart w:id="1" w:name="_Toc371172264"/>
      <w:bookmarkStart w:id="2" w:name="_Toc337541094"/>
      <w:r>
        <w:rPr>
          <w:rFonts w:hint="eastAsia" w:ascii="宋体" w:hAnsi="宋体" w:cs="Arial"/>
          <w:b/>
          <w:bCs/>
          <w:kern w:val="0"/>
          <w:sz w:val="36"/>
          <w:szCs w:val="36"/>
        </w:rPr>
        <w:t>第一</w:t>
      </w:r>
      <w:r>
        <w:rPr>
          <w:rFonts w:hint="eastAsia" w:ascii="宋体" w:hAnsi="宋体"/>
          <w:b/>
          <w:sz w:val="36"/>
          <w:szCs w:val="36"/>
        </w:rPr>
        <w:t>章  参评须知</w:t>
      </w:r>
      <w:bookmarkEnd w:id="1"/>
      <w:bookmarkEnd w:id="2"/>
    </w:p>
    <w:p w14:paraId="6076A626">
      <w:pPr>
        <w:spacing w:line="400" w:lineRule="exact"/>
        <w:jc w:val="center"/>
        <w:rPr>
          <w:rFonts w:ascii="宋体" w:hAnsi="宋体"/>
          <w:b/>
          <w:sz w:val="28"/>
          <w:szCs w:val="28"/>
        </w:rPr>
      </w:pPr>
    </w:p>
    <w:p w14:paraId="421190D8">
      <w:pPr>
        <w:spacing w:line="400" w:lineRule="exact"/>
        <w:jc w:val="center"/>
        <w:rPr>
          <w:rFonts w:ascii="宋体" w:hAnsi="宋体"/>
          <w:b/>
          <w:sz w:val="36"/>
          <w:szCs w:val="36"/>
        </w:rPr>
      </w:pPr>
      <w:r>
        <w:rPr>
          <w:rFonts w:hint="eastAsia" w:ascii="宋体" w:hAnsi="宋体"/>
          <w:b/>
          <w:sz w:val="36"/>
          <w:szCs w:val="36"/>
        </w:rPr>
        <w:t>参评须知前附表</w:t>
      </w:r>
    </w:p>
    <w:p w14:paraId="619965A8">
      <w:pPr>
        <w:pStyle w:val="17"/>
        <w:spacing w:line="400" w:lineRule="exact"/>
        <w:rPr>
          <w:sz w:val="22"/>
          <w:szCs w:val="24"/>
        </w:rPr>
      </w:pPr>
    </w:p>
    <w:tbl>
      <w:tblPr>
        <w:tblStyle w:val="14"/>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560"/>
        <w:gridCol w:w="6913"/>
      </w:tblGrid>
      <w:tr w14:paraId="38EF0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EAEAEA"/>
            <w:noWrap w:val="0"/>
            <w:vAlign w:val="center"/>
          </w:tcPr>
          <w:p w14:paraId="5D4C65AD">
            <w:pPr>
              <w:pStyle w:val="8"/>
              <w:adjustRightInd w:val="0"/>
              <w:snapToGrid w:val="0"/>
              <w:spacing w:line="400" w:lineRule="exact"/>
              <w:jc w:val="center"/>
              <w:rPr>
                <w:rFonts w:hAnsi="宋体"/>
                <w:b/>
                <w:sz w:val="22"/>
                <w:szCs w:val="22"/>
              </w:rPr>
            </w:pPr>
            <w:r>
              <w:rPr>
                <w:rFonts w:hint="eastAsia" w:hAnsi="宋体"/>
                <w:b/>
                <w:sz w:val="22"/>
                <w:szCs w:val="22"/>
              </w:rPr>
              <w:t>序号</w:t>
            </w:r>
          </w:p>
        </w:tc>
        <w:tc>
          <w:tcPr>
            <w:tcW w:w="1560" w:type="dxa"/>
            <w:tcBorders>
              <w:top w:val="single" w:color="auto" w:sz="4" w:space="0"/>
              <w:left w:val="single" w:color="auto" w:sz="4" w:space="0"/>
              <w:bottom w:val="single" w:color="auto" w:sz="4" w:space="0"/>
              <w:right w:val="single" w:color="auto" w:sz="4" w:space="0"/>
            </w:tcBorders>
            <w:shd w:val="clear" w:color="auto" w:fill="EAEAEA"/>
            <w:noWrap w:val="0"/>
            <w:vAlign w:val="center"/>
          </w:tcPr>
          <w:p w14:paraId="47D7B654">
            <w:pPr>
              <w:pStyle w:val="8"/>
              <w:adjustRightInd w:val="0"/>
              <w:snapToGrid w:val="0"/>
              <w:spacing w:line="400" w:lineRule="exact"/>
              <w:jc w:val="center"/>
              <w:rPr>
                <w:rFonts w:hAnsi="宋体"/>
                <w:b/>
                <w:sz w:val="22"/>
                <w:szCs w:val="22"/>
              </w:rPr>
            </w:pPr>
            <w:r>
              <w:rPr>
                <w:rFonts w:hint="eastAsia" w:hAnsi="宋体"/>
                <w:b/>
                <w:sz w:val="22"/>
                <w:szCs w:val="22"/>
              </w:rPr>
              <w:t>项目</w:t>
            </w:r>
          </w:p>
        </w:tc>
        <w:tc>
          <w:tcPr>
            <w:tcW w:w="6913" w:type="dxa"/>
            <w:tcBorders>
              <w:top w:val="single" w:color="auto" w:sz="4" w:space="0"/>
              <w:left w:val="single" w:color="auto" w:sz="4" w:space="0"/>
              <w:bottom w:val="single" w:color="auto" w:sz="4" w:space="0"/>
              <w:right w:val="single" w:color="auto" w:sz="4" w:space="0"/>
            </w:tcBorders>
            <w:shd w:val="clear" w:color="auto" w:fill="EAEAEA"/>
            <w:noWrap w:val="0"/>
            <w:vAlign w:val="center"/>
          </w:tcPr>
          <w:p w14:paraId="4520394C">
            <w:pPr>
              <w:pStyle w:val="8"/>
              <w:adjustRightInd w:val="0"/>
              <w:snapToGrid w:val="0"/>
              <w:spacing w:line="400" w:lineRule="exact"/>
              <w:jc w:val="center"/>
              <w:rPr>
                <w:rFonts w:hAnsi="宋体"/>
                <w:b/>
                <w:sz w:val="22"/>
                <w:szCs w:val="22"/>
              </w:rPr>
            </w:pPr>
            <w:r>
              <w:rPr>
                <w:rFonts w:hint="eastAsia" w:hAnsi="宋体"/>
                <w:b/>
                <w:sz w:val="22"/>
                <w:szCs w:val="22"/>
              </w:rPr>
              <w:t>内容</w:t>
            </w:r>
          </w:p>
        </w:tc>
      </w:tr>
      <w:tr w14:paraId="2DBFD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14:paraId="7A498C51">
            <w:pPr>
              <w:pStyle w:val="8"/>
              <w:numPr>
                <w:ilvl w:val="0"/>
                <w:numId w:val="1"/>
              </w:numPr>
              <w:adjustRightInd w:val="0"/>
              <w:snapToGrid w:val="0"/>
              <w:spacing w:line="276" w:lineRule="auto"/>
              <w:jc w:val="center"/>
              <w:rPr>
                <w:rFonts w:hAnsi="宋体"/>
                <w:bCs/>
                <w:sz w:val="22"/>
                <w:szCs w:val="22"/>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B675D05">
            <w:pPr>
              <w:pStyle w:val="8"/>
              <w:adjustRightInd w:val="0"/>
              <w:snapToGrid w:val="0"/>
              <w:spacing w:line="276" w:lineRule="auto"/>
              <w:jc w:val="center"/>
              <w:rPr>
                <w:rFonts w:hAnsi="宋体"/>
                <w:sz w:val="22"/>
                <w:szCs w:val="22"/>
              </w:rPr>
            </w:pPr>
            <w:r>
              <w:rPr>
                <w:rFonts w:hint="eastAsia" w:hAnsi="宋体"/>
                <w:sz w:val="22"/>
                <w:szCs w:val="22"/>
              </w:rPr>
              <w:t>项目概况</w:t>
            </w:r>
          </w:p>
        </w:tc>
        <w:tc>
          <w:tcPr>
            <w:tcW w:w="6913" w:type="dxa"/>
            <w:tcBorders>
              <w:top w:val="single" w:color="auto" w:sz="4" w:space="0"/>
              <w:left w:val="single" w:color="auto" w:sz="4" w:space="0"/>
              <w:bottom w:val="single" w:color="auto" w:sz="4" w:space="0"/>
              <w:right w:val="single" w:color="auto" w:sz="4" w:space="0"/>
            </w:tcBorders>
            <w:noWrap w:val="0"/>
            <w:vAlign w:val="center"/>
          </w:tcPr>
          <w:p w14:paraId="3B7104C1">
            <w:pPr>
              <w:spacing w:line="594" w:lineRule="exact"/>
              <w:rPr>
                <w:rFonts w:ascii="宋体" w:hAnsi="宋体"/>
                <w:sz w:val="22"/>
                <w:szCs w:val="22"/>
              </w:rPr>
            </w:pPr>
            <w:r>
              <w:rPr>
                <w:rFonts w:hint="eastAsia" w:ascii="宋体" w:hAnsi="宋体"/>
                <w:sz w:val="22"/>
                <w:szCs w:val="22"/>
              </w:rPr>
              <w:t>项目名称：</w:t>
            </w:r>
            <w:r>
              <w:rPr>
                <w:rFonts w:hint="eastAsia" w:ascii="宋体" w:hAnsi="宋体"/>
                <w:sz w:val="22"/>
                <w:szCs w:val="22"/>
                <w:u w:val="single"/>
              </w:rPr>
              <w:t>广东省政府挂牌督办火灾隐患重点地区社会调查</w:t>
            </w:r>
            <w:r>
              <w:rPr>
                <w:rFonts w:hint="eastAsia" w:ascii="宋体" w:hAnsi="宋体"/>
                <w:sz w:val="22"/>
                <w:szCs w:val="22"/>
              </w:rPr>
              <w:t>采购项目</w:t>
            </w:r>
          </w:p>
          <w:p w14:paraId="15AFBC15">
            <w:pPr>
              <w:tabs>
                <w:tab w:val="left" w:pos="2552"/>
              </w:tabs>
              <w:spacing w:line="276" w:lineRule="auto"/>
              <w:rPr>
                <w:rFonts w:ascii="宋体" w:hAnsi="宋体"/>
                <w:sz w:val="22"/>
                <w:szCs w:val="22"/>
              </w:rPr>
            </w:pPr>
            <w:r>
              <w:rPr>
                <w:rFonts w:hint="eastAsia" w:ascii="宋体" w:hAnsi="宋体"/>
                <w:sz w:val="22"/>
                <w:szCs w:val="22"/>
              </w:rPr>
              <w:t>项目编号：</w:t>
            </w:r>
            <w:r>
              <w:rPr>
                <w:rFonts w:hint="eastAsia" w:ascii="宋体" w:hAnsi="宋体"/>
                <w:sz w:val="22"/>
                <w:szCs w:val="22"/>
                <w:u w:val="single"/>
              </w:rPr>
              <w:t xml:space="preserve">  FHJDC202413  </w:t>
            </w:r>
          </w:p>
          <w:p w14:paraId="6F272704">
            <w:pPr>
              <w:tabs>
                <w:tab w:val="left" w:pos="2552"/>
              </w:tabs>
              <w:spacing w:line="276" w:lineRule="auto"/>
              <w:rPr>
                <w:rFonts w:ascii="宋体" w:hAnsi="宋体"/>
                <w:sz w:val="22"/>
                <w:szCs w:val="22"/>
              </w:rPr>
            </w:pPr>
            <w:r>
              <w:rPr>
                <w:rFonts w:hint="eastAsia" w:ascii="宋体" w:hAnsi="宋体"/>
                <w:sz w:val="22"/>
                <w:szCs w:val="22"/>
              </w:rPr>
              <w:t>采购人名称：广东省消防救援总队</w:t>
            </w:r>
          </w:p>
          <w:p w14:paraId="198A5E98">
            <w:pPr>
              <w:tabs>
                <w:tab w:val="left" w:pos="2552"/>
              </w:tabs>
              <w:spacing w:line="276" w:lineRule="auto"/>
              <w:rPr>
                <w:rFonts w:ascii="宋体" w:hAnsi="宋体"/>
                <w:sz w:val="22"/>
                <w:szCs w:val="22"/>
              </w:rPr>
            </w:pPr>
            <w:r>
              <w:rPr>
                <w:rFonts w:hint="eastAsia" w:ascii="宋体" w:hAnsi="宋体"/>
                <w:sz w:val="22"/>
                <w:szCs w:val="22"/>
              </w:rPr>
              <w:t>采购方式：遴选采购</w:t>
            </w:r>
          </w:p>
        </w:tc>
      </w:tr>
      <w:tr w14:paraId="21979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959" w:type="dxa"/>
            <w:noWrap w:val="0"/>
            <w:vAlign w:val="center"/>
          </w:tcPr>
          <w:p w14:paraId="49304B57">
            <w:pPr>
              <w:pStyle w:val="8"/>
              <w:numPr>
                <w:ilvl w:val="0"/>
                <w:numId w:val="1"/>
              </w:numPr>
              <w:adjustRightInd w:val="0"/>
              <w:snapToGrid w:val="0"/>
              <w:spacing w:line="276" w:lineRule="auto"/>
              <w:jc w:val="center"/>
              <w:rPr>
                <w:rFonts w:hAnsi="宋体"/>
                <w:bCs/>
                <w:sz w:val="22"/>
                <w:szCs w:val="22"/>
              </w:rPr>
            </w:pPr>
          </w:p>
        </w:tc>
        <w:tc>
          <w:tcPr>
            <w:tcW w:w="1560" w:type="dxa"/>
            <w:noWrap w:val="0"/>
            <w:vAlign w:val="center"/>
          </w:tcPr>
          <w:p w14:paraId="2E4526A1">
            <w:pPr>
              <w:tabs>
                <w:tab w:val="left" w:pos="2552"/>
              </w:tabs>
              <w:spacing w:line="276" w:lineRule="auto"/>
              <w:jc w:val="center"/>
              <w:rPr>
                <w:rFonts w:ascii="宋体" w:hAnsi="宋体"/>
                <w:sz w:val="22"/>
                <w:szCs w:val="22"/>
              </w:rPr>
            </w:pPr>
            <w:r>
              <w:rPr>
                <w:rFonts w:hint="eastAsia" w:ascii="宋体" w:hAnsi="宋体"/>
                <w:sz w:val="22"/>
                <w:szCs w:val="22"/>
              </w:rPr>
              <w:t>评选有效期</w:t>
            </w:r>
          </w:p>
        </w:tc>
        <w:tc>
          <w:tcPr>
            <w:tcW w:w="6913" w:type="dxa"/>
            <w:noWrap w:val="0"/>
            <w:vAlign w:val="center"/>
          </w:tcPr>
          <w:p w14:paraId="763DC145">
            <w:pPr>
              <w:tabs>
                <w:tab w:val="left" w:pos="2552"/>
              </w:tabs>
              <w:spacing w:line="276" w:lineRule="auto"/>
              <w:rPr>
                <w:rFonts w:ascii="宋体" w:hAnsi="宋体"/>
                <w:sz w:val="22"/>
                <w:szCs w:val="22"/>
              </w:rPr>
            </w:pPr>
            <w:r>
              <w:rPr>
                <w:rFonts w:hint="eastAsia" w:ascii="宋体" w:hAnsi="宋体"/>
                <w:sz w:val="22"/>
                <w:szCs w:val="22"/>
              </w:rPr>
              <w:t>从评</w:t>
            </w:r>
            <w:r>
              <w:rPr>
                <w:rFonts w:hint="eastAsia" w:ascii="宋体" w:hAnsi="宋体"/>
                <w:color w:val="auto"/>
                <w:sz w:val="22"/>
                <w:szCs w:val="22"/>
              </w:rPr>
              <w:t>选截止之日起 90 日内。</w:t>
            </w:r>
          </w:p>
        </w:tc>
      </w:tr>
      <w:tr w14:paraId="44CDA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59" w:type="dxa"/>
            <w:noWrap w:val="0"/>
            <w:vAlign w:val="center"/>
          </w:tcPr>
          <w:p w14:paraId="4F3C9DAA">
            <w:pPr>
              <w:pStyle w:val="8"/>
              <w:numPr>
                <w:ilvl w:val="0"/>
                <w:numId w:val="1"/>
              </w:numPr>
              <w:adjustRightInd w:val="0"/>
              <w:snapToGrid w:val="0"/>
              <w:spacing w:line="276" w:lineRule="auto"/>
              <w:jc w:val="center"/>
              <w:rPr>
                <w:rFonts w:hAnsi="宋体"/>
                <w:bCs/>
                <w:sz w:val="22"/>
                <w:szCs w:val="22"/>
              </w:rPr>
            </w:pPr>
          </w:p>
        </w:tc>
        <w:tc>
          <w:tcPr>
            <w:tcW w:w="1560" w:type="dxa"/>
            <w:noWrap w:val="0"/>
            <w:vAlign w:val="center"/>
          </w:tcPr>
          <w:p w14:paraId="540ABA14">
            <w:pPr>
              <w:tabs>
                <w:tab w:val="left" w:pos="2552"/>
              </w:tabs>
              <w:spacing w:line="276" w:lineRule="auto"/>
              <w:jc w:val="center"/>
              <w:rPr>
                <w:rFonts w:ascii="宋体" w:hAnsi="宋体"/>
                <w:sz w:val="22"/>
                <w:szCs w:val="22"/>
              </w:rPr>
            </w:pPr>
            <w:r>
              <w:rPr>
                <w:rFonts w:hint="eastAsia" w:ascii="宋体" w:hAnsi="宋体"/>
                <w:sz w:val="22"/>
                <w:szCs w:val="22"/>
              </w:rPr>
              <w:t>参评递交材料</w:t>
            </w:r>
          </w:p>
        </w:tc>
        <w:tc>
          <w:tcPr>
            <w:tcW w:w="6913" w:type="dxa"/>
            <w:noWrap w:val="0"/>
            <w:vAlign w:val="center"/>
          </w:tcPr>
          <w:p w14:paraId="5EA15A4F">
            <w:pPr>
              <w:tabs>
                <w:tab w:val="left" w:pos="2552"/>
              </w:tabs>
              <w:spacing w:line="276" w:lineRule="auto"/>
              <w:rPr>
                <w:rFonts w:ascii="宋体" w:hAnsi="宋体"/>
                <w:sz w:val="22"/>
                <w:szCs w:val="22"/>
              </w:rPr>
            </w:pPr>
            <w:r>
              <w:rPr>
                <w:rFonts w:hint="eastAsia" w:ascii="宋体" w:hAnsi="宋体"/>
                <w:sz w:val="22"/>
                <w:szCs w:val="22"/>
              </w:rPr>
              <w:t>参评文</w:t>
            </w:r>
            <w:r>
              <w:rPr>
                <w:rFonts w:hint="eastAsia" w:ascii="宋体" w:hAnsi="宋体"/>
                <w:color w:val="000000"/>
                <w:sz w:val="22"/>
                <w:szCs w:val="22"/>
              </w:rPr>
              <w:t>件</w:t>
            </w:r>
            <w:r>
              <w:rPr>
                <w:rFonts w:hint="eastAsia" w:ascii="宋体" w:hAnsi="宋体"/>
                <w:b/>
                <w:color w:val="000000"/>
                <w:sz w:val="22"/>
                <w:szCs w:val="22"/>
              </w:rPr>
              <w:t>一式三份（正本一份，复印件副本二份）</w:t>
            </w:r>
            <w:r>
              <w:rPr>
                <w:rFonts w:hint="eastAsia" w:ascii="宋体" w:hAnsi="宋体"/>
                <w:color w:val="000000"/>
                <w:sz w:val="22"/>
                <w:szCs w:val="22"/>
              </w:rPr>
              <w:t>，</w:t>
            </w:r>
            <w:r>
              <w:rPr>
                <w:rFonts w:hint="eastAsia" w:ascii="宋体" w:hAnsi="宋体"/>
                <w:sz w:val="22"/>
                <w:szCs w:val="22"/>
              </w:rPr>
              <w:t>在每一封口处加盖公章，并在封套上标明项目名称、参评人名称等字样。</w:t>
            </w:r>
          </w:p>
        </w:tc>
      </w:tr>
      <w:tr w14:paraId="2CAC5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59" w:type="dxa"/>
            <w:noWrap w:val="0"/>
            <w:vAlign w:val="center"/>
          </w:tcPr>
          <w:p w14:paraId="75503D68">
            <w:pPr>
              <w:pStyle w:val="8"/>
              <w:numPr>
                <w:ilvl w:val="0"/>
                <w:numId w:val="1"/>
              </w:numPr>
              <w:adjustRightInd w:val="0"/>
              <w:snapToGrid w:val="0"/>
              <w:spacing w:line="276" w:lineRule="auto"/>
              <w:jc w:val="center"/>
              <w:rPr>
                <w:rFonts w:hAnsi="宋体"/>
                <w:bCs/>
                <w:sz w:val="22"/>
                <w:szCs w:val="22"/>
              </w:rPr>
            </w:pPr>
          </w:p>
        </w:tc>
        <w:tc>
          <w:tcPr>
            <w:tcW w:w="1560" w:type="dxa"/>
            <w:noWrap w:val="0"/>
            <w:vAlign w:val="center"/>
          </w:tcPr>
          <w:p w14:paraId="5824D07A">
            <w:pPr>
              <w:tabs>
                <w:tab w:val="left" w:pos="2552"/>
              </w:tabs>
              <w:spacing w:line="276" w:lineRule="auto"/>
              <w:jc w:val="center"/>
              <w:rPr>
                <w:rFonts w:ascii="宋体" w:hAnsi="宋体"/>
                <w:sz w:val="22"/>
                <w:szCs w:val="22"/>
              </w:rPr>
            </w:pPr>
            <w:r>
              <w:rPr>
                <w:rFonts w:hint="eastAsia" w:ascii="宋体" w:hAnsi="宋体"/>
                <w:sz w:val="22"/>
                <w:szCs w:val="22"/>
              </w:rPr>
              <w:t>材料递交方式</w:t>
            </w:r>
          </w:p>
        </w:tc>
        <w:tc>
          <w:tcPr>
            <w:tcW w:w="6913" w:type="dxa"/>
            <w:tcBorders>
              <w:bottom w:val="single" w:color="000000" w:sz="4" w:space="0"/>
            </w:tcBorders>
            <w:noWrap w:val="0"/>
            <w:vAlign w:val="center"/>
          </w:tcPr>
          <w:p w14:paraId="3C57297C">
            <w:pPr>
              <w:tabs>
                <w:tab w:val="left" w:pos="2552"/>
              </w:tabs>
              <w:spacing w:line="276" w:lineRule="auto"/>
              <w:rPr>
                <w:rFonts w:ascii="宋体" w:hAnsi="宋体"/>
                <w:sz w:val="22"/>
                <w:szCs w:val="22"/>
              </w:rPr>
            </w:pPr>
            <w:r>
              <w:rPr>
                <w:rFonts w:hint="eastAsia" w:ascii="宋体" w:hAnsi="宋体"/>
                <w:sz w:val="22"/>
                <w:szCs w:val="22"/>
              </w:rPr>
              <w:t>采用EMS邮寄参评，邮寄地址及收件人：广东省广州市天河区瘦狗岭路483号，广东省消防救援总队</w:t>
            </w:r>
            <w:r>
              <w:rPr>
                <w:rFonts w:hint="eastAsia" w:ascii="宋体" w:hAnsi="宋体"/>
                <w:sz w:val="22"/>
                <w:szCs w:val="22"/>
                <w:lang w:val="en-US" w:eastAsia="zh-CN"/>
              </w:rPr>
              <w:t xml:space="preserve"> 陈堃</w:t>
            </w:r>
            <w:r>
              <w:rPr>
                <w:rFonts w:hint="eastAsia" w:ascii="宋体" w:hAnsi="宋体"/>
                <w:sz w:val="22"/>
                <w:szCs w:val="22"/>
              </w:rPr>
              <w:t>（收）（</w:t>
            </w:r>
            <w:r>
              <w:rPr>
                <w:rFonts w:hint="eastAsia" w:ascii="宋体" w:hAnsi="宋体"/>
                <w:sz w:val="22"/>
                <w:szCs w:val="22"/>
                <w:highlight w:val="none"/>
              </w:rPr>
              <w:t>电话020-</w:t>
            </w:r>
            <w:r>
              <w:rPr>
                <w:rFonts w:ascii="宋体" w:hAnsi="宋体"/>
                <w:sz w:val="22"/>
                <w:szCs w:val="22"/>
                <w:highlight w:val="none"/>
              </w:rPr>
              <w:t xml:space="preserve"> </w:t>
            </w:r>
            <w:r>
              <w:rPr>
                <w:rFonts w:hint="eastAsia" w:ascii="宋体" w:hAnsi="宋体"/>
                <w:sz w:val="22"/>
                <w:szCs w:val="22"/>
                <w:highlight w:val="none"/>
                <w:lang w:val="en-US" w:eastAsia="zh-CN"/>
              </w:rPr>
              <w:t>87119414</w:t>
            </w:r>
            <w:r>
              <w:rPr>
                <w:rFonts w:ascii="宋体" w:hAnsi="宋体"/>
                <w:sz w:val="22"/>
                <w:szCs w:val="22"/>
              </w:rPr>
              <w:t xml:space="preserve"> </w:t>
            </w:r>
            <w:r>
              <w:rPr>
                <w:rFonts w:hint="eastAsia" w:ascii="宋体" w:hAnsi="宋体"/>
                <w:sz w:val="22"/>
                <w:szCs w:val="22"/>
              </w:rPr>
              <w:t>）。</w:t>
            </w:r>
          </w:p>
        </w:tc>
      </w:tr>
      <w:tr w14:paraId="7AABA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959" w:type="dxa"/>
            <w:noWrap w:val="0"/>
            <w:vAlign w:val="center"/>
          </w:tcPr>
          <w:p w14:paraId="32EB16DB">
            <w:pPr>
              <w:pStyle w:val="8"/>
              <w:numPr>
                <w:ilvl w:val="0"/>
                <w:numId w:val="1"/>
              </w:numPr>
              <w:adjustRightInd w:val="0"/>
              <w:snapToGrid w:val="0"/>
              <w:spacing w:line="276" w:lineRule="auto"/>
              <w:jc w:val="center"/>
              <w:rPr>
                <w:rFonts w:hAnsi="宋体"/>
                <w:bCs/>
                <w:sz w:val="22"/>
                <w:szCs w:val="22"/>
              </w:rPr>
            </w:pPr>
          </w:p>
        </w:tc>
        <w:tc>
          <w:tcPr>
            <w:tcW w:w="1560" w:type="dxa"/>
            <w:noWrap w:val="0"/>
            <w:vAlign w:val="center"/>
          </w:tcPr>
          <w:p w14:paraId="5AC4DA76">
            <w:pPr>
              <w:tabs>
                <w:tab w:val="left" w:pos="2552"/>
              </w:tabs>
              <w:spacing w:line="276" w:lineRule="auto"/>
              <w:jc w:val="center"/>
              <w:rPr>
                <w:rFonts w:ascii="宋体" w:hAnsi="宋体"/>
                <w:sz w:val="22"/>
                <w:szCs w:val="22"/>
              </w:rPr>
            </w:pPr>
            <w:r>
              <w:rPr>
                <w:rFonts w:hint="eastAsia" w:ascii="宋体" w:hAnsi="宋体"/>
                <w:sz w:val="22"/>
                <w:szCs w:val="22"/>
              </w:rPr>
              <w:t>评选</w:t>
            </w:r>
          </w:p>
        </w:tc>
        <w:tc>
          <w:tcPr>
            <w:tcW w:w="6913" w:type="dxa"/>
            <w:tcBorders>
              <w:bottom w:val="single" w:color="000000" w:sz="4" w:space="0"/>
            </w:tcBorders>
            <w:noWrap w:val="0"/>
            <w:vAlign w:val="center"/>
          </w:tcPr>
          <w:p w14:paraId="4DD4176A">
            <w:pPr>
              <w:tabs>
                <w:tab w:val="left" w:pos="2552"/>
              </w:tabs>
              <w:spacing w:line="276" w:lineRule="auto"/>
              <w:rPr>
                <w:rFonts w:ascii="宋体" w:hAnsi="宋体"/>
                <w:b/>
                <w:sz w:val="22"/>
                <w:szCs w:val="22"/>
              </w:rPr>
            </w:pPr>
            <w:r>
              <w:rPr>
                <w:rFonts w:hint="eastAsia"/>
                <w:sz w:val="22"/>
                <w:szCs w:val="24"/>
              </w:rPr>
              <w:t>采购人根据工作安排确定评选时间，不晚于</w:t>
            </w:r>
            <w:r>
              <w:rPr>
                <w:rFonts w:hint="eastAsia"/>
                <w:color w:val="auto"/>
                <w:sz w:val="22"/>
                <w:szCs w:val="24"/>
              </w:rPr>
              <w:t>202</w:t>
            </w:r>
            <w:r>
              <w:rPr>
                <w:rFonts w:hint="eastAsia"/>
                <w:color w:val="auto"/>
                <w:sz w:val="22"/>
                <w:szCs w:val="24"/>
                <w:lang w:val="en-US" w:eastAsia="zh-CN"/>
              </w:rPr>
              <w:t>4</w:t>
            </w:r>
            <w:r>
              <w:rPr>
                <w:rFonts w:hint="eastAsia"/>
                <w:color w:val="auto"/>
                <w:sz w:val="22"/>
                <w:szCs w:val="24"/>
              </w:rPr>
              <w:t>年</w:t>
            </w:r>
            <w:r>
              <w:rPr>
                <w:rFonts w:hint="eastAsia"/>
                <w:color w:val="auto"/>
                <w:sz w:val="22"/>
                <w:szCs w:val="24"/>
                <w:lang w:val="en-US" w:eastAsia="zh-CN"/>
              </w:rPr>
              <w:t>12</w:t>
            </w:r>
            <w:r>
              <w:rPr>
                <w:rFonts w:hint="eastAsia"/>
                <w:color w:val="auto"/>
                <w:sz w:val="22"/>
                <w:szCs w:val="24"/>
              </w:rPr>
              <w:t xml:space="preserve"> 月</w:t>
            </w:r>
            <w:r>
              <w:rPr>
                <w:rFonts w:hint="eastAsia"/>
                <w:color w:val="auto"/>
                <w:sz w:val="22"/>
                <w:szCs w:val="24"/>
                <w:lang w:val="en-US" w:eastAsia="zh-CN"/>
              </w:rPr>
              <w:t>25</w:t>
            </w:r>
            <w:r>
              <w:rPr>
                <w:color w:val="auto"/>
                <w:sz w:val="22"/>
                <w:szCs w:val="24"/>
              </w:rPr>
              <w:t xml:space="preserve"> </w:t>
            </w:r>
            <w:r>
              <w:rPr>
                <w:rFonts w:hint="eastAsia"/>
                <w:color w:val="auto"/>
                <w:sz w:val="22"/>
                <w:szCs w:val="24"/>
              </w:rPr>
              <w:t>日</w:t>
            </w:r>
            <w:r>
              <w:rPr>
                <w:rFonts w:hint="eastAsia"/>
                <w:sz w:val="22"/>
                <w:szCs w:val="24"/>
              </w:rPr>
              <w:t>。</w:t>
            </w:r>
          </w:p>
        </w:tc>
      </w:tr>
      <w:tr w14:paraId="54C6F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jc w:val="center"/>
        </w:trPr>
        <w:tc>
          <w:tcPr>
            <w:tcW w:w="959" w:type="dxa"/>
            <w:tcBorders>
              <w:top w:val="single" w:color="auto" w:sz="4" w:space="0"/>
            </w:tcBorders>
            <w:noWrap w:val="0"/>
            <w:vAlign w:val="center"/>
          </w:tcPr>
          <w:p w14:paraId="7ACE409B">
            <w:pPr>
              <w:pStyle w:val="8"/>
              <w:numPr>
                <w:ilvl w:val="0"/>
                <w:numId w:val="1"/>
              </w:numPr>
              <w:adjustRightInd w:val="0"/>
              <w:snapToGrid w:val="0"/>
              <w:spacing w:line="276" w:lineRule="auto"/>
              <w:jc w:val="center"/>
              <w:rPr>
                <w:rFonts w:hAnsi="宋体"/>
                <w:bCs/>
                <w:sz w:val="22"/>
                <w:szCs w:val="22"/>
              </w:rPr>
            </w:pPr>
          </w:p>
        </w:tc>
        <w:tc>
          <w:tcPr>
            <w:tcW w:w="1560" w:type="dxa"/>
            <w:tcBorders>
              <w:top w:val="single" w:color="auto" w:sz="4" w:space="0"/>
            </w:tcBorders>
            <w:noWrap w:val="0"/>
            <w:vAlign w:val="center"/>
          </w:tcPr>
          <w:p w14:paraId="470C5371">
            <w:pPr>
              <w:tabs>
                <w:tab w:val="left" w:pos="2552"/>
              </w:tabs>
              <w:spacing w:line="276" w:lineRule="auto"/>
              <w:jc w:val="center"/>
              <w:rPr>
                <w:rFonts w:ascii="宋体" w:hAnsi="宋体"/>
                <w:sz w:val="22"/>
                <w:szCs w:val="22"/>
              </w:rPr>
            </w:pPr>
            <w:r>
              <w:rPr>
                <w:rFonts w:hint="eastAsia" w:ascii="宋体" w:hAnsi="宋体"/>
                <w:sz w:val="22"/>
                <w:szCs w:val="22"/>
              </w:rPr>
              <w:t>评审小组</w:t>
            </w:r>
          </w:p>
        </w:tc>
        <w:tc>
          <w:tcPr>
            <w:tcW w:w="6913" w:type="dxa"/>
            <w:noWrap w:val="0"/>
            <w:vAlign w:val="center"/>
          </w:tcPr>
          <w:p w14:paraId="6971AFEB">
            <w:pPr>
              <w:tabs>
                <w:tab w:val="left" w:pos="2552"/>
              </w:tabs>
              <w:spacing w:line="276" w:lineRule="auto"/>
              <w:rPr>
                <w:rFonts w:ascii="宋体" w:hAnsi="宋体"/>
                <w:sz w:val="22"/>
                <w:szCs w:val="22"/>
              </w:rPr>
            </w:pPr>
            <w:r>
              <w:rPr>
                <w:rFonts w:hint="eastAsia" w:ascii="宋体" w:hAnsi="宋体"/>
                <w:bCs/>
                <w:sz w:val="22"/>
                <w:szCs w:val="22"/>
              </w:rPr>
              <w:t>全部评审过程由采购人组建的评审小组负责完成，评审小组由3人单数成员组成。</w:t>
            </w:r>
          </w:p>
        </w:tc>
      </w:tr>
      <w:tr w14:paraId="4FC55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59" w:type="dxa"/>
            <w:noWrap w:val="0"/>
            <w:vAlign w:val="center"/>
          </w:tcPr>
          <w:p w14:paraId="028702D2">
            <w:pPr>
              <w:pStyle w:val="8"/>
              <w:numPr>
                <w:ilvl w:val="0"/>
                <w:numId w:val="1"/>
              </w:numPr>
              <w:adjustRightInd w:val="0"/>
              <w:snapToGrid w:val="0"/>
              <w:spacing w:line="276" w:lineRule="auto"/>
              <w:jc w:val="center"/>
              <w:rPr>
                <w:rFonts w:hAnsi="宋体"/>
                <w:bCs/>
                <w:sz w:val="22"/>
                <w:szCs w:val="22"/>
              </w:rPr>
            </w:pPr>
          </w:p>
        </w:tc>
        <w:tc>
          <w:tcPr>
            <w:tcW w:w="1560" w:type="dxa"/>
            <w:noWrap w:val="0"/>
            <w:vAlign w:val="center"/>
          </w:tcPr>
          <w:p w14:paraId="1A4E6FF1">
            <w:pPr>
              <w:tabs>
                <w:tab w:val="left" w:pos="2552"/>
              </w:tabs>
              <w:spacing w:line="276" w:lineRule="auto"/>
              <w:jc w:val="center"/>
              <w:rPr>
                <w:rFonts w:ascii="宋体" w:hAnsi="宋体"/>
                <w:sz w:val="22"/>
                <w:szCs w:val="22"/>
              </w:rPr>
            </w:pPr>
            <w:r>
              <w:rPr>
                <w:rFonts w:hint="eastAsia" w:ascii="宋体" w:hAnsi="宋体"/>
                <w:sz w:val="22"/>
                <w:szCs w:val="22"/>
              </w:rPr>
              <w:t>评审方法</w:t>
            </w:r>
          </w:p>
        </w:tc>
        <w:tc>
          <w:tcPr>
            <w:tcW w:w="6913" w:type="dxa"/>
            <w:noWrap w:val="0"/>
            <w:vAlign w:val="center"/>
          </w:tcPr>
          <w:p w14:paraId="2C903798">
            <w:pPr>
              <w:autoSpaceDE w:val="0"/>
              <w:autoSpaceDN w:val="0"/>
              <w:adjustRightInd w:val="0"/>
              <w:spacing w:line="276" w:lineRule="auto"/>
              <w:rPr>
                <w:rFonts w:ascii="宋体" w:hAnsi="宋体"/>
                <w:bCs/>
                <w:sz w:val="22"/>
                <w:szCs w:val="22"/>
              </w:rPr>
            </w:pPr>
            <w:r>
              <w:rPr>
                <w:rFonts w:hint="eastAsia" w:ascii="宋体" w:hAnsi="宋体"/>
                <w:bCs/>
                <w:sz w:val="22"/>
                <w:szCs w:val="22"/>
              </w:rPr>
              <w:t>综合评分法（</w:t>
            </w:r>
            <w:r>
              <w:rPr>
                <w:rFonts w:ascii="宋体" w:hAnsi="宋体"/>
                <w:bCs/>
                <w:sz w:val="22"/>
                <w:szCs w:val="22"/>
              </w:rPr>
              <w:t>100%</w:t>
            </w:r>
            <w:r>
              <w:rPr>
                <w:rFonts w:hint="eastAsia" w:ascii="宋体" w:hAnsi="宋体"/>
                <w:bCs/>
                <w:sz w:val="22"/>
                <w:szCs w:val="22"/>
              </w:rPr>
              <w:t>）</w:t>
            </w:r>
          </w:p>
          <w:p w14:paraId="1FFE4185">
            <w:pPr>
              <w:tabs>
                <w:tab w:val="left" w:pos="2552"/>
              </w:tabs>
              <w:spacing w:line="276" w:lineRule="auto"/>
              <w:rPr>
                <w:rFonts w:ascii="宋体" w:hAnsi="宋体"/>
                <w:sz w:val="22"/>
                <w:szCs w:val="22"/>
              </w:rPr>
            </w:pPr>
            <w:r>
              <w:rPr>
                <w:rFonts w:hint="eastAsia" w:ascii="宋体" w:hAnsi="宋体"/>
                <w:bCs/>
                <w:sz w:val="22"/>
                <w:szCs w:val="22"/>
              </w:rPr>
              <w:t>技术分值</w:t>
            </w:r>
            <w:r>
              <w:rPr>
                <w:rFonts w:hint="eastAsia" w:ascii="宋体" w:hAnsi="宋体"/>
                <w:bCs/>
                <w:sz w:val="22"/>
                <w:szCs w:val="22"/>
                <w:lang w:val="en-US" w:eastAsia="zh-CN"/>
              </w:rPr>
              <w:t>50</w:t>
            </w:r>
            <w:r>
              <w:rPr>
                <w:rFonts w:ascii="宋体" w:hAnsi="宋体"/>
                <w:bCs/>
                <w:sz w:val="22"/>
                <w:szCs w:val="22"/>
              </w:rPr>
              <w:t>%</w:t>
            </w:r>
            <w:r>
              <w:rPr>
                <w:rFonts w:hint="eastAsia" w:ascii="宋体" w:hAnsi="宋体"/>
                <w:bCs/>
                <w:sz w:val="22"/>
                <w:szCs w:val="22"/>
              </w:rPr>
              <w:t>，商务分值</w:t>
            </w:r>
            <w:r>
              <w:rPr>
                <w:rFonts w:hint="eastAsia" w:ascii="宋体" w:hAnsi="宋体"/>
                <w:bCs/>
                <w:sz w:val="22"/>
                <w:szCs w:val="22"/>
                <w:lang w:val="en-US" w:eastAsia="zh-CN"/>
              </w:rPr>
              <w:t>20</w:t>
            </w:r>
            <w:r>
              <w:rPr>
                <w:rFonts w:hint="eastAsia" w:ascii="宋体" w:hAnsi="宋体"/>
                <w:bCs/>
                <w:sz w:val="22"/>
                <w:szCs w:val="22"/>
              </w:rPr>
              <w:t>%，价格分值</w:t>
            </w:r>
            <w:r>
              <w:rPr>
                <w:rFonts w:hint="eastAsia" w:ascii="宋体" w:hAnsi="宋体"/>
                <w:bCs/>
                <w:sz w:val="22"/>
                <w:szCs w:val="22"/>
                <w:lang w:val="en-US" w:eastAsia="zh-CN"/>
              </w:rPr>
              <w:t>30</w:t>
            </w:r>
            <w:r>
              <w:rPr>
                <w:rFonts w:ascii="宋体" w:hAnsi="宋体"/>
                <w:bCs/>
                <w:sz w:val="22"/>
                <w:szCs w:val="22"/>
              </w:rPr>
              <w:t>%</w:t>
            </w:r>
          </w:p>
        </w:tc>
      </w:tr>
      <w:tr w14:paraId="4CCAE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59" w:type="dxa"/>
            <w:noWrap w:val="0"/>
            <w:vAlign w:val="center"/>
          </w:tcPr>
          <w:p w14:paraId="1A6421A5">
            <w:pPr>
              <w:pStyle w:val="8"/>
              <w:numPr>
                <w:ilvl w:val="0"/>
                <w:numId w:val="1"/>
              </w:numPr>
              <w:adjustRightInd w:val="0"/>
              <w:snapToGrid w:val="0"/>
              <w:spacing w:line="276" w:lineRule="auto"/>
              <w:jc w:val="center"/>
              <w:rPr>
                <w:rFonts w:hAnsi="宋体"/>
                <w:bCs/>
                <w:sz w:val="22"/>
                <w:szCs w:val="22"/>
              </w:rPr>
            </w:pPr>
          </w:p>
        </w:tc>
        <w:tc>
          <w:tcPr>
            <w:tcW w:w="1560" w:type="dxa"/>
            <w:noWrap w:val="0"/>
            <w:vAlign w:val="center"/>
          </w:tcPr>
          <w:p w14:paraId="41060208">
            <w:pPr>
              <w:spacing w:line="276" w:lineRule="auto"/>
              <w:jc w:val="center"/>
              <w:rPr>
                <w:rFonts w:ascii="宋体" w:hAnsi="宋体"/>
                <w:sz w:val="22"/>
                <w:szCs w:val="22"/>
              </w:rPr>
            </w:pPr>
            <w:r>
              <w:rPr>
                <w:rFonts w:hint="eastAsia" w:ascii="宋体" w:hAnsi="宋体"/>
                <w:sz w:val="22"/>
                <w:szCs w:val="22"/>
              </w:rPr>
              <w:t>评审步骤</w:t>
            </w:r>
          </w:p>
        </w:tc>
        <w:tc>
          <w:tcPr>
            <w:tcW w:w="6913" w:type="dxa"/>
            <w:noWrap w:val="0"/>
            <w:vAlign w:val="center"/>
          </w:tcPr>
          <w:p w14:paraId="2AC3E000">
            <w:pPr>
              <w:spacing w:line="276" w:lineRule="auto"/>
              <w:rPr>
                <w:rFonts w:ascii="宋体" w:hAnsi="宋体"/>
                <w:sz w:val="22"/>
                <w:szCs w:val="22"/>
              </w:rPr>
            </w:pPr>
            <w:r>
              <w:rPr>
                <w:rFonts w:hint="eastAsia" w:ascii="宋体" w:hAnsi="宋体"/>
                <w:sz w:val="22"/>
                <w:szCs w:val="22"/>
              </w:rPr>
              <w:t>先进行资格、符合性评审，再进行技术、商务及价格的详细评审。只有通过资格、符合性评审的参评人才能进入详细的评审，即为</w:t>
            </w:r>
            <w:r>
              <w:rPr>
                <w:rFonts w:hint="eastAsia" w:ascii="宋体" w:hAnsi="宋体"/>
                <w:bCs/>
                <w:sz w:val="22"/>
                <w:szCs w:val="22"/>
              </w:rPr>
              <w:t>入围参评人</w:t>
            </w:r>
            <w:r>
              <w:rPr>
                <w:rFonts w:hint="eastAsia" w:ascii="宋体" w:hAnsi="宋体"/>
                <w:sz w:val="22"/>
                <w:szCs w:val="22"/>
              </w:rPr>
              <w:t>。</w:t>
            </w:r>
          </w:p>
        </w:tc>
      </w:tr>
      <w:tr w14:paraId="001A3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59" w:type="dxa"/>
            <w:noWrap w:val="0"/>
            <w:vAlign w:val="center"/>
          </w:tcPr>
          <w:p w14:paraId="46FBFB98">
            <w:pPr>
              <w:pStyle w:val="8"/>
              <w:numPr>
                <w:ilvl w:val="0"/>
                <w:numId w:val="1"/>
              </w:numPr>
              <w:adjustRightInd w:val="0"/>
              <w:snapToGrid w:val="0"/>
              <w:spacing w:line="276" w:lineRule="auto"/>
              <w:jc w:val="center"/>
              <w:rPr>
                <w:rFonts w:hAnsi="宋体"/>
                <w:bCs/>
                <w:sz w:val="22"/>
                <w:szCs w:val="22"/>
              </w:rPr>
            </w:pPr>
          </w:p>
        </w:tc>
        <w:tc>
          <w:tcPr>
            <w:tcW w:w="1560" w:type="dxa"/>
            <w:noWrap w:val="0"/>
            <w:vAlign w:val="center"/>
          </w:tcPr>
          <w:p w14:paraId="02FAC27A">
            <w:pPr>
              <w:spacing w:line="276" w:lineRule="auto"/>
              <w:jc w:val="center"/>
              <w:rPr>
                <w:rFonts w:ascii="宋体" w:hAnsi="宋体"/>
                <w:sz w:val="22"/>
                <w:szCs w:val="22"/>
              </w:rPr>
            </w:pPr>
            <w:r>
              <w:rPr>
                <w:rFonts w:hint="eastAsia" w:ascii="宋体" w:hAnsi="宋体"/>
                <w:bCs/>
                <w:sz w:val="22"/>
                <w:szCs w:val="22"/>
              </w:rPr>
              <w:t>成交候选人的推荐</w:t>
            </w:r>
          </w:p>
        </w:tc>
        <w:tc>
          <w:tcPr>
            <w:tcW w:w="6913" w:type="dxa"/>
            <w:noWrap w:val="0"/>
            <w:vAlign w:val="center"/>
          </w:tcPr>
          <w:p w14:paraId="2C8939ED">
            <w:pPr>
              <w:spacing w:line="276" w:lineRule="auto"/>
              <w:rPr>
                <w:rFonts w:ascii="宋体" w:hAnsi="宋体"/>
                <w:bCs/>
                <w:sz w:val="22"/>
                <w:szCs w:val="22"/>
              </w:rPr>
            </w:pPr>
            <w:r>
              <w:rPr>
                <w:rFonts w:hint="eastAsia" w:ascii="宋体" w:hAnsi="宋体"/>
                <w:bCs/>
                <w:sz w:val="22"/>
                <w:szCs w:val="22"/>
              </w:rPr>
              <w:t>评审小组结合商务文件部分、技术文件部分和价格部分进行综合评估，将商务得分、技术得分和价格得分相加得出各入围参评人的综合得分。评审小组按综合得分高低次序排出名次，并推荐综合得分排名第一的参评人为第一成交候选人，排名第二的参评人为第二成交候选人。</w:t>
            </w:r>
          </w:p>
          <w:p w14:paraId="77F3DB97">
            <w:pPr>
              <w:spacing w:line="276" w:lineRule="auto"/>
              <w:rPr>
                <w:rFonts w:ascii="宋体" w:hAnsi="宋体"/>
                <w:bCs/>
                <w:sz w:val="22"/>
                <w:szCs w:val="22"/>
              </w:rPr>
            </w:pPr>
            <w:r>
              <w:rPr>
                <w:rFonts w:hint="eastAsia" w:ascii="宋体" w:hAnsi="宋体"/>
                <w:bCs/>
                <w:sz w:val="22"/>
                <w:szCs w:val="22"/>
              </w:rPr>
              <w:t>综合得分相同的，名次按技术评分由高到低顺序排列；综合得分相同且技术评分相同的，名次按商务评分由高到低顺序排列；综合得分相同、技术评分和商务评分均相同的，名次由评审价由低到高顺序排列。综合得分相同、技术评分、商务评分和评审价均相同的评审小组抽签确定。法律法规有明确规定的，以法律法规规定为准。</w:t>
            </w:r>
          </w:p>
        </w:tc>
      </w:tr>
      <w:tr w14:paraId="227C6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959" w:type="dxa"/>
            <w:noWrap w:val="0"/>
            <w:vAlign w:val="center"/>
          </w:tcPr>
          <w:p w14:paraId="7AC673AD">
            <w:pPr>
              <w:pStyle w:val="8"/>
              <w:numPr>
                <w:ilvl w:val="0"/>
                <w:numId w:val="1"/>
              </w:numPr>
              <w:adjustRightInd w:val="0"/>
              <w:snapToGrid w:val="0"/>
              <w:spacing w:line="276" w:lineRule="auto"/>
              <w:jc w:val="center"/>
              <w:rPr>
                <w:rFonts w:hAnsi="宋体"/>
                <w:bCs/>
                <w:sz w:val="22"/>
                <w:szCs w:val="22"/>
              </w:rPr>
            </w:pPr>
          </w:p>
        </w:tc>
        <w:tc>
          <w:tcPr>
            <w:tcW w:w="1560" w:type="dxa"/>
            <w:noWrap w:val="0"/>
            <w:vAlign w:val="center"/>
          </w:tcPr>
          <w:p w14:paraId="7187CE87">
            <w:pPr>
              <w:spacing w:line="276" w:lineRule="auto"/>
              <w:jc w:val="center"/>
              <w:rPr>
                <w:rFonts w:ascii="宋体" w:hAnsi="宋体"/>
                <w:sz w:val="22"/>
                <w:szCs w:val="22"/>
              </w:rPr>
            </w:pPr>
            <w:r>
              <w:rPr>
                <w:rFonts w:hint="eastAsia" w:ascii="宋体" w:hAnsi="宋体"/>
                <w:sz w:val="22"/>
                <w:szCs w:val="22"/>
              </w:rPr>
              <w:t>其他</w:t>
            </w:r>
          </w:p>
        </w:tc>
        <w:tc>
          <w:tcPr>
            <w:tcW w:w="6913" w:type="dxa"/>
            <w:noWrap w:val="0"/>
            <w:vAlign w:val="center"/>
          </w:tcPr>
          <w:p w14:paraId="3C63F316">
            <w:pPr>
              <w:tabs>
                <w:tab w:val="left" w:pos="0"/>
              </w:tabs>
              <w:snapToGrid w:val="0"/>
              <w:spacing w:line="276" w:lineRule="auto"/>
              <w:rPr>
                <w:rFonts w:ascii="宋体" w:hAnsi="宋体"/>
                <w:bCs/>
                <w:sz w:val="22"/>
                <w:szCs w:val="22"/>
              </w:rPr>
            </w:pPr>
            <w:r>
              <w:rPr>
                <w:rFonts w:hint="eastAsia" w:ascii="宋体" w:hAnsi="宋体"/>
                <w:bCs/>
                <w:sz w:val="22"/>
                <w:szCs w:val="22"/>
              </w:rPr>
              <w:t>本项目不接受备选参评方案，不接受有任何选择或具有附加条件的报价，参评文件的报价只允许唯一方案报价。</w:t>
            </w:r>
          </w:p>
        </w:tc>
      </w:tr>
    </w:tbl>
    <w:p w14:paraId="0A1DD226">
      <w:pPr>
        <w:spacing w:line="360" w:lineRule="auto"/>
        <w:ind w:firstLine="442" w:firstLineChars="200"/>
        <w:rPr>
          <w:rFonts w:ascii="宋体" w:hAnsi="宋体"/>
          <w:sz w:val="22"/>
          <w:szCs w:val="22"/>
        </w:rPr>
      </w:pPr>
      <w:r>
        <w:rPr>
          <w:rFonts w:hint="eastAsia" w:ascii="宋体" w:hAnsi="宋体"/>
          <w:b/>
          <w:sz w:val="22"/>
          <w:szCs w:val="22"/>
        </w:rPr>
        <w:t>参评人必须认真阅读参评须知的内容，以免造成参评失败。</w:t>
      </w:r>
    </w:p>
    <w:p w14:paraId="358A81CC">
      <w:pPr>
        <w:keepNext/>
        <w:keepLines/>
        <w:adjustRightInd w:val="0"/>
        <w:spacing w:line="360" w:lineRule="auto"/>
        <w:jc w:val="center"/>
        <w:textAlignment w:val="baseline"/>
        <w:outlineLvl w:val="1"/>
        <w:rPr>
          <w:rFonts w:hint="eastAsia" w:ascii="宋体" w:hAnsi="宋体"/>
          <w:b/>
          <w:sz w:val="36"/>
          <w:szCs w:val="36"/>
        </w:rPr>
      </w:pPr>
    </w:p>
    <w:p w14:paraId="735C671E">
      <w:pPr>
        <w:keepNext/>
        <w:keepLines/>
        <w:pageBreakBefore w:val="0"/>
        <w:kinsoku/>
        <w:wordWrap/>
        <w:overflowPunct/>
        <w:topLinePunct w:val="0"/>
        <w:autoSpaceDE/>
        <w:autoSpaceDN/>
        <w:bidi w:val="0"/>
        <w:adjustRightInd w:val="0"/>
        <w:spacing w:beforeAutospacing="0" w:afterAutospacing="0" w:line="360" w:lineRule="auto"/>
        <w:ind w:left="0"/>
        <w:jc w:val="center"/>
        <w:textAlignment w:val="baseline"/>
        <w:outlineLvl w:val="0"/>
        <w:rPr>
          <w:rFonts w:hint="eastAsia" w:ascii="仿宋" w:hAnsi="仿宋" w:eastAsia="仿宋" w:cs="仿宋"/>
          <w:b/>
          <w:sz w:val="36"/>
          <w:szCs w:val="36"/>
        </w:rPr>
      </w:pPr>
      <w:r>
        <w:rPr>
          <w:rFonts w:hint="eastAsia" w:ascii="仿宋" w:hAnsi="仿宋" w:eastAsia="仿宋" w:cs="仿宋"/>
          <w:b/>
          <w:sz w:val="36"/>
          <w:szCs w:val="36"/>
        </w:rPr>
        <w:br w:type="page"/>
      </w:r>
      <w:r>
        <w:rPr>
          <w:rFonts w:hint="eastAsia" w:ascii="仿宋" w:hAnsi="仿宋" w:eastAsia="仿宋" w:cs="仿宋"/>
          <w:b/>
          <w:sz w:val="36"/>
          <w:szCs w:val="36"/>
        </w:rPr>
        <w:t>第二章  采购需求</w:t>
      </w:r>
    </w:p>
    <w:p w14:paraId="1B1CCE3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643" w:firstLineChars="200"/>
        <w:textAlignment w:val="auto"/>
        <w:rPr>
          <w:rFonts w:hint="eastAsia" w:ascii="仿宋" w:hAnsi="仿宋" w:eastAsia="仿宋" w:cs="仿宋"/>
          <w:b/>
          <w:bCs/>
          <w:sz w:val="32"/>
          <w:szCs w:val="32"/>
        </w:rPr>
      </w:pPr>
    </w:p>
    <w:p w14:paraId="7ECCA18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643" w:firstLineChars="200"/>
        <w:textAlignment w:val="auto"/>
        <w:rPr>
          <w:rFonts w:hint="eastAsia" w:ascii="仿宋" w:hAnsi="仿宋" w:eastAsia="仿宋" w:cs="仿宋"/>
          <w:b/>
          <w:sz w:val="32"/>
          <w:szCs w:val="32"/>
        </w:rPr>
      </w:pPr>
      <w:r>
        <w:rPr>
          <w:rFonts w:hint="eastAsia" w:ascii="仿宋" w:hAnsi="仿宋" w:eastAsia="仿宋" w:cs="仿宋"/>
          <w:b/>
          <w:bCs/>
          <w:sz w:val="32"/>
          <w:szCs w:val="32"/>
        </w:rPr>
        <w:t>一、基本要求</w:t>
      </w:r>
    </w:p>
    <w:p w14:paraId="5AD28930">
      <w:pPr>
        <w:pageBreakBefore w:val="0"/>
        <w:numPr>
          <w:ilvl w:val="0"/>
          <w:numId w:val="2"/>
        </w:numPr>
        <w:tabs>
          <w:tab w:val="left" w:pos="0"/>
          <w:tab w:val="left" w:pos="170"/>
          <w:tab w:val="left" w:pos="540"/>
        </w:tabs>
        <w:kinsoku/>
        <w:wordWrap/>
        <w:overflowPunct/>
        <w:topLinePunct w:val="0"/>
        <w:autoSpaceDE/>
        <w:autoSpaceDN/>
        <w:bidi w:val="0"/>
        <w:adjustRightInd w:val="0"/>
        <w:snapToGrid w:val="0"/>
        <w:spacing w:beforeAutospacing="0" w:afterAutospacing="0" w:line="360" w:lineRule="auto"/>
        <w:ind w:left="0" w:firstLine="640" w:firstLineChars="200"/>
        <w:rPr>
          <w:rFonts w:hint="eastAsia" w:ascii="仿宋_GB2312" w:hAnsi="仿宋_GB2312" w:eastAsia="仿宋_GB2312" w:cs="仿宋_GB2312"/>
          <w:kern w:val="28"/>
          <w:sz w:val="32"/>
          <w:szCs w:val="32"/>
        </w:rPr>
      </w:pPr>
      <w:r>
        <w:rPr>
          <w:rFonts w:hint="eastAsia" w:ascii="仿宋_GB2312" w:hAnsi="仿宋_GB2312" w:eastAsia="仿宋_GB2312" w:cs="仿宋_GB2312"/>
          <w:kern w:val="28"/>
          <w:sz w:val="32"/>
          <w:szCs w:val="32"/>
        </w:rPr>
        <w:t>标有“▲”的条款为必须完全满足的项目，任何</w:t>
      </w:r>
      <w:r>
        <w:rPr>
          <w:rFonts w:hint="eastAsia" w:ascii="仿宋_GB2312" w:hAnsi="仿宋_GB2312" w:eastAsia="仿宋_GB2312" w:cs="仿宋_GB2312"/>
          <w:sz w:val="32"/>
          <w:szCs w:val="32"/>
        </w:rPr>
        <w:t>未响应或负偏离</w:t>
      </w:r>
      <w:r>
        <w:rPr>
          <w:rFonts w:hint="eastAsia" w:ascii="仿宋_GB2312" w:hAnsi="仿宋_GB2312" w:eastAsia="仿宋_GB2312" w:cs="仿宋_GB2312"/>
          <w:kern w:val="28"/>
          <w:sz w:val="32"/>
          <w:szCs w:val="32"/>
        </w:rPr>
        <w:t>将导致无效响应。</w:t>
      </w:r>
    </w:p>
    <w:p w14:paraId="51B9B1B1">
      <w:pPr>
        <w:pageBreakBefore w:val="0"/>
        <w:numPr>
          <w:ilvl w:val="0"/>
          <w:numId w:val="2"/>
        </w:numPr>
        <w:tabs>
          <w:tab w:val="left" w:pos="0"/>
          <w:tab w:val="left" w:pos="170"/>
          <w:tab w:val="left" w:pos="540"/>
        </w:tabs>
        <w:kinsoku/>
        <w:wordWrap/>
        <w:overflowPunct/>
        <w:topLinePunct w:val="0"/>
        <w:autoSpaceDE/>
        <w:autoSpaceDN/>
        <w:bidi w:val="0"/>
        <w:adjustRightInd w:val="0"/>
        <w:snapToGrid w:val="0"/>
        <w:spacing w:beforeAutospacing="0" w:afterAutospacing="0" w:line="360" w:lineRule="auto"/>
        <w:ind w:left="0" w:firstLine="640" w:firstLineChars="200"/>
        <w:rPr>
          <w:rFonts w:hint="eastAsia" w:ascii="仿宋_GB2312" w:hAnsi="仿宋_GB2312" w:eastAsia="仿宋_GB2312" w:cs="仿宋_GB2312"/>
          <w:kern w:val="28"/>
          <w:sz w:val="32"/>
          <w:szCs w:val="32"/>
        </w:rPr>
      </w:pPr>
      <w:r>
        <w:rPr>
          <w:rFonts w:hint="eastAsia" w:ascii="仿宋_GB2312" w:hAnsi="仿宋_GB2312" w:eastAsia="仿宋_GB2312" w:cs="仿宋_GB2312"/>
          <w:kern w:val="28"/>
          <w:sz w:val="32"/>
          <w:szCs w:val="32"/>
        </w:rPr>
        <w:t>标有“★”的条款和为重要项目，任何</w:t>
      </w:r>
      <w:r>
        <w:rPr>
          <w:rFonts w:hint="eastAsia" w:ascii="仿宋_GB2312" w:hAnsi="仿宋_GB2312" w:eastAsia="仿宋_GB2312" w:cs="仿宋_GB2312"/>
          <w:sz w:val="32"/>
          <w:szCs w:val="32"/>
        </w:rPr>
        <w:t>未响应或负偏离</w:t>
      </w:r>
      <w:r>
        <w:rPr>
          <w:rFonts w:hint="eastAsia" w:ascii="仿宋_GB2312" w:hAnsi="仿宋_GB2312" w:eastAsia="仿宋_GB2312" w:cs="仿宋_GB2312"/>
          <w:kern w:val="28"/>
          <w:sz w:val="32"/>
          <w:szCs w:val="32"/>
        </w:rPr>
        <w:t>将被严重扣分。</w:t>
      </w:r>
    </w:p>
    <w:p w14:paraId="60D3C0DB">
      <w:pPr>
        <w:pageBreakBefore w:val="0"/>
        <w:numPr>
          <w:ilvl w:val="0"/>
          <w:numId w:val="2"/>
        </w:numPr>
        <w:tabs>
          <w:tab w:val="left" w:pos="0"/>
          <w:tab w:val="left" w:pos="170"/>
          <w:tab w:val="left" w:pos="540"/>
        </w:tabs>
        <w:kinsoku/>
        <w:wordWrap/>
        <w:overflowPunct/>
        <w:topLinePunct w:val="0"/>
        <w:autoSpaceDE/>
        <w:autoSpaceDN/>
        <w:bidi w:val="0"/>
        <w:adjustRightInd w:val="0"/>
        <w:snapToGrid w:val="0"/>
        <w:spacing w:beforeAutospacing="0" w:afterAutospacing="0" w:line="360" w:lineRule="auto"/>
        <w:ind w:left="0" w:firstLine="640" w:firstLineChars="200"/>
        <w:rPr>
          <w:rFonts w:hint="eastAsia" w:ascii="仿宋_GB2312" w:hAnsi="仿宋_GB2312" w:eastAsia="仿宋_GB2312" w:cs="仿宋_GB2312"/>
          <w:kern w:val="28"/>
          <w:sz w:val="32"/>
          <w:szCs w:val="32"/>
        </w:rPr>
      </w:pPr>
      <w:r>
        <w:rPr>
          <w:rFonts w:hint="eastAsia" w:ascii="仿宋_GB2312" w:hAnsi="仿宋_GB2312" w:eastAsia="仿宋_GB2312" w:cs="仿宋_GB2312"/>
          <w:kern w:val="28"/>
          <w:sz w:val="32"/>
          <w:szCs w:val="32"/>
        </w:rPr>
        <w:t>参评人必须具有独立法人资格。</w:t>
      </w:r>
    </w:p>
    <w:p w14:paraId="3918A63A">
      <w:pPr>
        <w:pageBreakBefore w:val="0"/>
        <w:numPr>
          <w:ilvl w:val="0"/>
          <w:numId w:val="2"/>
        </w:numPr>
        <w:tabs>
          <w:tab w:val="left" w:pos="0"/>
          <w:tab w:val="left" w:pos="170"/>
          <w:tab w:val="left" w:pos="540"/>
        </w:tabs>
        <w:kinsoku/>
        <w:wordWrap/>
        <w:overflowPunct/>
        <w:topLinePunct w:val="0"/>
        <w:autoSpaceDE/>
        <w:autoSpaceDN/>
        <w:bidi w:val="0"/>
        <w:adjustRightInd w:val="0"/>
        <w:snapToGrid w:val="0"/>
        <w:spacing w:beforeAutospacing="0" w:afterAutospacing="0" w:line="360" w:lineRule="auto"/>
        <w:ind w:left="0" w:firstLine="640" w:firstLineChars="200"/>
        <w:rPr>
          <w:rFonts w:hint="eastAsia" w:ascii="仿宋_GB2312" w:hAnsi="仿宋_GB2312" w:eastAsia="仿宋_GB2312" w:cs="仿宋_GB2312"/>
          <w:kern w:val="28"/>
          <w:sz w:val="32"/>
          <w:szCs w:val="32"/>
        </w:rPr>
      </w:pPr>
      <w:r>
        <w:rPr>
          <w:rFonts w:hint="eastAsia" w:ascii="仿宋_GB2312" w:hAnsi="仿宋_GB2312" w:eastAsia="仿宋_GB2312" w:cs="仿宋_GB2312"/>
          <w:kern w:val="28"/>
          <w:sz w:val="32"/>
          <w:szCs w:val="32"/>
        </w:rPr>
        <w:t>参评人在响应建议中必须列出具体数值或具体承诺。如果参评人只注明“正偏离”或“无偏离”，将被视为“负偏离”，从而可能导致严重影响评审结果。</w:t>
      </w:r>
    </w:p>
    <w:p w14:paraId="58C22053">
      <w:pPr>
        <w:pageBreakBefore w:val="0"/>
        <w:numPr>
          <w:ilvl w:val="0"/>
          <w:numId w:val="2"/>
        </w:numPr>
        <w:tabs>
          <w:tab w:val="left" w:pos="0"/>
          <w:tab w:val="left" w:pos="170"/>
          <w:tab w:val="left" w:pos="540"/>
        </w:tabs>
        <w:kinsoku/>
        <w:wordWrap/>
        <w:overflowPunct/>
        <w:topLinePunct w:val="0"/>
        <w:autoSpaceDE/>
        <w:autoSpaceDN/>
        <w:bidi w:val="0"/>
        <w:adjustRightInd w:val="0"/>
        <w:snapToGrid w:val="0"/>
        <w:spacing w:beforeAutospacing="0" w:afterAutospacing="0" w:line="360" w:lineRule="auto"/>
        <w:ind w:left="0" w:firstLine="640" w:firstLineChars="200"/>
        <w:rPr>
          <w:rFonts w:hint="eastAsia" w:ascii="仿宋_GB2312" w:hAnsi="仿宋_GB2312" w:eastAsia="仿宋_GB2312" w:cs="仿宋_GB2312"/>
          <w:kern w:val="28"/>
          <w:sz w:val="32"/>
          <w:szCs w:val="32"/>
        </w:rPr>
      </w:pPr>
      <w:r>
        <w:rPr>
          <w:rFonts w:hint="eastAsia" w:ascii="仿宋_GB2312" w:hAnsi="仿宋_GB2312" w:eastAsia="仿宋_GB2312" w:cs="仿宋_GB2312"/>
          <w:kern w:val="28"/>
          <w:sz w:val="32"/>
          <w:szCs w:val="32"/>
        </w:rPr>
        <w:t>参评人</w:t>
      </w:r>
      <w:r>
        <w:rPr>
          <w:rFonts w:hint="eastAsia" w:ascii="仿宋_GB2312" w:hAnsi="仿宋_GB2312" w:eastAsia="仿宋_GB2312" w:cs="仿宋_GB2312"/>
          <w:sz w:val="32"/>
          <w:szCs w:val="32"/>
        </w:rPr>
        <w:t>须对所投报价服务及自身经营情况描述的真实性承担法律责任</w:t>
      </w:r>
      <w:r>
        <w:rPr>
          <w:rFonts w:hint="eastAsia" w:ascii="仿宋_GB2312" w:hAnsi="仿宋_GB2312" w:eastAsia="仿宋_GB2312" w:cs="仿宋_GB2312"/>
          <w:kern w:val="28"/>
          <w:sz w:val="32"/>
          <w:szCs w:val="32"/>
        </w:rPr>
        <w:t>。</w:t>
      </w:r>
    </w:p>
    <w:p w14:paraId="4C86839A">
      <w:pPr>
        <w:pageBreakBefore w:val="0"/>
        <w:numPr>
          <w:ilvl w:val="0"/>
          <w:numId w:val="2"/>
        </w:numPr>
        <w:tabs>
          <w:tab w:val="left" w:pos="0"/>
          <w:tab w:val="left" w:pos="170"/>
          <w:tab w:val="left" w:pos="540"/>
        </w:tabs>
        <w:kinsoku/>
        <w:wordWrap/>
        <w:overflowPunct/>
        <w:topLinePunct w:val="0"/>
        <w:autoSpaceDE/>
        <w:autoSpaceDN/>
        <w:bidi w:val="0"/>
        <w:adjustRightInd w:val="0"/>
        <w:snapToGrid w:val="0"/>
        <w:spacing w:beforeAutospacing="0" w:afterAutospacing="0" w:line="360"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8"/>
          <w:sz w:val="32"/>
          <w:szCs w:val="32"/>
        </w:rPr>
        <w:t>参评</w:t>
      </w:r>
      <w:r>
        <w:rPr>
          <w:rFonts w:hint="eastAsia" w:ascii="仿宋_GB2312" w:hAnsi="仿宋_GB2312" w:eastAsia="仿宋_GB2312" w:cs="仿宋_GB2312"/>
          <w:sz w:val="32"/>
          <w:szCs w:val="32"/>
        </w:rPr>
        <w:t>人没有在</w:t>
      </w:r>
      <w:r>
        <w:rPr>
          <w:rFonts w:hint="eastAsia" w:ascii="仿宋_GB2312" w:hAnsi="仿宋_GB2312" w:eastAsia="仿宋_GB2312" w:cs="仿宋_GB2312"/>
          <w:kern w:val="28"/>
          <w:sz w:val="32"/>
          <w:szCs w:val="32"/>
        </w:rPr>
        <w:t>参评</w:t>
      </w:r>
      <w:r>
        <w:rPr>
          <w:rFonts w:hint="eastAsia" w:ascii="仿宋_GB2312" w:hAnsi="仿宋_GB2312" w:eastAsia="仿宋_GB2312" w:cs="仿宋_GB2312"/>
          <w:sz w:val="32"/>
          <w:szCs w:val="32"/>
        </w:rPr>
        <w:t>文件中注明偏离（文字说明或在响应表注明）的描述、条款视为被</w:t>
      </w:r>
      <w:r>
        <w:rPr>
          <w:rFonts w:hint="eastAsia" w:ascii="仿宋_GB2312" w:hAnsi="仿宋_GB2312" w:eastAsia="仿宋_GB2312" w:cs="仿宋_GB2312"/>
          <w:kern w:val="28"/>
          <w:sz w:val="32"/>
          <w:szCs w:val="32"/>
        </w:rPr>
        <w:t>参评</w:t>
      </w:r>
      <w:r>
        <w:rPr>
          <w:rFonts w:hint="eastAsia" w:ascii="仿宋_GB2312" w:hAnsi="仿宋_GB2312" w:eastAsia="仿宋_GB2312" w:cs="仿宋_GB2312"/>
          <w:sz w:val="32"/>
          <w:szCs w:val="32"/>
        </w:rPr>
        <w:t>人完全接受。</w:t>
      </w:r>
    </w:p>
    <w:p w14:paraId="64E0D175">
      <w:pPr>
        <w:pageBreakBefore w:val="0"/>
        <w:numPr>
          <w:ilvl w:val="0"/>
          <w:numId w:val="2"/>
        </w:numPr>
        <w:tabs>
          <w:tab w:val="left" w:pos="0"/>
          <w:tab w:val="left" w:pos="170"/>
          <w:tab w:val="left" w:pos="540"/>
        </w:tabs>
        <w:kinsoku/>
        <w:wordWrap/>
        <w:overflowPunct/>
        <w:topLinePunct w:val="0"/>
        <w:autoSpaceDE/>
        <w:autoSpaceDN/>
        <w:bidi w:val="0"/>
        <w:adjustRightInd w:val="0"/>
        <w:snapToGrid w:val="0"/>
        <w:spacing w:beforeAutospacing="0" w:afterAutospacing="0" w:line="360" w:lineRule="auto"/>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8"/>
          <w:sz w:val="32"/>
          <w:szCs w:val="32"/>
        </w:rPr>
        <w:t>参评</w:t>
      </w:r>
      <w:r>
        <w:rPr>
          <w:rFonts w:hint="eastAsia" w:ascii="仿宋_GB2312" w:hAnsi="仿宋_GB2312" w:eastAsia="仿宋_GB2312" w:cs="仿宋_GB2312"/>
          <w:sz w:val="32"/>
          <w:szCs w:val="32"/>
        </w:rPr>
        <w:t>人应保证，采购人在中华人民共和国使用该货物、服务或货物、服务的任何一部分时，免受第三方提出的侵犯其专利权、商标权、著作权或其它知识产权的起诉。</w:t>
      </w:r>
    </w:p>
    <w:p w14:paraId="1F17AB9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二、参评报价</w:t>
      </w:r>
      <w:r>
        <w:rPr>
          <w:rFonts w:hint="eastAsia" w:ascii="仿宋" w:hAnsi="仿宋" w:eastAsia="仿宋" w:cs="仿宋"/>
          <w:b/>
          <w:bCs/>
          <w:sz w:val="32"/>
          <w:szCs w:val="32"/>
          <w:lang w:val="en-US" w:eastAsia="zh-CN"/>
        </w:rPr>
        <w:t>及</w:t>
      </w:r>
      <w:r>
        <w:rPr>
          <w:rFonts w:hint="eastAsia" w:ascii="仿宋" w:hAnsi="仿宋" w:eastAsia="仿宋" w:cs="仿宋"/>
          <w:b/>
          <w:bCs/>
          <w:sz w:val="32"/>
          <w:szCs w:val="32"/>
        </w:rPr>
        <w:t>说明</w:t>
      </w:r>
    </w:p>
    <w:p w14:paraId="075672D3">
      <w:pPr>
        <w:pageBreakBefore w:val="0"/>
        <w:tabs>
          <w:tab w:val="left" w:pos="0"/>
          <w:tab w:val="left" w:pos="170"/>
          <w:tab w:val="left" w:pos="540"/>
        </w:tabs>
        <w:kinsoku/>
        <w:wordWrap/>
        <w:overflowPunct/>
        <w:topLinePunct w:val="0"/>
        <w:autoSpaceDE/>
        <w:autoSpaceDN/>
        <w:bidi w:val="0"/>
        <w:adjustRightInd w:val="0"/>
        <w:snapToGrid w:val="0"/>
        <w:spacing w:beforeAutospacing="0" w:afterAutospacing="0" w:line="360" w:lineRule="auto"/>
        <w:ind w:left="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kern w:val="28"/>
          <w:sz w:val="32"/>
          <w:szCs w:val="32"/>
          <w:lang w:val="en-US" w:eastAsia="zh-CN"/>
        </w:rPr>
        <w:t>广东省政府挂牌督办火灾隐患重点地区社会调查项目限价</w:t>
      </w:r>
      <w:r>
        <w:rPr>
          <w:rFonts w:hint="eastAsia" w:ascii="仿宋_GB2312" w:hAnsi="仿宋_GB2312" w:eastAsia="仿宋_GB2312" w:cs="仿宋_GB2312"/>
          <w:b/>
          <w:bCs/>
          <w:kern w:val="28"/>
          <w:sz w:val="32"/>
          <w:szCs w:val="32"/>
          <w:u w:val="single"/>
          <w:lang w:val="en-US" w:eastAsia="zh-CN"/>
        </w:rPr>
        <w:t>300000元，</w:t>
      </w:r>
      <w:r>
        <w:rPr>
          <w:rFonts w:hint="eastAsia" w:ascii="仿宋_GB2312" w:hAnsi="仿宋_GB2312" w:eastAsia="仿宋_GB2312" w:cs="仿宋_GB2312"/>
          <w:b/>
          <w:bCs/>
          <w:kern w:val="28"/>
          <w:sz w:val="32"/>
          <w:szCs w:val="32"/>
          <w:lang w:val="en-US" w:eastAsia="zh-CN"/>
        </w:rPr>
        <w:t>高于限价无效。</w:t>
      </w:r>
      <w:r>
        <w:rPr>
          <w:rFonts w:hint="eastAsia" w:ascii="仿宋_GB2312" w:hAnsi="仿宋_GB2312" w:eastAsia="仿宋_GB2312" w:cs="仿宋_GB2312"/>
          <w:b/>
          <w:bCs/>
          <w:kern w:val="28"/>
          <w:sz w:val="32"/>
          <w:szCs w:val="32"/>
        </w:rPr>
        <w:t>参评</w:t>
      </w:r>
      <w:r>
        <w:rPr>
          <w:rFonts w:hint="eastAsia" w:ascii="仿宋_GB2312" w:hAnsi="仿宋_GB2312" w:eastAsia="仿宋_GB2312" w:cs="仿宋_GB2312"/>
          <w:b/>
          <w:bCs/>
          <w:sz w:val="32"/>
          <w:szCs w:val="32"/>
          <w:lang w:val="zh-CN"/>
        </w:rPr>
        <w:t>报价包括：</w:t>
      </w:r>
      <w:r>
        <w:rPr>
          <w:rFonts w:hint="eastAsia" w:ascii="仿宋_GB2312" w:hAnsi="仿宋_GB2312" w:eastAsia="仿宋_GB2312" w:cs="仿宋_GB2312"/>
          <w:b/>
          <w:bCs/>
          <w:sz w:val="32"/>
          <w:szCs w:val="32"/>
          <w:lang w:val="zh-CN" w:eastAsia="zh-CN"/>
        </w:rPr>
        <w:t>调查</w:t>
      </w:r>
      <w:r>
        <w:rPr>
          <w:rFonts w:hint="eastAsia" w:ascii="仿宋_GB2312" w:hAnsi="仿宋_GB2312" w:eastAsia="仿宋_GB2312" w:cs="仿宋_GB2312"/>
          <w:b/>
          <w:bCs/>
          <w:sz w:val="32"/>
          <w:szCs w:val="32"/>
        </w:rPr>
        <w:t>服务费用</w:t>
      </w:r>
      <w:r>
        <w:rPr>
          <w:rFonts w:hint="eastAsia" w:ascii="仿宋_GB2312" w:hAnsi="仿宋_GB2312" w:eastAsia="仿宋_GB2312" w:cs="仿宋_GB2312"/>
          <w:b/>
          <w:bCs/>
          <w:sz w:val="32"/>
          <w:szCs w:val="32"/>
          <w:lang w:val="zh-CN"/>
        </w:rPr>
        <w:t>、各项税费</w:t>
      </w:r>
      <w:r>
        <w:rPr>
          <w:rFonts w:hint="eastAsia" w:ascii="仿宋_GB2312" w:hAnsi="仿宋_GB2312" w:eastAsia="仿宋_GB2312" w:cs="仿宋_GB2312"/>
          <w:b/>
          <w:bCs/>
          <w:sz w:val="32"/>
          <w:szCs w:val="32"/>
        </w:rPr>
        <w:t>。</w:t>
      </w:r>
    </w:p>
    <w:p w14:paraId="4B53FB0C">
      <w:pPr>
        <w:pStyle w:val="2"/>
        <w:pageBreakBefore w:val="0"/>
        <w:numPr>
          <w:ilvl w:val="0"/>
          <w:numId w:val="0"/>
        </w:numPr>
        <w:kinsoku/>
        <w:wordWrap/>
        <w:overflowPunct/>
        <w:topLinePunct w:val="0"/>
        <w:autoSpaceDE/>
        <w:autoSpaceDN/>
        <w:bidi w:val="0"/>
        <w:spacing w:before="0" w:beforeAutospacing="0" w:after="0" w:afterAutospacing="0" w:line="360" w:lineRule="auto"/>
        <w:ind w:left="-720" w:leftChars="0" w:firstLine="1285" w:firstLineChars="400"/>
        <w:rPr>
          <w:rFonts w:hint="eastAsia" w:ascii="仿宋_GB2312" w:hAnsi="仿宋_GB2312" w:eastAsia="仿宋_GB2312" w:cs="仿宋_GB2312"/>
          <w:sz w:val="32"/>
          <w:szCs w:val="32"/>
        </w:rPr>
      </w:pPr>
      <w:bookmarkStart w:id="3" w:name="_Toc371065281"/>
      <w:bookmarkStart w:id="4" w:name="_Toc29671487"/>
      <w:bookmarkStart w:id="5" w:name="_Toc51606920"/>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w:t>
      </w:r>
      <w:bookmarkEnd w:id="3"/>
      <w:r>
        <w:rPr>
          <w:rFonts w:hint="eastAsia" w:ascii="仿宋_GB2312" w:hAnsi="仿宋_GB2312" w:eastAsia="仿宋_GB2312" w:cs="仿宋_GB2312"/>
          <w:sz w:val="32"/>
          <w:szCs w:val="32"/>
        </w:rPr>
        <w:t>背景</w:t>
      </w:r>
    </w:p>
    <w:p w14:paraId="06F1B641">
      <w:pPr>
        <w:pageBreakBefore w:val="0"/>
        <w:numPr>
          <w:ilvl w:val="0"/>
          <w:numId w:val="0"/>
        </w:numPr>
        <w:tabs>
          <w:tab w:val="left" w:pos="0"/>
          <w:tab w:val="left" w:pos="170"/>
          <w:tab w:val="left" w:pos="540"/>
        </w:tabs>
        <w:kinsoku/>
        <w:wordWrap/>
        <w:overflowPunct/>
        <w:topLinePunct w:val="0"/>
        <w:autoSpaceDE/>
        <w:autoSpaceDN/>
        <w:bidi w:val="0"/>
        <w:adjustRightInd w:val="0"/>
        <w:snapToGrid w:val="0"/>
        <w:spacing w:beforeAutospacing="0" w:afterAutospacing="0" w:line="360" w:lineRule="auto"/>
        <w:ind w:left="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广东省人民政府办公厅关于挂牌督办第十六批火灾隐患重点地区及重大火灾隐患单位的通知》（粤办函〔2024〕38号）、《广东省人民政府办公厅关于公布第十五批火灾隐患重点地区及重大火灾隐患单位整治工作验收结果的通知》（粤办函〔2024〕</w:t>
      </w:r>
      <w:r>
        <w:rPr>
          <w:rFonts w:hint="eastAsia" w:ascii="仿宋_GB2312" w:hAnsi="仿宋_GB2312" w:eastAsia="仿宋_GB2312" w:cs="仿宋_GB2312"/>
          <w:sz w:val="32"/>
          <w:szCs w:val="32"/>
          <w:lang w:val="en-US" w:eastAsia="zh-CN"/>
        </w:rPr>
        <w:t>249</w:t>
      </w:r>
      <w:r>
        <w:rPr>
          <w:rFonts w:hint="eastAsia" w:ascii="仿宋_GB2312" w:hAnsi="仿宋_GB2312" w:eastAsia="仿宋_GB2312" w:cs="仿宋_GB2312"/>
          <w:sz w:val="32"/>
          <w:szCs w:val="32"/>
          <w:lang w:eastAsia="zh-CN"/>
        </w:rPr>
        <w:t>号）有关规定，省政府对全省</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个重点地区和2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家重大火灾隐患单位实施挂牌督办，要求各地高度重视重大火灾隐患整治工作，将隐患整治与消防安全专项治理紧密结合，全面开展火灾隐患问题排查，建立健全场所底数清单、隐患清单和责任清单，及时完成整改并开展现场核查验收等相关工作。</w:t>
      </w:r>
    </w:p>
    <w:p w14:paraId="3A83617A">
      <w:pPr>
        <w:pageBreakBefore w:val="0"/>
        <w:numPr>
          <w:ilvl w:val="0"/>
          <w:numId w:val="0"/>
        </w:numPr>
        <w:tabs>
          <w:tab w:val="left" w:pos="0"/>
          <w:tab w:val="left" w:pos="170"/>
          <w:tab w:val="left" w:pos="540"/>
        </w:tabs>
        <w:kinsoku/>
        <w:wordWrap/>
        <w:overflowPunct/>
        <w:topLinePunct w:val="0"/>
        <w:autoSpaceDE/>
        <w:autoSpaceDN/>
        <w:bidi w:val="0"/>
        <w:adjustRightInd w:val="0"/>
        <w:snapToGrid w:val="0"/>
        <w:spacing w:beforeAutospacing="0" w:afterAutospacing="0" w:line="360" w:lineRule="auto"/>
        <w:ind w:left="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为检验全省</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个重点地区隐患整治与消防安全专项治理工作成效，了解重点地区各类场所业主消防安全常识知晓率和消防安全满意度情况，广东省消防救援总队委托第三方调查机构开展广东省政府挂牌督办火灾隐患重点地区社会调查项目。</w:t>
      </w:r>
    </w:p>
    <w:p w14:paraId="532EB389">
      <w:pPr>
        <w:pageBreakBefore w:val="0"/>
        <w:numPr>
          <w:ilvl w:val="0"/>
          <w:numId w:val="0"/>
        </w:numPr>
        <w:tabs>
          <w:tab w:val="left" w:pos="0"/>
          <w:tab w:val="left" w:pos="170"/>
          <w:tab w:val="left" w:pos="540"/>
        </w:tabs>
        <w:kinsoku/>
        <w:wordWrap/>
        <w:overflowPunct/>
        <w:topLinePunct w:val="0"/>
        <w:autoSpaceDE/>
        <w:autoSpaceDN/>
        <w:bidi w:val="0"/>
        <w:adjustRightInd w:val="0"/>
        <w:snapToGrid w:val="0"/>
        <w:spacing w:beforeAutospacing="0" w:afterAutospacing="0" w:line="360" w:lineRule="auto"/>
        <w:ind w:left="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项目目标</w:t>
      </w:r>
    </w:p>
    <w:p w14:paraId="6C688280">
      <w:pPr>
        <w:pageBreakBefore w:val="0"/>
        <w:numPr>
          <w:ilvl w:val="0"/>
          <w:numId w:val="0"/>
        </w:numPr>
        <w:tabs>
          <w:tab w:val="left" w:pos="0"/>
          <w:tab w:val="left" w:pos="170"/>
          <w:tab w:val="left" w:pos="540"/>
        </w:tabs>
        <w:kinsoku/>
        <w:wordWrap/>
        <w:overflowPunct/>
        <w:topLinePunct w:val="0"/>
        <w:autoSpaceDE/>
        <w:autoSpaceDN/>
        <w:bidi w:val="0"/>
        <w:adjustRightInd w:val="0"/>
        <w:snapToGrid w:val="0"/>
        <w:spacing w:beforeAutospacing="0" w:afterAutospacing="0" w:line="360" w:lineRule="auto"/>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通过调查了解重点地区各类场所业主消防安全常识知晓率和消防安全满意度情况，及时发现</w:t>
      </w:r>
      <w:r>
        <w:rPr>
          <w:rFonts w:hint="eastAsia" w:ascii="仿宋_GB2312" w:hAnsi="仿宋_GB2312" w:eastAsia="仿宋_GB2312" w:cs="仿宋_GB2312"/>
          <w:sz w:val="32"/>
          <w:szCs w:val="32"/>
          <w:lang w:eastAsia="zh-CN"/>
        </w:rPr>
        <w:t>全省</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个重点地区隐患整治与消防安全专项治理工作存在的问题，为重点地区消防工作</w:t>
      </w:r>
      <w:r>
        <w:rPr>
          <w:rFonts w:hint="eastAsia" w:ascii="仿宋_GB2312" w:hAnsi="仿宋_GB2312" w:eastAsia="仿宋_GB2312" w:cs="仿宋_GB2312"/>
          <w:sz w:val="32"/>
          <w:szCs w:val="32"/>
          <w:lang w:val="en-US" w:eastAsia="zh-CN"/>
        </w:rPr>
        <w:t>核查验收</w:t>
      </w:r>
      <w:r>
        <w:rPr>
          <w:rFonts w:hint="eastAsia" w:ascii="仿宋_GB2312" w:hAnsi="仿宋_GB2312" w:eastAsia="仿宋_GB2312" w:cs="仿宋_GB2312"/>
          <w:sz w:val="32"/>
          <w:szCs w:val="32"/>
          <w:lang w:eastAsia="zh-CN"/>
        </w:rPr>
        <w:t>提供数据支持。</w:t>
      </w:r>
    </w:p>
    <w:p w14:paraId="63E83149">
      <w:pPr>
        <w:keepNext/>
        <w:keepLines/>
        <w:pageBreakBefore w:val="0"/>
        <w:widowControl/>
        <w:numPr>
          <w:ilvl w:val="1"/>
          <w:numId w:val="0"/>
        </w:numPr>
        <w:kinsoku/>
        <w:wordWrap/>
        <w:overflowPunct/>
        <w:topLinePunct w:val="0"/>
        <w:autoSpaceDE/>
        <w:autoSpaceDN/>
        <w:bidi w:val="0"/>
        <w:spacing w:beforeAutospacing="0" w:afterAutospacing="0" w:line="360" w:lineRule="auto"/>
        <w:ind w:left="0"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三、</w:t>
      </w:r>
      <w:r>
        <w:rPr>
          <w:rFonts w:hint="eastAsia" w:ascii="仿宋_GB2312" w:hAnsi="仿宋_GB2312" w:eastAsia="仿宋_GB2312" w:cs="仿宋_GB2312"/>
          <w:b/>
          <w:bCs/>
          <w:color w:val="000000"/>
          <w:sz w:val="32"/>
          <w:szCs w:val="32"/>
        </w:rPr>
        <w:t>服务</w:t>
      </w:r>
      <w:bookmarkEnd w:id="4"/>
      <w:bookmarkEnd w:id="5"/>
      <w:r>
        <w:rPr>
          <w:rFonts w:hint="eastAsia" w:ascii="仿宋_GB2312" w:hAnsi="仿宋_GB2312" w:eastAsia="仿宋_GB2312" w:cs="仿宋_GB2312"/>
          <w:b/>
          <w:bCs/>
          <w:color w:val="000000"/>
          <w:sz w:val="32"/>
          <w:szCs w:val="32"/>
        </w:rPr>
        <w:t>内容</w:t>
      </w:r>
    </w:p>
    <w:p w14:paraId="387E63DF">
      <w:pPr>
        <w:pageBreakBefore w:val="0"/>
        <w:numPr>
          <w:ilvl w:val="0"/>
          <w:numId w:val="0"/>
        </w:numPr>
        <w:tabs>
          <w:tab w:val="left" w:pos="0"/>
          <w:tab w:val="left" w:pos="170"/>
          <w:tab w:val="left" w:pos="540"/>
        </w:tabs>
        <w:kinsoku/>
        <w:wordWrap/>
        <w:overflowPunct/>
        <w:topLinePunct w:val="0"/>
        <w:autoSpaceDE/>
        <w:autoSpaceDN/>
        <w:bidi w:val="0"/>
        <w:adjustRightInd w:val="0"/>
        <w:snapToGrid w:val="0"/>
        <w:spacing w:beforeAutospacing="0" w:afterAutospacing="0" w:line="360" w:lineRule="auto"/>
        <w:ind w:left="0"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eastAsia="zh-CN"/>
        </w:rPr>
        <w:t>）调查对象</w:t>
      </w:r>
    </w:p>
    <w:p w14:paraId="180AFF3D">
      <w:pPr>
        <w:pageBreakBefore w:val="0"/>
        <w:numPr>
          <w:ilvl w:val="0"/>
          <w:numId w:val="0"/>
        </w:numPr>
        <w:tabs>
          <w:tab w:val="left" w:pos="0"/>
          <w:tab w:val="left" w:pos="170"/>
          <w:tab w:val="left" w:pos="540"/>
        </w:tabs>
        <w:kinsoku/>
        <w:wordWrap/>
        <w:overflowPunct/>
        <w:topLinePunct w:val="0"/>
        <w:autoSpaceDE/>
        <w:autoSpaceDN/>
        <w:bidi w:val="0"/>
        <w:adjustRightInd w:val="0"/>
        <w:snapToGrid w:val="0"/>
        <w:spacing w:beforeAutospacing="0" w:afterAutospacing="0" w:line="360" w:lineRule="auto"/>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省政府挂牌督办6个火灾隐患重点地区各类场所业主。</w:t>
      </w:r>
    </w:p>
    <w:p w14:paraId="1A686C93">
      <w:pPr>
        <w:pageBreakBefore w:val="0"/>
        <w:numPr>
          <w:ilvl w:val="0"/>
          <w:numId w:val="0"/>
        </w:numPr>
        <w:tabs>
          <w:tab w:val="left" w:pos="0"/>
          <w:tab w:val="left" w:pos="170"/>
          <w:tab w:val="left" w:pos="540"/>
        </w:tabs>
        <w:kinsoku/>
        <w:wordWrap/>
        <w:overflowPunct/>
        <w:topLinePunct w:val="0"/>
        <w:autoSpaceDE/>
        <w:autoSpaceDN/>
        <w:bidi w:val="0"/>
        <w:adjustRightInd w:val="0"/>
        <w:snapToGrid w:val="0"/>
        <w:spacing w:beforeAutospacing="0" w:afterAutospacing="0" w:line="360" w:lineRule="auto"/>
        <w:ind w:left="0"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）调查样本量</w:t>
      </w:r>
    </w:p>
    <w:p w14:paraId="0AFD43B7">
      <w:pPr>
        <w:pageBreakBefore w:val="0"/>
        <w:numPr>
          <w:ilvl w:val="0"/>
          <w:numId w:val="0"/>
        </w:numPr>
        <w:tabs>
          <w:tab w:val="left" w:pos="0"/>
          <w:tab w:val="left" w:pos="170"/>
          <w:tab w:val="left" w:pos="540"/>
        </w:tabs>
        <w:kinsoku/>
        <w:wordWrap/>
        <w:overflowPunct/>
        <w:topLinePunct w:val="0"/>
        <w:autoSpaceDE/>
        <w:autoSpaceDN/>
        <w:bidi w:val="0"/>
        <w:adjustRightInd w:val="0"/>
        <w:snapToGrid w:val="0"/>
        <w:spacing w:beforeAutospacing="0" w:afterAutospacing="0" w:line="360" w:lineRule="auto"/>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省政府挂牌督办6个火灾隐患重点地区各类场所约11.4万家，拟调查10%的场所业主（约1.14万人）消防安全常识知晓率和消防安全满意度。</w:t>
      </w:r>
    </w:p>
    <w:p w14:paraId="22971045">
      <w:pPr>
        <w:pStyle w:val="2"/>
        <w:pageBreakBefore w:val="0"/>
        <w:numPr>
          <w:ilvl w:val="0"/>
          <w:numId w:val="0"/>
        </w:numPr>
        <w:kinsoku/>
        <w:wordWrap/>
        <w:overflowPunct/>
        <w:topLinePunct w:val="0"/>
        <w:autoSpaceDE/>
        <w:autoSpaceDN/>
        <w:bidi w:val="0"/>
        <w:spacing w:before="0" w:beforeAutospacing="0" w:after="0" w:afterAutospacing="0" w:line="360" w:lineRule="auto"/>
        <w:ind w:left="0"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）调查方式</w:t>
      </w:r>
    </w:p>
    <w:p w14:paraId="18FCA0CD">
      <w:pPr>
        <w:pageBreakBefore w:val="0"/>
        <w:numPr>
          <w:ilvl w:val="0"/>
          <w:numId w:val="0"/>
        </w:numPr>
        <w:tabs>
          <w:tab w:val="left" w:pos="0"/>
          <w:tab w:val="left" w:pos="170"/>
          <w:tab w:val="left" w:pos="540"/>
        </w:tabs>
        <w:kinsoku/>
        <w:wordWrap/>
        <w:overflowPunct/>
        <w:topLinePunct w:val="0"/>
        <w:autoSpaceDE/>
        <w:autoSpaceDN/>
        <w:bidi w:val="0"/>
        <w:adjustRightInd w:val="0"/>
        <w:snapToGrid w:val="0"/>
        <w:spacing w:beforeAutospacing="0" w:afterAutospacing="0" w:line="360" w:lineRule="auto"/>
        <w:ind w:left="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采用实地调查、电话调查和网络调查等方式进行，其中实地调查应不少于30%。</w:t>
      </w:r>
    </w:p>
    <w:p w14:paraId="755CE902">
      <w:pPr>
        <w:pStyle w:val="2"/>
        <w:pageBreakBefore w:val="0"/>
        <w:numPr>
          <w:ilvl w:val="0"/>
          <w:numId w:val="0"/>
        </w:numPr>
        <w:kinsoku/>
        <w:wordWrap/>
        <w:overflowPunct/>
        <w:topLinePunct w:val="0"/>
        <w:autoSpaceDE/>
        <w:autoSpaceDN/>
        <w:bidi w:val="0"/>
        <w:spacing w:before="0" w:beforeAutospacing="0" w:after="0" w:afterAutospacing="0" w:line="360" w:lineRule="auto"/>
        <w:ind w:left="0"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（四）调查内容</w:t>
      </w:r>
    </w:p>
    <w:p w14:paraId="310BB305">
      <w:pPr>
        <w:keepNext w:val="0"/>
        <w:keepLines w:val="0"/>
        <w:pageBreakBefore w:val="0"/>
        <w:widowControl w:val="0"/>
        <w:tabs>
          <w:tab w:val="left" w:pos="0"/>
        </w:tabs>
        <w:kinsoku/>
        <w:wordWrap/>
        <w:overflowPunct/>
        <w:topLinePunct w:val="0"/>
        <w:autoSpaceDE/>
        <w:autoSpaceDN/>
        <w:bidi w:val="0"/>
        <w:adjustRightInd w:val="0"/>
        <w:snapToGrid w:val="0"/>
        <w:spacing w:beforeAutospacing="0" w:afterAutospacing="0" w:line="360" w:lineRule="auto"/>
        <w:ind w:left="0" w:firstLine="640"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lang w:val="en-US" w:eastAsia="zh-CN"/>
        </w:rPr>
        <w:t>调查内容包括场所业主消防安全常识知晓率和消防安全满意度。</w:t>
      </w:r>
    </w:p>
    <w:p w14:paraId="0E9B211E">
      <w:pPr>
        <w:keepNext w:val="0"/>
        <w:keepLines w:val="0"/>
        <w:pageBreakBefore w:val="0"/>
        <w:widowControl w:val="0"/>
        <w:tabs>
          <w:tab w:val="left" w:pos="0"/>
        </w:tabs>
        <w:kinsoku/>
        <w:wordWrap/>
        <w:overflowPunct/>
        <w:topLinePunct w:val="0"/>
        <w:autoSpaceDE/>
        <w:autoSpaceDN/>
        <w:bidi w:val="0"/>
        <w:adjustRightInd w:val="0"/>
        <w:snapToGrid w:val="0"/>
        <w:spacing w:beforeAutospacing="0" w:afterAutospacing="0" w:line="360" w:lineRule="auto"/>
        <w:ind w:left="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服务时间</w:t>
      </w:r>
    </w:p>
    <w:p w14:paraId="6BD814A0">
      <w:pPr>
        <w:keepNext w:val="0"/>
        <w:keepLines w:val="0"/>
        <w:pageBreakBefore w:val="0"/>
        <w:widowControl w:val="0"/>
        <w:tabs>
          <w:tab w:val="left" w:pos="0"/>
        </w:tabs>
        <w:kinsoku/>
        <w:wordWrap/>
        <w:overflowPunct/>
        <w:topLinePunct w:val="0"/>
        <w:autoSpaceDE/>
        <w:autoSpaceDN/>
        <w:bidi w:val="0"/>
        <w:adjustRightInd w:val="0"/>
        <w:snapToGrid w:val="0"/>
        <w:spacing w:beforeAutospacing="0" w:afterAutospacing="0" w:line="360" w:lineRule="auto"/>
        <w:ind w:left="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服务时间为采购合同签订生效之日起</w:t>
      </w:r>
      <w:r>
        <w:rPr>
          <w:rFonts w:hint="eastAsia" w:ascii="仿宋_GB2312" w:hAnsi="仿宋_GB2312" w:eastAsia="仿宋_GB2312" w:cs="仿宋_GB2312"/>
          <w:color w:val="000000"/>
          <w:sz w:val="32"/>
          <w:szCs w:val="32"/>
          <w:lang w:val="en-US" w:eastAsia="zh-CN"/>
        </w:rPr>
        <w:t>30</w:t>
      </w:r>
      <w:r>
        <w:rPr>
          <w:rFonts w:hint="eastAsia" w:ascii="仿宋_GB2312" w:hAnsi="仿宋_GB2312" w:eastAsia="仿宋_GB2312" w:cs="仿宋_GB2312"/>
          <w:color w:val="000000"/>
          <w:sz w:val="32"/>
          <w:szCs w:val="32"/>
        </w:rPr>
        <w:t>日内完成。</w:t>
      </w:r>
    </w:p>
    <w:p w14:paraId="1C10DB5B">
      <w:pPr>
        <w:keepNext w:val="0"/>
        <w:keepLines w:val="0"/>
        <w:pageBreakBefore w:val="0"/>
        <w:widowControl w:val="0"/>
        <w:tabs>
          <w:tab w:val="left" w:pos="0"/>
        </w:tabs>
        <w:kinsoku/>
        <w:wordWrap/>
        <w:overflowPunct/>
        <w:topLinePunct w:val="0"/>
        <w:autoSpaceDE/>
        <w:autoSpaceDN/>
        <w:bidi w:val="0"/>
        <w:adjustRightInd w:val="0"/>
        <w:snapToGrid w:val="0"/>
        <w:spacing w:beforeAutospacing="0" w:afterAutospacing="0" w:line="360" w:lineRule="auto"/>
        <w:ind w:left="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）参评人条件要求</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8267"/>
      </w:tblGrid>
      <w:tr w14:paraId="53D54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448" w:type="pct"/>
            <w:shd w:val="clear" w:color="000000" w:fill="auto"/>
            <w:noWrap w:val="0"/>
            <w:vAlign w:val="center"/>
          </w:tcPr>
          <w:p w14:paraId="096CD28A">
            <w:pPr>
              <w:pageBreakBefore w:val="0"/>
              <w:widowControl/>
              <w:kinsoku/>
              <w:wordWrap/>
              <w:overflowPunct/>
              <w:topLinePunct w:val="0"/>
              <w:autoSpaceDE/>
              <w:autoSpaceDN/>
              <w:bidi w:val="0"/>
              <w:spacing w:beforeAutospacing="0" w:afterAutospacing="0"/>
              <w:ind w:left="0"/>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序号</w:t>
            </w:r>
          </w:p>
        </w:tc>
        <w:tc>
          <w:tcPr>
            <w:tcW w:w="4551" w:type="pct"/>
            <w:shd w:val="clear" w:color="000000" w:fill="auto"/>
            <w:noWrap w:val="0"/>
            <w:vAlign w:val="center"/>
          </w:tcPr>
          <w:p w14:paraId="5262C1CA">
            <w:pPr>
              <w:pageBreakBefore w:val="0"/>
              <w:widowControl/>
              <w:kinsoku/>
              <w:wordWrap/>
              <w:overflowPunct/>
              <w:topLinePunct w:val="0"/>
              <w:autoSpaceDE/>
              <w:autoSpaceDN/>
              <w:bidi w:val="0"/>
              <w:spacing w:beforeAutospacing="0" w:afterAutospacing="0"/>
              <w:ind w:left="0"/>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具体条件要求</w:t>
            </w:r>
          </w:p>
        </w:tc>
      </w:tr>
      <w:tr w14:paraId="4B10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48" w:type="pct"/>
            <w:shd w:val="clear" w:color="000000" w:fill="auto"/>
            <w:noWrap w:val="0"/>
            <w:vAlign w:val="center"/>
          </w:tcPr>
          <w:p w14:paraId="7D3807A8">
            <w:pPr>
              <w:pageBreakBefore w:val="0"/>
              <w:widowControl/>
              <w:kinsoku/>
              <w:wordWrap/>
              <w:overflowPunct/>
              <w:topLinePunct w:val="0"/>
              <w:autoSpaceDE/>
              <w:autoSpaceDN/>
              <w:bidi w:val="0"/>
              <w:spacing w:beforeAutospacing="0" w:afterAutospacing="0"/>
              <w:ind w:left="0"/>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4551" w:type="pct"/>
            <w:shd w:val="clear" w:color="000000" w:fill="auto"/>
            <w:noWrap w:val="0"/>
            <w:vAlign w:val="center"/>
          </w:tcPr>
          <w:p w14:paraId="19767945">
            <w:pPr>
              <w:pStyle w:val="19"/>
              <w:pageBreakBefore w:val="0"/>
              <w:tabs>
                <w:tab w:val="left" w:pos="363"/>
              </w:tabs>
              <w:kinsoku/>
              <w:wordWrap/>
              <w:overflowPunct/>
              <w:topLinePunct w:val="0"/>
              <w:autoSpaceDE/>
              <w:autoSpaceDN/>
              <w:bidi w:val="0"/>
              <w:spacing w:beforeAutospacing="0" w:afterAutospacing="0"/>
              <w:ind w:left="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在中国境内注册的独立法人或非法人组织（独立法人提供营业执照扫描件/非法人组织则提供相应证照扫描件）。</w:t>
            </w:r>
          </w:p>
        </w:tc>
      </w:tr>
      <w:tr w14:paraId="4E37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8" w:type="pct"/>
            <w:shd w:val="clear" w:color="000000" w:fill="auto"/>
            <w:noWrap w:val="0"/>
            <w:vAlign w:val="center"/>
          </w:tcPr>
          <w:p w14:paraId="7EDE4EA7">
            <w:pPr>
              <w:pageBreakBefore w:val="0"/>
              <w:widowControl/>
              <w:kinsoku/>
              <w:wordWrap/>
              <w:overflowPunct/>
              <w:topLinePunct w:val="0"/>
              <w:autoSpaceDE/>
              <w:autoSpaceDN/>
              <w:bidi w:val="0"/>
              <w:spacing w:beforeAutospacing="0" w:afterAutospacing="0"/>
              <w:ind w:left="0"/>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p>
        </w:tc>
        <w:tc>
          <w:tcPr>
            <w:tcW w:w="4551" w:type="pct"/>
            <w:shd w:val="clear" w:color="000000" w:fill="auto"/>
            <w:noWrap w:val="0"/>
            <w:vAlign w:val="center"/>
          </w:tcPr>
          <w:p w14:paraId="1AA57C36">
            <w:pPr>
              <w:pStyle w:val="19"/>
              <w:pageBreakBefore w:val="0"/>
              <w:tabs>
                <w:tab w:val="left" w:pos="363"/>
              </w:tabs>
              <w:kinsoku/>
              <w:wordWrap/>
              <w:overflowPunct/>
              <w:topLinePunct w:val="0"/>
              <w:autoSpaceDE/>
              <w:autoSpaceDN/>
              <w:bidi w:val="0"/>
              <w:spacing w:beforeAutospacing="0" w:afterAutospacing="0"/>
              <w:ind w:left="0" w:firstLine="0" w:firstLineChars="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参评人须符合财政部关于诚信管理的要求，通过“信用中国”（www.creditchina.gov.cn）官网进行信用信息查询。</w:t>
            </w:r>
          </w:p>
        </w:tc>
      </w:tr>
      <w:tr w14:paraId="5B6FC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8" w:type="pct"/>
            <w:shd w:val="clear" w:color="000000" w:fill="auto"/>
            <w:noWrap w:val="0"/>
            <w:vAlign w:val="center"/>
          </w:tcPr>
          <w:p w14:paraId="51582060">
            <w:pPr>
              <w:pageBreakBefore w:val="0"/>
              <w:widowControl/>
              <w:kinsoku/>
              <w:wordWrap/>
              <w:overflowPunct/>
              <w:topLinePunct w:val="0"/>
              <w:autoSpaceDE/>
              <w:autoSpaceDN/>
              <w:bidi w:val="0"/>
              <w:spacing w:beforeAutospacing="0" w:afterAutospacing="0"/>
              <w:ind w:left="0"/>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w:t>
            </w:r>
          </w:p>
        </w:tc>
        <w:tc>
          <w:tcPr>
            <w:tcW w:w="4551" w:type="pct"/>
            <w:shd w:val="clear" w:color="000000" w:fill="auto"/>
            <w:noWrap w:val="0"/>
            <w:vAlign w:val="center"/>
          </w:tcPr>
          <w:p w14:paraId="7452862B">
            <w:pPr>
              <w:pStyle w:val="19"/>
              <w:pageBreakBefore w:val="0"/>
              <w:tabs>
                <w:tab w:val="left" w:pos="363"/>
              </w:tabs>
              <w:kinsoku/>
              <w:wordWrap/>
              <w:overflowPunct/>
              <w:topLinePunct w:val="0"/>
              <w:autoSpaceDE/>
              <w:autoSpaceDN/>
              <w:bidi w:val="0"/>
              <w:spacing w:beforeAutospacing="0" w:afterAutospacing="0"/>
              <w:ind w:left="0" w:firstLine="0" w:firstLineChars="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参评人近三年（以遴选截止日期为准）在政府采购中心无履约评价为差的记录。</w:t>
            </w:r>
          </w:p>
        </w:tc>
      </w:tr>
      <w:tr w14:paraId="60AF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48" w:type="pct"/>
            <w:shd w:val="clear" w:color="000000" w:fill="auto"/>
            <w:noWrap w:val="0"/>
            <w:vAlign w:val="center"/>
          </w:tcPr>
          <w:p w14:paraId="292F0734">
            <w:pPr>
              <w:pageBreakBefore w:val="0"/>
              <w:widowControl/>
              <w:kinsoku/>
              <w:wordWrap/>
              <w:overflowPunct/>
              <w:topLinePunct w:val="0"/>
              <w:autoSpaceDE/>
              <w:autoSpaceDN/>
              <w:bidi w:val="0"/>
              <w:spacing w:beforeAutospacing="0" w:afterAutospacing="0"/>
              <w:ind w:left="0"/>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w:t>
            </w:r>
          </w:p>
        </w:tc>
        <w:tc>
          <w:tcPr>
            <w:tcW w:w="4551" w:type="pct"/>
            <w:shd w:val="clear" w:color="000000" w:fill="auto"/>
            <w:noWrap w:val="0"/>
            <w:vAlign w:val="center"/>
          </w:tcPr>
          <w:p w14:paraId="7E55EF4B">
            <w:pPr>
              <w:pStyle w:val="19"/>
              <w:pageBreakBefore w:val="0"/>
              <w:tabs>
                <w:tab w:val="left" w:pos="363"/>
              </w:tabs>
              <w:kinsoku/>
              <w:wordWrap/>
              <w:overflowPunct/>
              <w:topLinePunct w:val="0"/>
              <w:autoSpaceDE/>
              <w:autoSpaceDN/>
              <w:bidi w:val="0"/>
              <w:spacing w:beforeAutospacing="0" w:afterAutospacing="0"/>
              <w:ind w:left="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参评人承担本项目的各项税费，应就服务费提供等额增值税发票。</w:t>
            </w:r>
          </w:p>
        </w:tc>
      </w:tr>
      <w:tr w14:paraId="2215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448" w:type="pct"/>
            <w:shd w:val="clear" w:color="000000" w:fill="auto"/>
            <w:noWrap w:val="0"/>
            <w:vAlign w:val="center"/>
          </w:tcPr>
          <w:p w14:paraId="7846F0FA">
            <w:pPr>
              <w:pageBreakBefore w:val="0"/>
              <w:widowControl/>
              <w:kinsoku/>
              <w:wordWrap/>
              <w:overflowPunct/>
              <w:topLinePunct w:val="0"/>
              <w:autoSpaceDE/>
              <w:autoSpaceDN/>
              <w:bidi w:val="0"/>
              <w:spacing w:beforeAutospacing="0" w:afterAutospacing="0"/>
              <w:ind w:left="0"/>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w:t>
            </w:r>
          </w:p>
        </w:tc>
        <w:tc>
          <w:tcPr>
            <w:tcW w:w="4551" w:type="pct"/>
            <w:shd w:val="clear" w:color="000000" w:fill="auto"/>
            <w:noWrap w:val="0"/>
            <w:vAlign w:val="center"/>
          </w:tcPr>
          <w:p w14:paraId="18565349">
            <w:pPr>
              <w:pStyle w:val="19"/>
              <w:pageBreakBefore w:val="0"/>
              <w:tabs>
                <w:tab w:val="left" w:pos="363"/>
              </w:tabs>
              <w:kinsoku/>
              <w:wordWrap/>
              <w:overflowPunct/>
              <w:topLinePunct w:val="0"/>
              <w:autoSpaceDE/>
              <w:autoSpaceDN/>
              <w:bidi w:val="0"/>
              <w:spacing w:beforeAutospacing="0" w:afterAutospacing="0"/>
              <w:ind w:left="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参评人的报价明显低于其他通过符合性审查投标人的报价，有可能影响产品质量或者不能诚信履约的，参评人要在合理的时间内提供书面说明，或提交相关证明材料，参评人能证明其报价合理性的。</w:t>
            </w:r>
          </w:p>
        </w:tc>
      </w:tr>
    </w:tbl>
    <w:p w14:paraId="2BAF9CC0">
      <w:pPr>
        <w:tabs>
          <w:tab w:val="left" w:pos="0"/>
          <w:tab w:val="left" w:pos="170"/>
          <w:tab w:val="left" w:pos="540"/>
        </w:tabs>
        <w:autoSpaceDE w:val="0"/>
        <w:autoSpaceDN w:val="0"/>
        <w:adjustRightInd w:val="0"/>
        <w:snapToGrid w:val="0"/>
        <w:spacing w:line="360" w:lineRule="auto"/>
        <w:outlineLvl w:val="1"/>
        <w:rPr>
          <w:rFonts w:ascii="宋体" w:hAnsi="宋体" w:cs="宋体"/>
          <w:b/>
          <w:bCs/>
          <w:sz w:val="22"/>
          <w:szCs w:val="22"/>
        </w:rPr>
      </w:pPr>
    </w:p>
    <w:p w14:paraId="7896006E">
      <w:pPr>
        <w:pStyle w:val="10"/>
        <w:rPr>
          <w:sz w:val="18"/>
          <w:szCs w:val="18"/>
        </w:rPr>
      </w:pPr>
      <w:bookmarkStart w:id="6" w:name="GradeForm1_sGradeType"/>
    </w:p>
    <w:bookmarkEnd w:id="6"/>
    <w:p w14:paraId="3D24485C">
      <w:pPr>
        <w:keepNext/>
        <w:keepLines/>
        <w:adjustRightInd w:val="0"/>
        <w:spacing w:line="360" w:lineRule="auto"/>
        <w:jc w:val="center"/>
        <w:textAlignment w:val="baseline"/>
        <w:outlineLvl w:val="1"/>
        <w:rPr>
          <w:rFonts w:ascii="宋体" w:hAnsi="宋体"/>
          <w:b/>
          <w:sz w:val="36"/>
          <w:szCs w:val="36"/>
        </w:rPr>
      </w:pPr>
      <w:r>
        <w:rPr>
          <w:rFonts w:cs="Arial"/>
          <w:sz w:val="24"/>
        </w:rPr>
        <w:br w:type="page"/>
      </w:r>
      <w:r>
        <w:rPr>
          <w:rFonts w:hint="eastAsia" w:ascii="宋体" w:hAnsi="宋体"/>
          <w:b/>
          <w:sz w:val="36"/>
          <w:szCs w:val="36"/>
        </w:rPr>
        <w:t>第三章  评审办法</w:t>
      </w:r>
    </w:p>
    <w:p w14:paraId="1303EE0E">
      <w:pPr>
        <w:widowControl/>
        <w:spacing w:line="360" w:lineRule="auto"/>
        <w:ind w:firstLine="442" w:firstLineChars="200"/>
        <w:jc w:val="left"/>
        <w:rPr>
          <w:rFonts w:ascii="宋体" w:hAnsi="宋体" w:cs="宋体"/>
          <w:b/>
          <w:bCs/>
          <w:kern w:val="0"/>
          <w:sz w:val="22"/>
          <w:szCs w:val="22"/>
        </w:rPr>
      </w:pPr>
    </w:p>
    <w:p w14:paraId="1A27EAF4">
      <w:pPr>
        <w:keepNext/>
        <w:keepLines/>
        <w:pageBreakBefore w:val="0"/>
        <w:widowControl/>
        <w:numPr>
          <w:ilvl w:val="1"/>
          <w:numId w:val="0"/>
        </w:numPr>
        <w:kinsoku/>
        <w:wordWrap/>
        <w:overflowPunct/>
        <w:topLinePunct w:val="0"/>
        <w:autoSpaceDE/>
        <w:autoSpaceDN/>
        <w:bidi w:val="0"/>
        <w:spacing w:beforeAutospacing="0" w:afterAutospacing="0" w:line="360" w:lineRule="auto"/>
        <w:ind w:left="0" w:firstLine="643" w:firstLineChars="20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一、评审与定评</w:t>
      </w:r>
    </w:p>
    <w:p w14:paraId="21F177E2">
      <w:pPr>
        <w:widowControl/>
        <w:numPr>
          <w:ilvl w:val="0"/>
          <w:numId w:val="3"/>
        </w:numPr>
        <w:tabs>
          <w:tab w:val="left" w:pos="720"/>
        </w:tabs>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当通过资格、符合性审查的</w:t>
      </w:r>
      <w:r>
        <w:rPr>
          <w:rFonts w:hint="eastAsia" w:ascii="宋体" w:hAnsi="宋体" w:cs="宋体"/>
          <w:kern w:val="28"/>
          <w:sz w:val="32"/>
          <w:szCs w:val="32"/>
        </w:rPr>
        <w:t>参评</w:t>
      </w:r>
      <w:r>
        <w:rPr>
          <w:rFonts w:hint="eastAsia" w:ascii="宋体" w:hAnsi="宋体" w:cs="宋体"/>
          <w:kern w:val="0"/>
          <w:sz w:val="32"/>
          <w:szCs w:val="32"/>
        </w:rPr>
        <w:t>人不少于三家时，按照评审程序的规定和依据评分标准、计算方法，各评委单独封闭对每个</w:t>
      </w:r>
      <w:r>
        <w:rPr>
          <w:rFonts w:hint="eastAsia" w:ascii="宋体" w:hAnsi="宋体" w:cs="宋体"/>
          <w:kern w:val="28"/>
          <w:sz w:val="32"/>
          <w:szCs w:val="32"/>
        </w:rPr>
        <w:t>参评</w:t>
      </w:r>
      <w:r>
        <w:rPr>
          <w:rFonts w:hint="eastAsia" w:ascii="宋体" w:hAnsi="宋体" w:cs="宋体"/>
          <w:kern w:val="0"/>
          <w:sz w:val="32"/>
          <w:szCs w:val="32"/>
        </w:rPr>
        <w:t>人进行评审和比较。</w:t>
      </w:r>
    </w:p>
    <w:p w14:paraId="7690003B">
      <w:pPr>
        <w:widowControl/>
        <w:numPr>
          <w:ilvl w:val="0"/>
          <w:numId w:val="3"/>
        </w:numPr>
        <w:tabs>
          <w:tab w:val="left" w:pos="720"/>
        </w:tabs>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成交人资格的确定，由评审小组推荐，并由采购人确认。</w:t>
      </w:r>
    </w:p>
    <w:p w14:paraId="504B582E">
      <w:pPr>
        <w:widowControl/>
        <w:numPr>
          <w:ilvl w:val="0"/>
          <w:numId w:val="3"/>
        </w:numPr>
        <w:tabs>
          <w:tab w:val="left" w:pos="720"/>
        </w:tabs>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比较与评价。评审小组</w:t>
      </w:r>
      <w:r>
        <w:rPr>
          <w:rFonts w:hint="eastAsia" w:ascii="宋体" w:hAnsi="宋体"/>
          <w:sz w:val="32"/>
          <w:szCs w:val="32"/>
        </w:rPr>
        <w:t>按遴选文件中规定的评审方法和标准，对资格审查和符合性审查合格的</w:t>
      </w:r>
      <w:r>
        <w:rPr>
          <w:rFonts w:hint="eastAsia" w:ascii="宋体" w:hAnsi="宋体" w:cs="宋体"/>
          <w:kern w:val="28"/>
          <w:sz w:val="32"/>
          <w:szCs w:val="32"/>
        </w:rPr>
        <w:t>参评</w:t>
      </w:r>
      <w:r>
        <w:rPr>
          <w:rFonts w:hint="eastAsia" w:ascii="宋体" w:hAnsi="宋体"/>
          <w:sz w:val="32"/>
          <w:szCs w:val="32"/>
        </w:rPr>
        <w:t>文件进行商务和技术评估，综合比较与评价。技术、商务、价格部分分值分配如下</w:t>
      </w:r>
      <w:r>
        <w:rPr>
          <w:rFonts w:hint="eastAsia" w:ascii="宋体" w:hAnsi="宋体" w:cs="宋体"/>
          <w:kern w:val="0"/>
          <w:sz w:val="32"/>
          <w:szCs w:val="32"/>
        </w:rPr>
        <w:t>：</w:t>
      </w:r>
    </w:p>
    <w:tbl>
      <w:tblPr>
        <w:tblStyle w:val="14"/>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1985"/>
        <w:gridCol w:w="1895"/>
        <w:gridCol w:w="1912"/>
        <w:gridCol w:w="1625"/>
      </w:tblGrid>
      <w:tr w14:paraId="71B7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72" w:type="dxa"/>
            <w:shd w:val="clear" w:color="auto" w:fill="EAEAEA"/>
            <w:noWrap w:val="0"/>
            <w:vAlign w:val="center"/>
          </w:tcPr>
          <w:p w14:paraId="5FB5128C">
            <w:pPr>
              <w:autoSpaceDE w:val="0"/>
              <w:autoSpaceDN w:val="0"/>
              <w:adjustRightInd w:val="0"/>
              <w:jc w:val="center"/>
              <w:rPr>
                <w:rFonts w:ascii="宋体" w:hAnsi="宋体" w:cs="宋体"/>
                <w:b/>
                <w:kern w:val="0"/>
                <w:sz w:val="22"/>
                <w:szCs w:val="22"/>
              </w:rPr>
            </w:pPr>
            <w:r>
              <w:rPr>
                <w:rFonts w:hint="eastAsia" w:ascii="宋体" w:hAnsi="宋体" w:cs="宋体"/>
                <w:b/>
                <w:kern w:val="0"/>
                <w:sz w:val="22"/>
                <w:szCs w:val="22"/>
              </w:rPr>
              <w:t>评分项目</w:t>
            </w:r>
          </w:p>
        </w:tc>
        <w:tc>
          <w:tcPr>
            <w:tcW w:w="1985" w:type="dxa"/>
            <w:shd w:val="clear" w:color="auto" w:fill="EAEAEA"/>
            <w:noWrap w:val="0"/>
            <w:vAlign w:val="center"/>
          </w:tcPr>
          <w:p w14:paraId="39331F26">
            <w:pPr>
              <w:autoSpaceDE w:val="0"/>
              <w:autoSpaceDN w:val="0"/>
              <w:adjustRightInd w:val="0"/>
              <w:jc w:val="center"/>
              <w:rPr>
                <w:rFonts w:ascii="宋体" w:hAnsi="宋体" w:cs="宋体"/>
                <w:b/>
                <w:kern w:val="0"/>
                <w:sz w:val="22"/>
                <w:szCs w:val="22"/>
              </w:rPr>
            </w:pPr>
            <w:r>
              <w:rPr>
                <w:rFonts w:hint="eastAsia" w:ascii="宋体" w:hAnsi="宋体" w:cs="宋体"/>
                <w:b/>
                <w:kern w:val="0"/>
                <w:sz w:val="22"/>
                <w:szCs w:val="22"/>
              </w:rPr>
              <w:t>技术评分</w:t>
            </w:r>
          </w:p>
        </w:tc>
        <w:tc>
          <w:tcPr>
            <w:tcW w:w="1895" w:type="dxa"/>
            <w:shd w:val="clear" w:color="auto" w:fill="EAEAEA"/>
            <w:noWrap w:val="0"/>
            <w:vAlign w:val="center"/>
          </w:tcPr>
          <w:p w14:paraId="0294CD91">
            <w:pPr>
              <w:autoSpaceDE w:val="0"/>
              <w:autoSpaceDN w:val="0"/>
              <w:adjustRightInd w:val="0"/>
              <w:ind w:left="6" w:leftChars="-51" w:hanging="113" w:hangingChars="51"/>
              <w:jc w:val="center"/>
              <w:rPr>
                <w:rFonts w:ascii="宋体" w:hAnsi="宋体" w:cs="宋体"/>
                <w:b/>
                <w:kern w:val="0"/>
                <w:sz w:val="22"/>
                <w:szCs w:val="22"/>
              </w:rPr>
            </w:pPr>
            <w:r>
              <w:rPr>
                <w:rFonts w:hint="eastAsia" w:ascii="宋体" w:hAnsi="宋体" w:cs="宋体"/>
                <w:b/>
                <w:kern w:val="0"/>
                <w:sz w:val="22"/>
                <w:szCs w:val="22"/>
              </w:rPr>
              <w:t>商务评分</w:t>
            </w:r>
          </w:p>
        </w:tc>
        <w:tc>
          <w:tcPr>
            <w:tcW w:w="1912" w:type="dxa"/>
            <w:shd w:val="clear" w:color="auto" w:fill="EAEAEA"/>
            <w:noWrap w:val="0"/>
            <w:vAlign w:val="center"/>
          </w:tcPr>
          <w:p w14:paraId="0CBF03AA">
            <w:pPr>
              <w:autoSpaceDE w:val="0"/>
              <w:autoSpaceDN w:val="0"/>
              <w:adjustRightInd w:val="0"/>
              <w:ind w:left="6" w:leftChars="-51" w:hanging="113" w:hangingChars="51"/>
              <w:jc w:val="center"/>
              <w:rPr>
                <w:rFonts w:ascii="宋体" w:hAnsi="宋体" w:cs="宋体"/>
                <w:b/>
                <w:kern w:val="0"/>
                <w:sz w:val="22"/>
                <w:szCs w:val="22"/>
              </w:rPr>
            </w:pPr>
            <w:r>
              <w:rPr>
                <w:rFonts w:hint="eastAsia" w:ascii="宋体" w:hAnsi="宋体" w:cs="宋体"/>
                <w:b/>
                <w:kern w:val="0"/>
                <w:sz w:val="22"/>
                <w:szCs w:val="22"/>
              </w:rPr>
              <w:t>价格评分</w:t>
            </w:r>
          </w:p>
        </w:tc>
        <w:tc>
          <w:tcPr>
            <w:tcW w:w="1625" w:type="dxa"/>
            <w:shd w:val="clear" w:color="auto" w:fill="EAEAEA"/>
            <w:noWrap w:val="0"/>
            <w:vAlign w:val="center"/>
          </w:tcPr>
          <w:p w14:paraId="7671A01D">
            <w:pPr>
              <w:autoSpaceDE w:val="0"/>
              <w:autoSpaceDN w:val="0"/>
              <w:adjustRightInd w:val="0"/>
              <w:ind w:left="6" w:leftChars="-51" w:hanging="113" w:hangingChars="51"/>
              <w:jc w:val="center"/>
              <w:rPr>
                <w:rFonts w:ascii="宋体" w:hAnsi="宋体" w:cs="宋体"/>
                <w:b/>
                <w:kern w:val="0"/>
                <w:sz w:val="22"/>
                <w:szCs w:val="22"/>
              </w:rPr>
            </w:pPr>
            <w:r>
              <w:rPr>
                <w:rFonts w:hint="eastAsia" w:ascii="宋体" w:hAnsi="宋体" w:cs="宋体"/>
                <w:b/>
                <w:kern w:val="0"/>
                <w:sz w:val="22"/>
                <w:szCs w:val="22"/>
              </w:rPr>
              <w:t>合 计</w:t>
            </w:r>
          </w:p>
        </w:tc>
      </w:tr>
      <w:tr w14:paraId="534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72" w:type="dxa"/>
            <w:noWrap w:val="0"/>
            <w:vAlign w:val="center"/>
          </w:tcPr>
          <w:p w14:paraId="46FD158B">
            <w:pPr>
              <w:autoSpaceDE w:val="0"/>
              <w:autoSpaceDN w:val="0"/>
              <w:adjustRightInd w:val="0"/>
              <w:jc w:val="center"/>
              <w:rPr>
                <w:rFonts w:ascii="宋体" w:hAnsi="宋体" w:cs="宋体"/>
                <w:b/>
                <w:kern w:val="0"/>
                <w:sz w:val="22"/>
                <w:szCs w:val="22"/>
              </w:rPr>
            </w:pPr>
            <w:r>
              <w:rPr>
                <w:rFonts w:hint="eastAsia" w:ascii="宋体" w:hAnsi="宋体" w:cs="宋体"/>
                <w:b/>
                <w:kern w:val="0"/>
                <w:sz w:val="22"/>
                <w:szCs w:val="22"/>
              </w:rPr>
              <w:t>分值</w:t>
            </w:r>
          </w:p>
        </w:tc>
        <w:tc>
          <w:tcPr>
            <w:tcW w:w="1985" w:type="dxa"/>
            <w:noWrap w:val="0"/>
            <w:vAlign w:val="center"/>
          </w:tcPr>
          <w:p w14:paraId="1BD90848">
            <w:pPr>
              <w:autoSpaceDE w:val="0"/>
              <w:autoSpaceDN w:val="0"/>
              <w:adjustRightInd w:val="0"/>
              <w:jc w:val="center"/>
              <w:rPr>
                <w:rFonts w:ascii="宋体" w:hAnsi="宋体" w:cs="宋体"/>
                <w:color w:val="auto"/>
                <w:kern w:val="0"/>
                <w:sz w:val="22"/>
                <w:szCs w:val="22"/>
              </w:rPr>
            </w:pPr>
            <w:r>
              <w:rPr>
                <w:rFonts w:hint="eastAsia" w:ascii="宋体" w:hAnsi="宋体" w:cs="宋体"/>
                <w:color w:val="auto"/>
                <w:kern w:val="0"/>
                <w:sz w:val="22"/>
                <w:szCs w:val="22"/>
              </w:rPr>
              <w:t>50分</w:t>
            </w:r>
          </w:p>
        </w:tc>
        <w:tc>
          <w:tcPr>
            <w:tcW w:w="1895" w:type="dxa"/>
            <w:noWrap w:val="0"/>
            <w:vAlign w:val="center"/>
          </w:tcPr>
          <w:p w14:paraId="01D82D6A">
            <w:pPr>
              <w:autoSpaceDE w:val="0"/>
              <w:autoSpaceDN w:val="0"/>
              <w:adjustRightInd w:val="0"/>
              <w:ind w:leftChars="-51" w:hanging="112" w:hangingChars="51"/>
              <w:jc w:val="center"/>
              <w:rPr>
                <w:rFonts w:ascii="宋体" w:hAnsi="宋体" w:cs="宋体"/>
                <w:color w:val="auto"/>
                <w:kern w:val="0"/>
                <w:sz w:val="22"/>
                <w:szCs w:val="22"/>
              </w:rPr>
            </w:pPr>
            <w:r>
              <w:rPr>
                <w:rFonts w:hint="eastAsia" w:ascii="宋体" w:hAnsi="宋体" w:cs="宋体"/>
                <w:color w:val="auto"/>
                <w:kern w:val="0"/>
                <w:sz w:val="22"/>
                <w:szCs w:val="22"/>
                <w:lang w:val="en-US" w:eastAsia="zh-CN"/>
              </w:rPr>
              <w:t>20</w:t>
            </w:r>
            <w:r>
              <w:rPr>
                <w:rFonts w:hint="eastAsia" w:ascii="宋体" w:hAnsi="宋体" w:cs="宋体"/>
                <w:color w:val="auto"/>
                <w:kern w:val="0"/>
                <w:sz w:val="22"/>
                <w:szCs w:val="22"/>
              </w:rPr>
              <w:t>分</w:t>
            </w:r>
          </w:p>
        </w:tc>
        <w:tc>
          <w:tcPr>
            <w:tcW w:w="1912" w:type="dxa"/>
            <w:noWrap w:val="0"/>
            <w:vAlign w:val="center"/>
          </w:tcPr>
          <w:p w14:paraId="61A1F973">
            <w:pPr>
              <w:autoSpaceDE w:val="0"/>
              <w:autoSpaceDN w:val="0"/>
              <w:adjustRightInd w:val="0"/>
              <w:ind w:leftChars="-51" w:hanging="112" w:hangingChars="51"/>
              <w:jc w:val="center"/>
              <w:rPr>
                <w:rFonts w:ascii="宋体" w:hAnsi="宋体" w:cs="宋体"/>
                <w:color w:val="auto"/>
                <w:kern w:val="0"/>
                <w:sz w:val="22"/>
                <w:szCs w:val="22"/>
              </w:rPr>
            </w:pPr>
            <w:r>
              <w:rPr>
                <w:rFonts w:hint="eastAsia" w:ascii="宋体" w:hAnsi="宋体" w:cs="宋体"/>
                <w:color w:val="auto"/>
                <w:kern w:val="0"/>
                <w:sz w:val="22"/>
                <w:szCs w:val="22"/>
                <w:lang w:val="en-US" w:eastAsia="zh-CN"/>
              </w:rPr>
              <w:t>30</w:t>
            </w:r>
            <w:r>
              <w:rPr>
                <w:rFonts w:hint="eastAsia" w:ascii="宋体" w:hAnsi="宋体" w:cs="宋体"/>
                <w:color w:val="auto"/>
                <w:kern w:val="0"/>
                <w:sz w:val="22"/>
                <w:szCs w:val="22"/>
              </w:rPr>
              <w:t>分</w:t>
            </w:r>
          </w:p>
        </w:tc>
        <w:tc>
          <w:tcPr>
            <w:tcW w:w="1625" w:type="dxa"/>
            <w:noWrap w:val="0"/>
            <w:vAlign w:val="center"/>
          </w:tcPr>
          <w:p w14:paraId="1B3345F4">
            <w:pPr>
              <w:autoSpaceDE w:val="0"/>
              <w:autoSpaceDN w:val="0"/>
              <w:adjustRightInd w:val="0"/>
              <w:ind w:leftChars="-51" w:hanging="112" w:hangingChars="51"/>
              <w:jc w:val="center"/>
              <w:rPr>
                <w:rFonts w:ascii="宋体" w:hAnsi="宋体" w:cs="宋体"/>
                <w:color w:val="auto"/>
                <w:kern w:val="0"/>
                <w:sz w:val="22"/>
                <w:szCs w:val="22"/>
              </w:rPr>
            </w:pPr>
            <w:r>
              <w:rPr>
                <w:rFonts w:hint="eastAsia" w:ascii="宋体" w:hAnsi="宋体" w:cs="宋体"/>
                <w:color w:val="auto"/>
                <w:kern w:val="0"/>
                <w:sz w:val="22"/>
                <w:szCs w:val="22"/>
              </w:rPr>
              <w:t>100分</w:t>
            </w:r>
          </w:p>
        </w:tc>
      </w:tr>
      <w:tr w14:paraId="1B99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72" w:type="dxa"/>
            <w:noWrap w:val="0"/>
            <w:vAlign w:val="center"/>
          </w:tcPr>
          <w:p w14:paraId="4BD8D8F2">
            <w:pPr>
              <w:autoSpaceDE w:val="0"/>
              <w:autoSpaceDN w:val="0"/>
              <w:adjustRightInd w:val="0"/>
              <w:jc w:val="center"/>
              <w:rPr>
                <w:rFonts w:ascii="宋体" w:hAnsi="宋体" w:cs="宋体"/>
                <w:b/>
                <w:kern w:val="0"/>
                <w:sz w:val="22"/>
                <w:szCs w:val="22"/>
              </w:rPr>
            </w:pPr>
            <w:r>
              <w:rPr>
                <w:rFonts w:hint="eastAsia" w:ascii="宋体" w:hAnsi="宋体" w:cs="宋体"/>
                <w:b/>
                <w:kern w:val="0"/>
                <w:sz w:val="22"/>
                <w:szCs w:val="22"/>
              </w:rPr>
              <w:t>权重</w:t>
            </w:r>
          </w:p>
        </w:tc>
        <w:tc>
          <w:tcPr>
            <w:tcW w:w="1985" w:type="dxa"/>
            <w:noWrap w:val="0"/>
            <w:vAlign w:val="center"/>
          </w:tcPr>
          <w:p w14:paraId="7E8208C7">
            <w:pPr>
              <w:autoSpaceDE w:val="0"/>
              <w:autoSpaceDN w:val="0"/>
              <w:adjustRightInd w:val="0"/>
              <w:jc w:val="center"/>
              <w:rPr>
                <w:rFonts w:ascii="宋体" w:hAnsi="宋体" w:cs="宋体"/>
                <w:kern w:val="0"/>
                <w:sz w:val="22"/>
                <w:szCs w:val="22"/>
              </w:rPr>
            </w:pPr>
            <w:r>
              <w:rPr>
                <w:rFonts w:hint="eastAsia" w:ascii="宋体" w:hAnsi="宋体" w:cs="宋体"/>
                <w:kern w:val="0"/>
                <w:sz w:val="22"/>
                <w:szCs w:val="22"/>
              </w:rPr>
              <w:t>50%</w:t>
            </w:r>
          </w:p>
        </w:tc>
        <w:tc>
          <w:tcPr>
            <w:tcW w:w="1895" w:type="dxa"/>
            <w:noWrap w:val="0"/>
            <w:vAlign w:val="center"/>
          </w:tcPr>
          <w:p w14:paraId="2CB14BCF">
            <w:pPr>
              <w:autoSpaceDE w:val="0"/>
              <w:autoSpaceDN w:val="0"/>
              <w:adjustRightInd w:val="0"/>
              <w:jc w:val="center"/>
              <w:rPr>
                <w:rFonts w:ascii="宋体" w:hAnsi="宋体" w:cs="宋体"/>
                <w:kern w:val="0"/>
                <w:sz w:val="22"/>
                <w:szCs w:val="22"/>
              </w:rPr>
            </w:pPr>
            <w:r>
              <w:rPr>
                <w:rFonts w:hint="eastAsia" w:ascii="宋体" w:hAnsi="宋体" w:cs="宋体"/>
                <w:kern w:val="0"/>
                <w:sz w:val="22"/>
                <w:szCs w:val="22"/>
                <w:lang w:val="en-US" w:eastAsia="zh-CN"/>
              </w:rPr>
              <w:t>20</w:t>
            </w:r>
            <w:r>
              <w:rPr>
                <w:rFonts w:hint="eastAsia" w:ascii="宋体" w:hAnsi="宋体" w:cs="宋体"/>
                <w:kern w:val="0"/>
                <w:sz w:val="22"/>
                <w:szCs w:val="22"/>
              </w:rPr>
              <w:t>%</w:t>
            </w:r>
          </w:p>
        </w:tc>
        <w:tc>
          <w:tcPr>
            <w:tcW w:w="1912" w:type="dxa"/>
            <w:noWrap w:val="0"/>
            <w:vAlign w:val="center"/>
          </w:tcPr>
          <w:p w14:paraId="7D47B84B">
            <w:pPr>
              <w:autoSpaceDE w:val="0"/>
              <w:autoSpaceDN w:val="0"/>
              <w:adjustRightInd w:val="0"/>
              <w:jc w:val="center"/>
              <w:rPr>
                <w:rFonts w:ascii="宋体" w:hAnsi="宋体" w:cs="宋体"/>
                <w:kern w:val="0"/>
                <w:sz w:val="22"/>
                <w:szCs w:val="22"/>
              </w:rPr>
            </w:pPr>
            <w:r>
              <w:rPr>
                <w:rFonts w:hint="eastAsia" w:ascii="宋体" w:hAnsi="宋体" w:cs="宋体"/>
                <w:kern w:val="0"/>
                <w:sz w:val="22"/>
                <w:szCs w:val="22"/>
                <w:lang w:val="en-US" w:eastAsia="zh-CN"/>
              </w:rPr>
              <w:t>30</w:t>
            </w:r>
            <w:r>
              <w:rPr>
                <w:rFonts w:hint="eastAsia" w:ascii="宋体" w:hAnsi="宋体" w:cs="宋体"/>
                <w:kern w:val="0"/>
                <w:sz w:val="22"/>
                <w:szCs w:val="22"/>
              </w:rPr>
              <w:t>%</w:t>
            </w:r>
          </w:p>
        </w:tc>
        <w:tc>
          <w:tcPr>
            <w:tcW w:w="1625" w:type="dxa"/>
            <w:noWrap w:val="0"/>
            <w:vAlign w:val="center"/>
          </w:tcPr>
          <w:p w14:paraId="5EB499A1">
            <w:pPr>
              <w:autoSpaceDE w:val="0"/>
              <w:autoSpaceDN w:val="0"/>
              <w:adjustRightInd w:val="0"/>
              <w:jc w:val="center"/>
              <w:rPr>
                <w:rFonts w:ascii="宋体" w:hAnsi="宋体" w:cs="宋体"/>
                <w:kern w:val="0"/>
                <w:sz w:val="22"/>
                <w:szCs w:val="22"/>
              </w:rPr>
            </w:pPr>
            <w:bookmarkStart w:id="7" w:name="_Toc225564544"/>
            <w:bookmarkStart w:id="8" w:name="_Toc215655096"/>
            <w:r>
              <w:rPr>
                <w:rFonts w:hint="eastAsia" w:ascii="宋体" w:hAnsi="宋体" w:cs="宋体"/>
                <w:kern w:val="0"/>
                <w:sz w:val="22"/>
                <w:szCs w:val="22"/>
              </w:rPr>
              <w:t>100</w:t>
            </w:r>
            <w:bookmarkEnd w:id="7"/>
            <w:bookmarkEnd w:id="8"/>
            <w:r>
              <w:rPr>
                <w:rFonts w:hint="eastAsia" w:ascii="宋体" w:hAnsi="宋体" w:cs="宋体"/>
                <w:kern w:val="0"/>
                <w:sz w:val="22"/>
                <w:szCs w:val="22"/>
              </w:rPr>
              <w:t>%</w:t>
            </w:r>
          </w:p>
        </w:tc>
      </w:tr>
    </w:tbl>
    <w:p w14:paraId="5EFD4322">
      <w:pPr>
        <w:widowControl/>
        <w:numPr>
          <w:ilvl w:val="0"/>
          <w:numId w:val="3"/>
        </w:numPr>
        <w:tabs>
          <w:tab w:val="left" w:pos="720"/>
        </w:tabs>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技术评分</w:t>
      </w:r>
    </w:p>
    <w:p w14:paraId="408BAB7B">
      <w:pPr>
        <w:pageBreakBefore w:val="0"/>
        <w:widowControl/>
        <w:numPr>
          <w:ilvl w:val="0"/>
          <w:numId w:val="4"/>
        </w:numPr>
        <w:tabs>
          <w:tab w:val="left" w:pos="720"/>
        </w:tabs>
        <w:kinsoku/>
        <w:wordWrap/>
        <w:overflowPunct/>
        <w:topLinePunct w:val="0"/>
        <w:autoSpaceDE/>
        <w:autoSpaceDN/>
        <w:bidi w:val="0"/>
        <w:snapToGrid w:val="0"/>
        <w:spacing w:line="360" w:lineRule="auto"/>
        <w:ind w:firstLine="640" w:firstLineChars="200"/>
        <w:jc w:val="left"/>
        <w:textAlignment w:val="auto"/>
        <w:rPr>
          <w:rFonts w:ascii="宋体" w:hAnsi="宋体" w:cs="宋体"/>
          <w:kern w:val="0"/>
          <w:sz w:val="32"/>
          <w:szCs w:val="32"/>
        </w:rPr>
      </w:pPr>
      <w:r>
        <w:rPr>
          <w:rFonts w:hint="eastAsia" w:ascii="宋体" w:hAnsi="宋体" w:cs="宋体"/>
          <w:kern w:val="0"/>
          <w:sz w:val="32"/>
          <w:szCs w:val="32"/>
        </w:rPr>
        <w:t>由评审小组对所有</w:t>
      </w:r>
      <w:r>
        <w:rPr>
          <w:rFonts w:hint="eastAsia" w:ascii="宋体" w:hAnsi="宋体" w:cs="宋体"/>
          <w:kern w:val="28"/>
          <w:sz w:val="32"/>
          <w:szCs w:val="32"/>
        </w:rPr>
        <w:t>参评</w:t>
      </w:r>
      <w:r>
        <w:rPr>
          <w:rFonts w:hint="eastAsia" w:ascii="宋体" w:hAnsi="宋体" w:cs="宋体"/>
          <w:kern w:val="0"/>
          <w:sz w:val="32"/>
          <w:szCs w:val="32"/>
        </w:rPr>
        <w:t>文件的技术部分的响应进行审核和分析；</w:t>
      </w:r>
    </w:p>
    <w:p w14:paraId="6E306E2A">
      <w:pPr>
        <w:pageBreakBefore w:val="0"/>
        <w:widowControl/>
        <w:numPr>
          <w:ilvl w:val="0"/>
          <w:numId w:val="4"/>
        </w:numPr>
        <w:tabs>
          <w:tab w:val="left" w:pos="720"/>
        </w:tabs>
        <w:kinsoku/>
        <w:wordWrap/>
        <w:overflowPunct/>
        <w:topLinePunct w:val="0"/>
        <w:autoSpaceDE/>
        <w:autoSpaceDN/>
        <w:bidi w:val="0"/>
        <w:snapToGrid w:val="0"/>
        <w:spacing w:line="360" w:lineRule="auto"/>
        <w:ind w:firstLine="640" w:firstLineChars="200"/>
        <w:jc w:val="left"/>
        <w:textAlignment w:val="auto"/>
        <w:rPr>
          <w:rFonts w:ascii="宋体" w:hAnsi="宋体" w:cs="宋体"/>
          <w:kern w:val="0"/>
          <w:sz w:val="32"/>
          <w:szCs w:val="32"/>
        </w:rPr>
      </w:pPr>
      <w:r>
        <w:rPr>
          <w:rFonts w:hint="eastAsia" w:ascii="宋体" w:hAnsi="宋体" w:cs="宋体"/>
          <w:kern w:val="0"/>
          <w:sz w:val="32"/>
          <w:szCs w:val="32"/>
        </w:rPr>
        <w:t>评委独立进行评分，填写“技术评分表”；</w:t>
      </w:r>
    </w:p>
    <w:p w14:paraId="3109A74D">
      <w:pPr>
        <w:pageBreakBefore w:val="0"/>
        <w:widowControl/>
        <w:numPr>
          <w:ilvl w:val="0"/>
          <w:numId w:val="4"/>
        </w:numPr>
        <w:tabs>
          <w:tab w:val="left" w:pos="720"/>
        </w:tabs>
        <w:kinsoku/>
        <w:wordWrap/>
        <w:overflowPunct/>
        <w:topLinePunct w:val="0"/>
        <w:autoSpaceDE/>
        <w:autoSpaceDN/>
        <w:bidi w:val="0"/>
        <w:snapToGrid w:val="0"/>
        <w:spacing w:line="360" w:lineRule="auto"/>
        <w:ind w:firstLine="640" w:firstLineChars="200"/>
        <w:jc w:val="left"/>
        <w:textAlignment w:val="auto"/>
        <w:rPr>
          <w:rFonts w:ascii="宋体" w:hAnsi="宋体" w:cs="宋体"/>
          <w:kern w:val="0"/>
          <w:sz w:val="32"/>
          <w:szCs w:val="32"/>
        </w:rPr>
      </w:pPr>
      <w:r>
        <w:rPr>
          <w:rFonts w:hint="eastAsia" w:ascii="宋体" w:hAnsi="宋体" w:cs="宋体"/>
          <w:kern w:val="0"/>
          <w:sz w:val="32"/>
          <w:szCs w:val="32"/>
        </w:rPr>
        <w:t>评分标准：按“技术评分表”中的分值进行评分；</w:t>
      </w:r>
    </w:p>
    <w:p w14:paraId="010FE239">
      <w:pPr>
        <w:pageBreakBefore w:val="0"/>
        <w:widowControl/>
        <w:numPr>
          <w:ilvl w:val="0"/>
          <w:numId w:val="4"/>
        </w:numPr>
        <w:tabs>
          <w:tab w:val="left" w:pos="720"/>
        </w:tabs>
        <w:kinsoku/>
        <w:wordWrap/>
        <w:overflowPunct/>
        <w:topLinePunct w:val="0"/>
        <w:autoSpaceDE/>
        <w:autoSpaceDN/>
        <w:bidi w:val="0"/>
        <w:snapToGrid w:val="0"/>
        <w:spacing w:line="360" w:lineRule="auto"/>
        <w:ind w:firstLine="640" w:firstLineChars="200"/>
        <w:jc w:val="left"/>
        <w:textAlignment w:val="auto"/>
        <w:rPr>
          <w:rFonts w:ascii="宋体" w:hAnsi="宋体" w:cs="宋体"/>
          <w:kern w:val="0"/>
          <w:sz w:val="32"/>
          <w:szCs w:val="32"/>
        </w:rPr>
      </w:pPr>
      <w:r>
        <w:rPr>
          <w:rFonts w:hint="eastAsia" w:ascii="宋体" w:hAnsi="宋体" w:cs="宋体"/>
          <w:kern w:val="0"/>
          <w:sz w:val="32"/>
          <w:szCs w:val="32"/>
        </w:rPr>
        <w:t>将每一个评委的评分汇集，取算术平均值（精确到小数点后两位）为该</w:t>
      </w:r>
      <w:r>
        <w:rPr>
          <w:rFonts w:hint="eastAsia" w:ascii="宋体" w:hAnsi="宋体" w:cs="宋体"/>
          <w:kern w:val="28"/>
          <w:sz w:val="32"/>
          <w:szCs w:val="32"/>
        </w:rPr>
        <w:t>参评</w:t>
      </w:r>
      <w:r>
        <w:rPr>
          <w:rFonts w:hint="eastAsia" w:ascii="宋体" w:hAnsi="宋体" w:cs="宋体"/>
          <w:kern w:val="0"/>
          <w:sz w:val="32"/>
          <w:szCs w:val="32"/>
        </w:rPr>
        <w:t>人的技术得分。</w:t>
      </w:r>
    </w:p>
    <w:p w14:paraId="69BE5BBD">
      <w:pPr>
        <w:pageBreakBefore w:val="0"/>
        <w:widowControl/>
        <w:numPr>
          <w:ilvl w:val="0"/>
          <w:numId w:val="3"/>
        </w:numPr>
        <w:tabs>
          <w:tab w:val="left" w:pos="720"/>
        </w:tabs>
        <w:kinsoku/>
        <w:wordWrap/>
        <w:overflowPunct/>
        <w:topLinePunct w:val="0"/>
        <w:autoSpaceDE/>
        <w:autoSpaceDN/>
        <w:bidi w:val="0"/>
        <w:snapToGrid w:val="0"/>
        <w:spacing w:line="360" w:lineRule="auto"/>
        <w:ind w:firstLine="640" w:firstLineChars="200"/>
        <w:jc w:val="left"/>
        <w:textAlignment w:val="auto"/>
        <w:rPr>
          <w:rFonts w:ascii="宋体" w:hAnsi="宋体" w:cs="宋体"/>
          <w:kern w:val="0"/>
          <w:sz w:val="32"/>
          <w:szCs w:val="32"/>
        </w:rPr>
      </w:pPr>
      <w:r>
        <w:rPr>
          <w:rFonts w:hint="eastAsia" w:ascii="宋体" w:hAnsi="宋体" w:cs="宋体"/>
          <w:kern w:val="0"/>
          <w:sz w:val="32"/>
          <w:szCs w:val="32"/>
        </w:rPr>
        <w:t>商务评分</w:t>
      </w:r>
    </w:p>
    <w:p w14:paraId="5DC766FD">
      <w:pPr>
        <w:pageBreakBefore w:val="0"/>
        <w:widowControl/>
        <w:numPr>
          <w:ilvl w:val="0"/>
          <w:numId w:val="5"/>
        </w:numPr>
        <w:tabs>
          <w:tab w:val="left" w:pos="720"/>
        </w:tabs>
        <w:kinsoku/>
        <w:wordWrap/>
        <w:overflowPunct/>
        <w:topLinePunct w:val="0"/>
        <w:autoSpaceDE/>
        <w:autoSpaceDN/>
        <w:bidi w:val="0"/>
        <w:snapToGrid w:val="0"/>
        <w:spacing w:line="360" w:lineRule="auto"/>
        <w:ind w:firstLine="640" w:firstLineChars="200"/>
        <w:jc w:val="left"/>
        <w:textAlignment w:val="auto"/>
        <w:rPr>
          <w:rFonts w:ascii="宋体" w:hAnsi="宋体" w:cs="宋体"/>
          <w:kern w:val="0"/>
          <w:sz w:val="32"/>
          <w:szCs w:val="32"/>
        </w:rPr>
      </w:pPr>
      <w:r>
        <w:rPr>
          <w:rFonts w:hint="eastAsia" w:ascii="宋体" w:hAnsi="宋体" w:cs="宋体"/>
          <w:kern w:val="0"/>
          <w:sz w:val="32"/>
          <w:szCs w:val="32"/>
        </w:rPr>
        <w:t>由评审小组对所有参评文件的商务部分的响应进行审核和分析；</w:t>
      </w:r>
    </w:p>
    <w:p w14:paraId="01F53B31">
      <w:pPr>
        <w:pageBreakBefore w:val="0"/>
        <w:widowControl/>
        <w:numPr>
          <w:ilvl w:val="0"/>
          <w:numId w:val="5"/>
        </w:numPr>
        <w:tabs>
          <w:tab w:val="left" w:pos="720"/>
        </w:tabs>
        <w:kinsoku/>
        <w:wordWrap/>
        <w:overflowPunct/>
        <w:topLinePunct w:val="0"/>
        <w:autoSpaceDE/>
        <w:autoSpaceDN/>
        <w:bidi w:val="0"/>
        <w:snapToGrid w:val="0"/>
        <w:spacing w:line="360" w:lineRule="auto"/>
        <w:ind w:firstLine="640" w:firstLineChars="200"/>
        <w:jc w:val="left"/>
        <w:textAlignment w:val="auto"/>
        <w:rPr>
          <w:rFonts w:ascii="宋体" w:hAnsi="宋体" w:cs="宋体"/>
          <w:kern w:val="0"/>
          <w:sz w:val="32"/>
          <w:szCs w:val="32"/>
        </w:rPr>
      </w:pPr>
      <w:r>
        <w:rPr>
          <w:rFonts w:hint="eastAsia" w:ascii="宋体" w:hAnsi="宋体" w:cs="宋体"/>
          <w:kern w:val="0"/>
          <w:sz w:val="32"/>
          <w:szCs w:val="32"/>
        </w:rPr>
        <w:t>评委独立进行评分，填写“商务评分表”；</w:t>
      </w:r>
    </w:p>
    <w:p w14:paraId="24DA5341">
      <w:pPr>
        <w:pageBreakBefore w:val="0"/>
        <w:widowControl/>
        <w:numPr>
          <w:ilvl w:val="0"/>
          <w:numId w:val="5"/>
        </w:numPr>
        <w:tabs>
          <w:tab w:val="left" w:pos="720"/>
        </w:tabs>
        <w:kinsoku/>
        <w:wordWrap/>
        <w:overflowPunct/>
        <w:topLinePunct w:val="0"/>
        <w:autoSpaceDE/>
        <w:autoSpaceDN/>
        <w:bidi w:val="0"/>
        <w:snapToGrid w:val="0"/>
        <w:spacing w:line="360" w:lineRule="auto"/>
        <w:ind w:firstLine="640" w:firstLineChars="200"/>
        <w:jc w:val="left"/>
        <w:textAlignment w:val="auto"/>
        <w:rPr>
          <w:rFonts w:ascii="宋体" w:hAnsi="宋体" w:cs="宋体"/>
          <w:kern w:val="0"/>
          <w:sz w:val="32"/>
          <w:szCs w:val="32"/>
        </w:rPr>
      </w:pPr>
      <w:r>
        <w:rPr>
          <w:rFonts w:hint="eastAsia" w:ascii="宋体" w:hAnsi="宋体" w:cs="宋体"/>
          <w:kern w:val="0"/>
          <w:sz w:val="32"/>
          <w:szCs w:val="32"/>
        </w:rPr>
        <w:t>评分标准：按“商务评分表”中的分值进行评分；</w:t>
      </w:r>
    </w:p>
    <w:p w14:paraId="4E1A6186">
      <w:pPr>
        <w:pageBreakBefore w:val="0"/>
        <w:widowControl/>
        <w:numPr>
          <w:ilvl w:val="0"/>
          <w:numId w:val="5"/>
        </w:numPr>
        <w:tabs>
          <w:tab w:val="left" w:pos="720"/>
        </w:tabs>
        <w:kinsoku/>
        <w:wordWrap/>
        <w:overflowPunct/>
        <w:topLinePunct w:val="0"/>
        <w:autoSpaceDE/>
        <w:autoSpaceDN/>
        <w:bidi w:val="0"/>
        <w:snapToGrid w:val="0"/>
        <w:spacing w:line="360" w:lineRule="auto"/>
        <w:ind w:firstLine="640" w:firstLineChars="200"/>
        <w:jc w:val="left"/>
        <w:textAlignment w:val="auto"/>
        <w:rPr>
          <w:rFonts w:ascii="宋体" w:hAnsi="宋体" w:cs="宋体"/>
          <w:kern w:val="0"/>
          <w:sz w:val="32"/>
          <w:szCs w:val="32"/>
        </w:rPr>
      </w:pPr>
      <w:r>
        <w:rPr>
          <w:rFonts w:hint="eastAsia" w:ascii="宋体" w:hAnsi="宋体" w:cs="宋体"/>
          <w:kern w:val="0"/>
          <w:sz w:val="32"/>
          <w:szCs w:val="32"/>
        </w:rPr>
        <w:t>将每一个评委的评分汇集，取算术平均值（精确到小数点后两位）为该参评人的商务得分。</w:t>
      </w:r>
    </w:p>
    <w:p w14:paraId="1108BF5D">
      <w:pPr>
        <w:pageBreakBefore w:val="0"/>
        <w:widowControl/>
        <w:numPr>
          <w:ilvl w:val="0"/>
          <w:numId w:val="3"/>
        </w:numPr>
        <w:tabs>
          <w:tab w:val="left" w:pos="720"/>
        </w:tabs>
        <w:kinsoku/>
        <w:wordWrap/>
        <w:overflowPunct/>
        <w:topLinePunct w:val="0"/>
        <w:autoSpaceDE/>
        <w:autoSpaceDN/>
        <w:bidi w:val="0"/>
        <w:snapToGrid w:val="0"/>
        <w:spacing w:line="360" w:lineRule="auto"/>
        <w:ind w:firstLine="640" w:firstLineChars="200"/>
        <w:jc w:val="left"/>
        <w:textAlignment w:val="auto"/>
        <w:rPr>
          <w:rFonts w:ascii="宋体" w:hAnsi="宋体" w:cs="宋体"/>
          <w:kern w:val="0"/>
          <w:sz w:val="32"/>
          <w:szCs w:val="32"/>
        </w:rPr>
      </w:pPr>
      <w:r>
        <w:rPr>
          <w:rFonts w:hint="eastAsia" w:ascii="宋体" w:hAnsi="宋体" w:cs="宋体"/>
          <w:kern w:val="0"/>
          <w:sz w:val="32"/>
          <w:szCs w:val="32"/>
        </w:rPr>
        <w:t>价格评分</w:t>
      </w:r>
    </w:p>
    <w:p w14:paraId="6235B603">
      <w:pPr>
        <w:pageBreakBefore w:val="0"/>
        <w:widowControl/>
        <w:numPr>
          <w:ilvl w:val="0"/>
          <w:numId w:val="6"/>
        </w:numPr>
        <w:tabs>
          <w:tab w:val="left" w:pos="720"/>
        </w:tabs>
        <w:kinsoku/>
        <w:wordWrap/>
        <w:overflowPunct/>
        <w:topLinePunct w:val="0"/>
        <w:autoSpaceDE/>
        <w:autoSpaceDN/>
        <w:bidi w:val="0"/>
        <w:snapToGrid w:val="0"/>
        <w:spacing w:line="360" w:lineRule="auto"/>
        <w:ind w:firstLine="640" w:firstLineChars="200"/>
        <w:jc w:val="left"/>
        <w:textAlignment w:val="auto"/>
        <w:rPr>
          <w:rFonts w:ascii="宋体" w:hAnsi="宋体" w:cs="宋体"/>
          <w:kern w:val="0"/>
          <w:sz w:val="32"/>
          <w:szCs w:val="32"/>
        </w:rPr>
      </w:pPr>
      <w:r>
        <w:rPr>
          <w:rFonts w:hint="eastAsia" w:ascii="宋体" w:hAnsi="宋体" w:cs="宋体"/>
          <w:kern w:val="0"/>
          <w:sz w:val="32"/>
          <w:szCs w:val="32"/>
        </w:rPr>
        <w:t>由评审小组对所有参评文件的价格部分的响应进行审核和分析。</w:t>
      </w:r>
    </w:p>
    <w:p w14:paraId="3BBFBB81">
      <w:pPr>
        <w:pageBreakBefore w:val="0"/>
        <w:widowControl/>
        <w:numPr>
          <w:ilvl w:val="0"/>
          <w:numId w:val="6"/>
        </w:numPr>
        <w:tabs>
          <w:tab w:val="left" w:pos="720"/>
        </w:tabs>
        <w:kinsoku/>
        <w:wordWrap/>
        <w:overflowPunct/>
        <w:topLinePunct w:val="0"/>
        <w:autoSpaceDE/>
        <w:autoSpaceDN/>
        <w:bidi w:val="0"/>
        <w:snapToGrid w:val="0"/>
        <w:spacing w:line="360" w:lineRule="auto"/>
        <w:ind w:firstLine="640" w:firstLineChars="200"/>
        <w:jc w:val="left"/>
        <w:textAlignment w:val="auto"/>
        <w:rPr>
          <w:rFonts w:ascii="宋体" w:hAnsi="宋体" w:cs="宋体"/>
          <w:kern w:val="0"/>
          <w:sz w:val="32"/>
          <w:szCs w:val="32"/>
        </w:rPr>
      </w:pPr>
      <w:r>
        <w:rPr>
          <w:rFonts w:hint="eastAsia" w:ascii="宋体" w:hAnsi="宋体" w:cs="宋体"/>
          <w:kern w:val="0"/>
          <w:sz w:val="32"/>
          <w:szCs w:val="32"/>
        </w:rPr>
        <w:t>基准价格分：以有效参评人中报价最低的参评报价为基准价，定其基准价格分为满分。</w:t>
      </w:r>
    </w:p>
    <w:p w14:paraId="51BF3AFC">
      <w:pPr>
        <w:pageBreakBefore w:val="0"/>
        <w:widowControl/>
        <w:numPr>
          <w:ilvl w:val="0"/>
          <w:numId w:val="6"/>
        </w:numPr>
        <w:tabs>
          <w:tab w:val="left" w:pos="720"/>
        </w:tabs>
        <w:kinsoku/>
        <w:wordWrap/>
        <w:overflowPunct/>
        <w:topLinePunct w:val="0"/>
        <w:autoSpaceDE/>
        <w:autoSpaceDN/>
        <w:bidi w:val="0"/>
        <w:snapToGrid w:val="0"/>
        <w:spacing w:line="360" w:lineRule="auto"/>
        <w:ind w:firstLine="640" w:firstLineChars="200"/>
        <w:jc w:val="left"/>
        <w:textAlignment w:val="auto"/>
        <w:rPr>
          <w:rFonts w:ascii="宋体" w:hAnsi="宋体" w:cs="宋体"/>
          <w:kern w:val="0"/>
          <w:sz w:val="32"/>
          <w:szCs w:val="32"/>
        </w:rPr>
      </w:pPr>
      <w:r>
        <w:rPr>
          <w:rFonts w:hint="eastAsia" w:ascii="宋体" w:hAnsi="宋体" w:cs="宋体"/>
          <w:kern w:val="0"/>
          <w:sz w:val="32"/>
          <w:szCs w:val="32"/>
        </w:rPr>
        <w:t>参评人的价格得分=评审基准价÷参评报价×价格分值（精确到小数点后两位）。由此算出每个参评人的“价格得分”。</w:t>
      </w:r>
    </w:p>
    <w:p w14:paraId="16A5234D">
      <w:pPr>
        <w:pageBreakBefore w:val="0"/>
        <w:widowControl/>
        <w:numPr>
          <w:ilvl w:val="0"/>
          <w:numId w:val="6"/>
        </w:numPr>
        <w:tabs>
          <w:tab w:val="left" w:pos="720"/>
        </w:tabs>
        <w:kinsoku/>
        <w:wordWrap/>
        <w:overflowPunct/>
        <w:topLinePunct w:val="0"/>
        <w:autoSpaceDE/>
        <w:autoSpaceDN/>
        <w:bidi w:val="0"/>
        <w:snapToGrid w:val="0"/>
        <w:spacing w:line="360" w:lineRule="auto"/>
        <w:ind w:firstLine="640" w:firstLineChars="200"/>
        <w:jc w:val="left"/>
        <w:textAlignment w:val="auto"/>
        <w:rPr>
          <w:rFonts w:ascii="宋体" w:hAnsi="宋体" w:cs="宋体"/>
          <w:kern w:val="0"/>
          <w:sz w:val="32"/>
          <w:szCs w:val="32"/>
        </w:rPr>
      </w:pPr>
      <w:r>
        <w:rPr>
          <w:rFonts w:hint="eastAsia" w:ascii="宋体" w:hAnsi="宋体" w:cs="宋体"/>
          <w:kern w:val="0"/>
          <w:sz w:val="32"/>
          <w:szCs w:val="32"/>
        </w:rPr>
        <w:t>评委检查每个参评人的价格评分计算情况，确认“价格得分”。</w:t>
      </w:r>
    </w:p>
    <w:p w14:paraId="3EA9C618">
      <w:pPr>
        <w:keepNext/>
        <w:keepLines/>
        <w:pageBreakBefore w:val="0"/>
        <w:widowControl/>
        <w:numPr>
          <w:ilvl w:val="1"/>
          <w:numId w:val="0"/>
        </w:numPr>
        <w:kinsoku/>
        <w:wordWrap/>
        <w:overflowPunct/>
        <w:topLinePunct w:val="0"/>
        <w:autoSpaceDE/>
        <w:autoSpaceDN/>
        <w:bidi w:val="0"/>
        <w:spacing w:beforeAutospacing="0" w:afterAutospacing="0" w:line="360" w:lineRule="auto"/>
        <w:ind w:left="0"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二、</w:t>
      </w:r>
      <w:bookmarkStart w:id="9" w:name="_Toc484827211"/>
      <w:r>
        <w:rPr>
          <w:rFonts w:hint="eastAsia" w:ascii="仿宋_GB2312" w:hAnsi="仿宋_GB2312" w:eastAsia="仿宋_GB2312" w:cs="仿宋_GB2312"/>
          <w:b/>
          <w:bCs/>
          <w:color w:val="000000"/>
          <w:sz w:val="32"/>
          <w:szCs w:val="32"/>
          <w:lang w:val="en-US" w:eastAsia="zh-CN"/>
        </w:rPr>
        <w:t>综合得分的计算</w:t>
      </w:r>
      <w:bookmarkEnd w:id="9"/>
    </w:p>
    <w:p w14:paraId="72E11F7A">
      <w:pPr>
        <w:pageBreakBefore w:val="0"/>
        <w:widowControl/>
        <w:kinsoku/>
        <w:wordWrap/>
        <w:overflowPunct/>
        <w:topLinePunct w:val="0"/>
        <w:autoSpaceDE/>
        <w:autoSpaceDN/>
        <w:bidi w:val="0"/>
        <w:spacing w:line="360" w:lineRule="auto"/>
        <w:ind w:firstLine="640" w:firstLineChars="200"/>
        <w:jc w:val="left"/>
        <w:textAlignment w:val="auto"/>
        <w:rPr>
          <w:rFonts w:ascii="宋体" w:hAnsi="宋体" w:cs="宋体"/>
          <w:kern w:val="0"/>
          <w:sz w:val="32"/>
          <w:szCs w:val="32"/>
        </w:rPr>
      </w:pPr>
      <w:r>
        <w:rPr>
          <w:rFonts w:hint="eastAsia" w:ascii="宋体" w:hAnsi="宋体" w:cs="宋体"/>
          <w:kern w:val="0"/>
          <w:sz w:val="32"/>
          <w:szCs w:val="32"/>
        </w:rPr>
        <w:t>本项目的评审方法采用综合评分法，综合评分法评审步骤：先进行资格、符合性审查，再进行技术、商务及价格的详细评审。只有通过资格、符合性审查的</w:t>
      </w:r>
      <w:r>
        <w:rPr>
          <w:rFonts w:hint="eastAsia" w:ascii="宋体" w:hAnsi="宋体" w:cs="宋体"/>
          <w:kern w:val="28"/>
          <w:sz w:val="32"/>
          <w:szCs w:val="32"/>
        </w:rPr>
        <w:t>参评</w:t>
      </w:r>
      <w:r>
        <w:rPr>
          <w:rFonts w:hint="eastAsia" w:ascii="宋体" w:hAnsi="宋体" w:cs="宋体"/>
          <w:kern w:val="0"/>
          <w:sz w:val="32"/>
          <w:szCs w:val="32"/>
        </w:rPr>
        <w:t>人才能进入详细的评审。</w:t>
      </w:r>
    </w:p>
    <w:p w14:paraId="03D13934">
      <w:pPr>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cs="Arial"/>
          <w:sz w:val="32"/>
          <w:szCs w:val="32"/>
        </w:rPr>
      </w:pPr>
      <w:r>
        <w:rPr>
          <w:rFonts w:hint="eastAsia" w:ascii="宋体" w:hAnsi="宋体" w:cs="Arial"/>
          <w:sz w:val="32"/>
          <w:szCs w:val="32"/>
        </w:rPr>
        <w:t>综合得分（精确到小数点后两位）=</w:t>
      </w:r>
      <w:bookmarkStart w:id="10" w:name="ScoreFormula"/>
      <w:r>
        <w:rPr>
          <w:rFonts w:hint="eastAsia" w:ascii="宋体" w:hAnsi="宋体" w:cs="Arial"/>
          <w:sz w:val="32"/>
          <w:szCs w:val="32"/>
        </w:rPr>
        <w:t>技术得分+商务得分+价格得分</w:t>
      </w:r>
      <w:bookmarkEnd w:id="10"/>
      <w:r>
        <w:rPr>
          <w:rFonts w:hint="eastAsia" w:ascii="宋体" w:hAnsi="宋体" w:cs="Arial"/>
          <w:sz w:val="32"/>
          <w:szCs w:val="32"/>
        </w:rPr>
        <w:t>。</w:t>
      </w:r>
      <w:r>
        <w:rPr>
          <w:rFonts w:hint="eastAsia" w:ascii="宋体" w:hAnsi="宋体"/>
          <w:bCs/>
          <w:sz w:val="32"/>
          <w:szCs w:val="32"/>
        </w:rPr>
        <w:t>综合得分相同的，名次按技术评分由高到低顺序排列；综合得分相同且技术评分相同的，名次按商务评分由高到低顺序排列；综合得分相同、技术评分和商务评分均相同的，名次由评审价由低到高顺序排列。综合得分相同、技术评分、商务评分和评审价均相同的评审小组抽签确定。法律法规有明确规定的，以法律法规规定为准。</w:t>
      </w:r>
    </w:p>
    <w:p w14:paraId="02A8AB12">
      <w:pPr>
        <w:keepNext/>
        <w:keepLines/>
        <w:pageBreakBefore w:val="0"/>
        <w:widowControl/>
        <w:numPr>
          <w:ilvl w:val="1"/>
          <w:numId w:val="0"/>
        </w:numPr>
        <w:kinsoku/>
        <w:wordWrap/>
        <w:overflowPunct/>
        <w:topLinePunct w:val="0"/>
        <w:autoSpaceDE/>
        <w:autoSpaceDN/>
        <w:bidi w:val="0"/>
        <w:spacing w:beforeAutospacing="0" w:afterAutospacing="0" w:line="360" w:lineRule="auto"/>
        <w:ind w:left="0" w:firstLine="643" w:firstLineChars="20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三、确定成交人</w:t>
      </w:r>
    </w:p>
    <w:p w14:paraId="103F51F8">
      <w:pPr>
        <w:adjustRightInd w:val="0"/>
        <w:snapToGrid w:val="0"/>
        <w:spacing w:line="360" w:lineRule="auto"/>
        <w:ind w:firstLine="640" w:firstLineChars="200"/>
        <w:rPr>
          <w:rFonts w:ascii="宋体" w:hAnsi="宋体" w:cs="Arial"/>
          <w:sz w:val="32"/>
          <w:szCs w:val="32"/>
        </w:rPr>
      </w:pPr>
      <w:r>
        <w:rPr>
          <w:rFonts w:hint="eastAsia" w:ascii="宋体" w:hAnsi="宋体" w:cs="Arial"/>
          <w:sz w:val="32"/>
          <w:szCs w:val="32"/>
        </w:rPr>
        <w:t>采购人将根据评审结果，确定成交人，同时向成交人发出书面《成交通知书》。</w:t>
      </w:r>
    </w:p>
    <w:p w14:paraId="2D96741E">
      <w:pPr>
        <w:adjustRightInd w:val="0"/>
        <w:snapToGrid w:val="0"/>
        <w:spacing w:line="360" w:lineRule="auto"/>
        <w:ind w:firstLine="643" w:firstLineChars="200"/>
        <w:rPr>
          <w:rFonts w:ascii="宋体" w:hAnsi="宋体" w:cs="Arial"/>
          <w:b/>
          <w:sz w:val="32"/>
          <w:szCs w:val="32"/>
        </w:rPr>
      </w:pPr>
      <w:r>
        <w:rPr>
          <w:rFonts w:hint="eastAsia" w:ascii="宋体" w:hAnsi="宋体" w:cs="Arial"/>
          <w:b/>
          <w:sz w:val="32"/>
          <w:szCs w:val="32"/>
        </w:rPr>
        <w:t>注：本评审办法入围</w:t>
      </w:r>
      <w:r>
        <w:rPr>
          <w:rFonts w:hint="eastAsia" w:ascii="宋体" w:hAnsi="宋体" w:cs="宋体"/>
          <w:b/>
          <w:kern w:val="28"/>
          <w:sz w:val="32"/>
          <w:szCs w:val="32"/>
        </w:rPr>
        <w:t>参评</w:t>
      </w:r>
      <w:r>
        <w:rPr>
          <w:rFonts w:hint="eastAsia" w:ascii="宋体" w:hAnsi="宋体" w:cs="Arial"/>
          <w:b/>
          <w:sz w:val="32"/>
          <w:szCs w:val="32"/>
        </w:rPr>
        <w:t>人指所有通过资格、符合性审查的</w:t>
      </w:r>
      <w:r>
        <w:rPr>
          <w:rFonts w:hint="eastAsia" w:ascii="宋体" w:hAnsi="宋体" w:cs="宋体"/>
          <w:b/>
          <w:kern w:val="28"/>
          <w:sz w:val="32"/>
          <w:szCs w:val="32"/>
        </w:rPr>
        <w:t>参评</w:t>
      </w:r>
      <w:r>
        <w:rPr>
          <w:rFonts w:hint="eastAsia" w:ascii="宋体" w:hAnsi="宋体" w:cs="Arial"/>
          <w:b/>
          <w:sz w:val="32"/>
          <w:szCs w:val="32"/>
        </w:rPr>
        <w:t>人。</w:t>
      </w:r>
    </w:p>
    <w:p w14:paraId="7614421E">
      <w:pPr>
        <w:spacing w:line="400" w:lineRule="exact"/>
        <w:jc w:val="center"/>
        <w:rPr>
          <w:rFonts w:ascii="宋体" w:hAnsi="宋体"/>
          <w:b/>
          <w:bCs/>
          <w:sz w:val="32"/>
          <w:szCs w:val="32"/>
        </w:rPr>
      </w:pPr>
      <w:r>
        <w:rPr>
          <w:rFonts w:ascii="宋体" w:hAnsi="宋体" w:cs="宋体"/>
          <w:kern w:val="0"/>
          <w:sz w:val="28"/>
          <w:szCs w:val="21"/>
        </w:rPr>
        <w:br w:type="page"/>
      </w:r>
      <w:r>
        <w:rPr>
          <w:rFonts w:ascii="宋体" w:hAnsi="宋体"/>
          <w:b/>
          <w:bCs/>
          <w:sz w:val="32"/>
          <w:szCs w:val="32"/>
        </w:rPr>
        <w:t>资格、符合性审查</w:t>
      </w:r>
      <w:r>
        <w:rPr>
          <w:rFonts w:hint="eastAsia" w:ascii="宋体" w:hAnsi="宋体"/>
          <w:b/>
          <w:bCs/>
          <w:sz w:val="32"/>
          <w:szCs w:val="32"/>
        </w:rPr>
        <w:t>表</w:t>
      </w:r>
    </w:p>
    <w:p w14:paraId="3BCD7280">
      <w:pPr>
        <w:spacing w:line="400" w:lineRule="exact"/>
        <w:rPr>
          <w:rFonts w:ascii="宋体" w:hAnsi="宋体" w:cs="宋体"/>
          <w:sz w:val="22"/>
          <w:szCs w:val="22"/>
        </w:rPr>
      </w:pPr>
    </w:p>
    <w:p w14:paraId="0BFB2A35">
      <w:pPr>
        <w:spacing w:line="400" w:lineRule="exact"/>
        <w:rPr>
          <w:rFonts w:ascii="宋体" w:hAnsi="宋体" w:cs="宋体"/>
          <w:sz w:val="22"/>
          <w:szCs w:val="22"/>
        </w:rPr>
      </w:pPr>
      <w:r>
        <w:rPr>
          <w:rFonts w:hint="eastAsia" w:ascii="宋体" w:hAnsi="宋体" w:cs="宋体"/>
          <w:sz w:val="22"/>
          <w:szCs w:val="22"/>
        </w:rPr>
        <w:t>项目名称：广东省政府挂牌督办火灾隐患重点地区社会调查项目</w:t>
      </w:r>
    </w:p>
    <w:tbl>
      <w:tblPr>
        <w:tblStyle w:val="14"/>
        <w:tblW w:w="4998" w:type="pct"/>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autofit"/>
        <w:tblCellMar>
          <w:top w:w="0" w:type="dxa"/>
          <w:left w:w="108" w:type="dxa"/>
          <w:bottom w:w="0" w:type="dxa"/>
          <w:right w:w="108" w:type="dxa"/>
        </w:tblCellMar>
      </w:tblPr>
      <w:tblGrid>
        <w:gridCol w:w="1262"/>
        <w:gridCol w:w="4799"/>
        <w:gridCol w:w="1007"/>
        <w:gridCol w:w="1007"/>
        <w:gridCol w:w="1007"/>
      </w:tblGrid>
      <w:tr w14:paraId="6EF66E9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3337" w:type="pct"/>
            <w:gridSpan w:val="2"/>
            <w:shd w:val="clear" w:color="auto" w:fill="EAEAEA"/>
            <w:noWrap w:val="0"/>
            <w:vAlign w:val="center"/>
          </w:tcPr>
          <w:p w14:paraId="2D21898F">
            <w:pPr>
              <w:jc w:val="center"/>
              <w:rPr>
                <w:rFonts w:ascii="宋体" w:hAnsi="宋体" w:cs="宋体"/>
                <w:b/>
                <w:sz w:val="22"/>
                <w:szCs w:val="22"/>
              </w:rPr>
            </w:pPr>
            <w:r>
              <w:rPr>
                <w:rFonts w:hint="eastAsia" w:ascii="宋体" w:hAnsi="宋体" w:cs="宋体"/>
                <w:b/>
                <w:sz w:val="22"/>
                <w:szCs w:val="22"/>
              </w:rPr>
              <w:t>评审内容</w:t>
            </w:r>
          </w:p>
        </w:tc>
        <w:tc>
          <w:tcPr>
            <w:tcW w:w="554" w:type="pct"/>
            <w:shd w:val="clear" w:color="auto" w:fill="EAEAEA"/>
            <w:noWrap w:val="0"/>
            <w:vAlign w:val="center"/>
          </w:tcPr>
          <w:p w14:paraId="35003C5A">
            <w:pPr>
              <w:jc w:val="center"/>
              <w:rPr>
                <w:rFonts w:ascii="宋体" w:hAnsi="宋体" w:cs="宋体"/>
                <w:b/>
                <w:sz w:val="22"/>
                <w:szCs w:val="22"/>
              </w:rPr>
            </w:pPr>
            <w:r>
              <w:rPr>
                <w:rFonts w:hint="eastAsia" w:ascii="宋体" w:hAnsi="宋体" w:cs="宋体"/>
                <w:b/>
                <w:sz w:val="22"/>
                <w:szCs w:val="22"/>
              </w:rPr>
              <w:t>参评人</w:t>
            </w:r>
            <w:r>
              <w:rPr>
                <w:rFonts w:ascii="宋体" w:hAnsi="宋体" w:cs="宋体"/>
                <w:b/>
                <w:sz w:val="22"/>
                <w:szCs w:val="22"/>
              </w:rPr>
              <w:t>A</w:t>
            </w:r>
          </w:p>
        </w:tc>
        <w:tc>
          <w:tcPr>
            <w:tcW w:w="554" w:type="pct"/>
            <w:shd w:val="clear" w:color="auto" w:fill="EAEAEA"/>
            <w:noWrap w:val="0"/>
            <w:vAlign w:val="center"/>
          </w:tcPr>
          <w:p w14:paraId="238BDBB9">
            <w:pPr>
              <w:jc w:val="center"/>
              <w:rPr>
                <w:rFonts w:ascii="宋体" w:hAnsi="宋体" w:cs="宋体"/>
                <w:b/>
                <w:sz w:val="22"/>
                <w:szCs w:val="22"/>
              </w:rPr>
            </w:pPr>
            <w:r>
              <w:rPr>
                <w:rFonts w:hint="eastAsia" w:ascii="宋体" w:hAnsi="宋体" w:cs="宋体"/>
                <w:b/>
                <w:sz w:val="22"/>
                <w:szCs w:val="22"/>
              </w:rPr>
              <w:t>参评人</w:t>
            </w:r>
            <w:r>
              <w:rPr>
                <w:rFonts w:ascii="宋体" w:hAnsi="宋体" w:cs="宋体"/>
                <w:b/>
                <w:sz w:val="22"/>
                <w:szCs w:val="22"/>
              </w:rPr>
              <w:t>B</w:t>
            </w:r>
          </w:p>
        </w:tc>
        <w:tc>
          <w:tcPr>
            <w:tcW w:w="554" w:type="pct"/>
            <w:shd w:val="clear" w:color="auto" w:fill="EAEAEA"/>
            <w:noWrap w:val="0"/>
            <w:vAlign w:val="center"/>
          </w:tcPr>
          <w:p w14:paraId="456A53A6">
            <w:pPr>
              <w:jc w:val="center"/>
              <w:rPr>
                <w:rFonts w:ascii="宋体" w:hAnsi="宋体" w:cs="宋体"/>
                <w:b/>
                <w:sz w:val="22"/>
                <w:szCs w:val="22"/>
              </w:rPr>
            </w:pPr>
            <w:r>
              <w:rPr>
                <w:rFonts w:hint="eastAsia" w:ascii="宋体" w:hAnsi="宋体" w:cs="宋体"/>
                <w:b/>
                <w:sz w:val="22"/>
                <w:szCs w:val="22"/>
              </w:rPr>
              <w:t>参评人</w:t>
            </w:r>
            <w:r>
              <w:rPr>
                <w:rFonts w:ascii="宋体" w:hAnsi="宋体" w:cs="宋体"/>
                <w:b/>
                <w:sz w:val="22"/>
                <w:szCs w:val="22"/>
              </w:rPr>
              <w:t>C</w:t>
            </w:r>
          </w:p>
        </w:tc>
      </w:tr>
      <w:tr w14:paraId="2798161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695" w:type="pct"/>
            <w:noWrap w:val="0"/>
            <w:vAlign w:val="center"/>
          </w:tcPr>
          <w:p w14:paraId="3DD079C0">
            <w:pPr>
              <w:jc w:val="center"/>
              <w:rPr>
                <w:rFonts w:ascii="宋体" w:hAnsi="宋体" w:cs="宋体"/>
                <w:sz w:val="22"/>
                <w:szCs w:val="22"/>
              </w:rPr>
            </w:pPr>
            <w:r>
              <w:rPr>
                <w:rFonts w:hint="eastAsia" w:ascii="宋体" w:hAnsi="宋体" w:cs="宋体"/>
                <w:sz w:val="22"/>
                <w:szCs w:val="22"/>
              </w:rPr>
              <w:t>资格性检查</w:t>
            </w:r>
          </w:p>
        </w:tc>
        <w:tc>
          <w:tcPr>
            <w:tcW w:w="2641" w:type="pct"/>
            <w:noWrap w:val="0"/>
            <w:vAlign w:val="center"/>
          </w:tcPr>
          <w:p w14:paraId="253C2EA7">
            <w:pPr>
              <w:rPr>
                <w:rFonts w:ascii="宋体" w:hAnsi="宋体" w:cs="宋体"/>
                <w:color w:val="000000"/>
                <w:sz w:val="22"/>
                <w:szCs w:val="22"/>
              </w:rPr>
            </w:pPr>
            <w:r>
              <w:rPr>
                <w:rFonts w:hint="eastAsia" w:ascii="宋体" w:hAnsi="宋体" w:cs="宋体"/>
                <w:color w:val="000000"/>
                <w:sz w:val="22"/>
                <w:szCs w:val="22"/>
              </w:rPr>
              <w:t>符合遴选</w:t>
            </w:r>
            <w:r>
              <w:rPr>
                <w:rFonts w:hint="eastAsia" w:ascii="宋体" w:hAnsi="宋体" w:cs="宋体"/>
                <w:color w:val="000000"/>
                <w:sz w:val="22"/>
                <w:szCs w:val="22"/>
                <w:lang w:val="en-US" w:eastAsia="zh-CN"/>
              </w:rPr>
              <w:t>公告</w:t>
            </w:r>
            <w:r>
              <w:rPr>
                <w:rFonts w:hint="eastAsia" w:ascii="宋体" w:hAnsi="宋体" w:cs="宋体"/>
                <w:color w:val="000000"/>
                <w:sz w:val="22"/>
                <w:szCs w:val="22"/>
              </w:rPr>
              <w:t>第二条所载明的参评人的资格要求</w:t>
            </w:r>
          </w:p>
        </w:tc>
        <w:tc>
          <w:tcPr>
            <w:tcW w:w="554" w:type="pct"/>
            <w:noWrap w:val="0"/>
            <w:vAlign w:val="center"/>
          </w:tcPr>
          <w:p w14:paraId="568C0A3B">
            <w:pPr>
              <w:jc w:val="center"/>
              <w:rPr>
                <w:rFonts w:ascii="宋体" w:hAnsi="宋体" w:cs="宋体"/>
                <w:sz w:val="22"/>
                <w:szCs w:val="22"/>
              </w:rPr>
            </w:pPr>
          </w:p>
        </w:tc>
        <w:tc>
          <w:tcPr>
            <w:tcW w:w="554" w:type="pct"/>
            <w:noWrap w:val="0"/>
            <w:vAlign w:val="center"/>
          </w:tcPr>
          <w:p w14:paraId="4702C8A0">
            <w:pPr>
              <w:jc w:val="center"/>
              <w:rPr>
                <w:rFonts w:ascii="宋体" w:hAnsi="宋体" w:cs="宋体"/>
                <w:sz w:val="22"/>
                <w:szCs w:val="22"/>
              </w:rPr>
            </w:pPr>
          </w:p>
        </w:tc>
        <w:tc>
          <w:tcPr>
            <w:tcW w:w="554" w:type="pct"/>
            <w:noWrap w:val="0"/>
            <w:vAlign w:val="center"/>
          </w:tcPr>
          <w:p w14:paraId="1C0EC07A">
            <w:pPr>
              <w:jc w:val="center"/>
              <w:rPr>
                <w:rFonts w:ascii="宋体" w:hAnsi="宋体" w:cs="宋体"/>
                <w:sz w:val="22"/>
                <w:szCs w:val="22"/>
              </w:rPr>
            </w:pPr>
          </w:p>
        </w:tc>
      </w:tr>
      <w:tr w14:paraId="674688B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695" w:type="pct"/>
            <w:vMerge w:val="restart"/>
            <w:noWrap w:val="0"/>
            <w:vAlign w:val="center"/>
          </w:tcPr>
          <w:p w14:paraId="3249946B">
            <w:pPr>
              <w:jc w:val="center"/>
              <w:rPr>
                <w:rFonts w:ascii="宋体" w:hAnsi="宋体" w:cs="宋体"/>
                <w:sz w:val="22"/>
                <w:szCs w:val="22"/>
              </w:rPr>
            </w:pPr>
          </w:p>
        </w:tc>
        <w:tc>
          <w:tcPr>
            <w:tcW w:w="2641" w:type="pct"/>
            <w:noWrap w:val="0"/>
            <w:vAlign w:val="center"/>
          </w:tcPr>
          <w:p w14:paraId="008A75DA">
            <w:pPr>
              <w:rPr>
                <w:rFonts w:ascii="宋体" w:hAnsi="宋体" w:cs="宋体"/>
                <w:sz w:val="22"/>
                <w:szCs w:val="22"/>
              </w:rPr>
            </w:pPr>
            <w:r>
              <w:rPr>
                <w:rFonts w:hint="eastAsia" w:ascii="宋体" w:hAnsi="宋体" w:cs="宋体"/>
                <w:sz w:val="22"/>
                <w:szCs w:val="22"/>
              </w:rPr>
              <w:t>符合参</w:t>
            </w:r>
            <w:r>
              <w:rPr>
                <w:rFonts w:hint="eastAsia" w:ascii="宋体" w:hAnsi="宋体" w:cs="宋体"/>
                <w:color w:val="000000"/>
                <w:sz w:val="22"/>
                <w:szCs w:val="22"/>
              </w:rPr>
              <w:t>评有效期（参评文件提交时间符合</w:t>
            </w:r>
            <w:r>
              <w:rPr>
                <w:rFonts w:hint="eastAsia"/>
                <w:lang w:val="en-US" w:eastAsia="zh-CN"/>
              </w:rPr>
              <w:t>参评函</w:t>
            </w:r>
            <w:r>
              <w:rPr>
                <w:rFonts w:hint="eastAsia" w:ascii="宋体" w:hAnsi="宋体" w:cs="宋体"/>
                <w:color w:val="000000"/>
                <w:sz w:val="22"/>
                <w:szCs w:val="22"/>
              </w:rPr>
              <w:t>的要求）</w:t>
            </w:r>
          </w:p>
        </w:tc>
        <w:tc>
          <w:tcPr>
            <w:tcW w:w="554" w:type="pct"/>
            <w:noWrap w:val="0"/>
            <w:vAlign w:val="center"/>
          </w:tcPr>
          <w:p w14:paraId="13F20F52">
            <w:pPr>
              <w:jc w:val="center"/>
              <w:rPr>
                <w:rFonts w:ascii="宋体" w:hAnsi="宋体" w:cs="宋体"/>
                <w:sz w:val="22"/>
                <w:szCs w:val="22"/>
              </w:rPr>
            </w:pPr>
          </w:p>
        </w:tc>
        <w:tc>
          <w:tcPr>
            <w:tcW w:w="554" w:type="pct"/>
            <w:noWrap w:val="0"/>
            <w:vAlign w:val="center"/>
          </w:tcPr>
          <w:p w14:paraId="14D2B18F">
            <w:pPr>
              <w:jc w:val="center"/>
              <w:rPr>
                <w:rFonts w:ascii="宋体" w:hAnsi="宋体" w:cs="宋体"/>
                <w:sz w:val="22"/>
                <w:szCs w:val="22"/>
              </w:rPr>
            </w:pPr>
          </w:p>
        </w:tc>
        <w:tc>
          <w:tcPr>
            <w:tcW w:w="554" w:type="pct"/>
            <w:noWrap w:val="0"/>
            <w:vAlign w:val="center"/>
          </w:tcPr>
          <w:p w14:paraId="538ED115">
            <w:pPr>
              <w:jc w:val="center"/>
              <w:rPr>
                <w:rFonts w:ascii="宋体" w:hAnsi="宋体" w:cs="宋体"/>
                <w:sz w:val="22"/>
                <w:szCs w:val="22"/>
              </w:rPr>
            </w:pPr>
          </w:p>
        </w:tc>
      </w:tr>
      <w:tr w14:paraId="12F1DA6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695" w:type="pct"/>
            <w:vMerge w:val="continue"/>
            <w:noWrap w:val="0"/>
            <w:vAlign w:val="center"/>
          </w:tcPr>
          <w:p w14:paraId="39A8A740">
            <w:pPr>
              <w:rPr>
                <w:rFonts w:ascii="宋体" w:hAnsi="宋体" w:cs="宋体"/>
                <w:sz w:val="22"/>
                <w:szCs w:val="22"/>
              </w:rPr>
            </w:pPr>
          </w:p>
        </w:tc>
        <w:tc>
          <w:tcPr>
            <w:tcW w:w="2641" w:type="pct"/>
            <w:noWrap w:val="0"/>
            <w:vAlign w:val="center"/>
          </w:tcPr>
          <w:p w14:paraId="535EC903">
            <w:pPr>
              <w:rPr>
                <w:rFonts w:ascii="宋体" w:hAnsi="宋体" w:cs="宋体"/>
                <w:sz w:val="22"/>
                <w:szCs w:val="22"/>
              </w:rPr>
            </w:pPr>
            <w:r>
              <w:rPr>
                <w:rFonts w:hint="eastAsia" w:ascii="宋体" w:hAnsi="宋体" w:cs="宋体"/>
                <w:sz w:val="22"/>
                <w:szCs w:val="22"/>
              </w:rPr>
              <w:t>参评文件签署合格</w:t>
            </w:r>
          </w:p>
        </w:tc>
        <w:tc>
          <w:tcPr>
            <w:tcW w:w="554" w:type="pct"/>
            <w:noWrap w:val="0"/>
            <w:vAlign w:val="center"/>
          </w:tcPr>
          <w:p w14:paraId="7FB9907E">
            <w:pPr>
              <w:jc w:val="center"/>
              <w:rPr>
                <w:rFonts w:ascii="宋体" w:hAnsi="宋体" w:cs="宋体"/>
                <w:sz w:val="22"/>
                <w:szCs w:val="22"/>
              </w:rPr>
            </w:pPr>
          </w:p>
        </w:tc>
        <w:tc>
          <w:tcPr>
            <w:tcW w:w="554" w:type="pct"/>
            <w:noWrap w:val="0"/>
            <w:vAlign w:val="center"/>
          </w:tcPr>
          <w:p w14:paraId="452731FB">
            <w:pPr>
              <w:jc w:val="center"/>
              <w:rPr>
                <w:rFonts w:ascii="宋体" w:hAnsi="宋体" w:cs="宋体"/>
                <w:sz w:val="22"/>
                <w:szCs w:val="22"/>
              </w:rPr>
            </w:pPr>
          </w:p>
        </w:tc>
        <w:tc>
          <w:tcPr>
            <w:tcW w:w="554" w:type="pct"/>
            <w:noWrap w:val="0"/>
            <w:vAlign w:val="center"/>
          </w:tcPr>
          <w:p w14:paraId="0E598C11">
            <w:pPr>
              <w:jc w:val="center"/>
              <w:rPr>
                <w:rFonts w:ascii="宋体" w:hAnsi="宋体" w:cs="宋体"/>
                <w:sz w:val="22"/>
                <w:szCs w:val="22"/>
              </w:rPr>
            </w:pPr>
          </w:p>
        </w:tc>
      </w:tr>
      <w:tr w14:paraId="1B6674A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695" w:type="pct"/>
            <w:vMerge w:val="continue"/>
            <w:noWrap w:val="0"/>
            <w:vAlign w:val="center"/>
          </w:tcPr>
          <w:p w14:paraId="0DF1F3DA">
            <w:pPr>
              <w:rPr>
                <w:rFonts w:ascii="宋体" w:hAnsi="宋体" w:cs="宋体"/>
                <w:sz w:val="22"/>
                <w:szCs w:val="22"/>
              </w:rPr>
            </w:pPr>
          </w:p>
        </w:tc>
        <w:tc>
          <w:tcPr>
            <w:tcW w:w="2641" w:type="pct"/>
            <w:noWrap w:val="0"/>
            <w:vAlign w:val="center"/>
          </w:tcPr>
          <w:p w14:paraId="248F156F">
            <w:pPr>
              <w:rPr>
                <w:rFonts w:ascii="宋体" w:hAnsi="宋体" w:cs="宋体"/>
                <w:sz w:val="22"/>
                <w:szCs w:val="22"/>
              </w:rPr>
            </w:pPr>
            <w:r>
              <w:rPr>
                <w:rFonts w:hint="eastAsia" w:ascii="宋体" w:hAnsi="宋体" w:cs="宋体"/>
                <w:sz w:val="22"/>
                <w:szCs w:val="22"/>
              </w:rPr>
              <w:t>参评报价是固定价且是唯一的，参评报价未超出采购预算或最高限价</w:t>
            </w:r>
          </w:p>
        </w:tc>
        <w:tc>
          <w:tcPr>
            <w:tcW w:w="554" w:type="pct"/>
            <w:noWrap w:val="0"/>
            <w:vAlign w:val="center"/>
          </w:tcPr>
          <w:p w14:paraId="5E37677A">
            <w:pPr>
              <w:jc w:val="center"/>
              <w:rPr>
                <w:rFonts w:ascii="宋体" w:hAnsi="宋体" w:cs="宋体"/>
                <w:sz w:val="22"/>
                <w:szCs w:val="22"/>
              </w:rPr>
            </w:pPr>
          </w:p>
        </w:tc>
        <w:tc>
          <w:tcPr>
            <w:tcW w:w="554" w:type="pct"/>
            <w:noWrap w:val="0"/>
            <w:vAlign w:val="center"/>
          </w:tcPr>
          <w:p w14:paraId="0F277368">
            <w:pPr>
              <w:jc w:val="center"/>
              <w:rPr>
                <w:rFonts w:ascii="宋体" w:hAnsi="宋体" w:cs="宋体"/>
                <w:sz w:val="22"/>
                <w:szCs w:val="22"/>
              </w:rPr>
            </w:pPr>
          </w:p>
        </w:tc>
        <w:tc>
          <w:tcPr>
            <w:tcW w:w="554" w:type="pct"/>
            <w:noWrap w:val="0"/>
            <w:vAlign w:val="center"/>
          </w:tcPr>
          <w:p w14:paraId="3EA387DC">
            <w:pPr>
              <w:jc w:val="center"/>
              <w:rPr>
                <w:rFonts w:ascii="宋体" w:hAnsi="宋体" w:cs="宋体"/>
                <w:sz w:val="22"/>
                <w:szCs w:val="22"/>
              </w:rPr>
            </w:pPr>
          </w:p>
        </w:tc>
      </w:tr>
      <w:tr w14:paraId="570D6F5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695" w:type="pct"/>
            <w:vMerge w:val="continue"/>
            <w:noWrap w:val="0"/>
            <w:vAlign w:val="center"/>
          </w:tcPr>
          <w:p w14:paraId="6A439BFE">
            <w:pPr>
              <w:rPr>
                <w:rFonts w:ascii="宋体" w:hAnsi="宋体" w:cs="宋体"/>
                <w:sz w:val="22"/>
                <w:szCs w:val="22"/>
              </w:rPr>
            </w:pPr>
          </w:p>
        </w:tc>
        <w:tc>
          <w:tcPr>
            <w:tcW w:w="2641" w:type="pct"/>
            <w:noWrap w:val="0"/>
            <w:vAlign w:val="center"/>
          </w:tcPr>
          <w:p w14:paraId="05225481">
            <w:pPr>
              <w:rPr>
                <w:rFonts w:ascii="宋体" w:hAnsi="宋体" w:cs="宋体"/>
                <w:sz w:val="22"/>
                <w:szCs w:val="22"/>
              </w:rPr>
            </w:pPr>
            <w:r>
              <w:rPr>
                <w:rFonts w:hint="eastAsia" w:ascii="宋体" w:hAnsi="宋体" w:cs="宋体"/>
                <w:sz w:val="22"/>
                <w:szCs w:val="22"/>
              </w:rPr>
              <w:t>实质性响应指标（综合遴选文件中标注</w:t>
            </w:r>
            <w:r>
              <w:rPr>
                <w:rFonts w:hint="eastAsia" w:ascii="宋体" w:hAnsi="宋体" w:cs="宋体"/>
                <w:kern w:val="28"/>
                <w:sz w:val="22"/>
                <w:szCs w:val="22"/>
              </w:rPr>
              <w:t>▲</w:t>
            </w:r>
            <w:r>
              <w:rPr>
                <w:rFonts w:hint="eastAsia" w:ascii="宋体" w:hAnsi="宋体" w:cs="宋体"/>
                <w:sz w:val="22"/>
                <w:szCs w:val="22"/>
              </w:rPr>
              <w:t>的条款）</w:t>
            </w:r>
            <w:r>
              <w:rPr>
                <w:rFonts w:hint="eastAsia" w:ascii="宋体" w:hAnsi="宋体"/>
                <w:sz w:val="22"/>
                <w:szCs w:val="22"/>
              </w:rPr>
              <w:t>满足采购人要求</w:t>
            </w:r>
          </w:p>
        </w:tc>
        <w:tc>
          <w:tcPr>
            <w:tcW w:w="554" w:type="pct"/>
            <w:noWrap w:val="0"/>
            <w:vAlign w:val="center"/>
          </w:tcPr>
          <w:p w14:paraId="5E271F46">
            <w:pPr>
              <w:jc w:val="center"/>
              <w:rPr>
                <w:rFonts w:ascii="宋体" w:hAnsi="宋体" w:cs="宋体"/>
                <w:sz w:val="22"/>
                <w:szCs w:val="22"/>
              </w:rPr>
            </w:pPr>
          </w:p>
        </w:tc>
        <w:tc>
          <w:tcPr>
            <w:tcW w:w="554" w:type="pct"/>
            <w:noWrap w:val="0"/>
            <w:vAlign w:val="center"/>
          </w:tcPr>
          <w:p w14:paraId="60B23020">
            <w:pPr>
              <w:jc w:val="center"/>
              <w:rPr>
                <w:rFonts w:ascii="宋体" w:hAnsi="宋体" w:cs="宋体"/>
                <w:sz w:val="22"/>
                <w:szCs w:val="22"/>
              </w:rPr>
            </w:pPr>
          </w:p>
        </w:tc>
        <w:tc>
          <w:tcPr>
            <w:tcW w:w="554" w:type="pct"/>
            <w:noWrap w:val="0"/>
            <w:vAlign w:val="center"/>
          </w:tcPr>
          <w:p w14:paraId="1570B070">
            <w:pPr>
              <w:jc w:val="center"/>
              <w:rPr>
                <w:rFonts w:ascii="宋体" w:hAnsi="宋体" w:cs="宋体"/>
                <w:sz w:val="22"/>
                <w:szCs w:val="22"/>
              </w:rPr>
            </w:pPr>
          </w:p>
        </w:tc>
      </w:tr>
      <w:tr w14:paraId="1845842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695" w:type="pct"/>
            <w:vMerge w:val="continue"/>
            <w:noWrap w:val="0"/>
            <w:vAlign w:val="center"/>
          </w:tcPr>
          <w:p w14:paraId="2F8B65B6">
            <w:pPr>
              <w:rPr>
                <w:rFonts w:ascii="宋体" w:hAnsi="宋体" w:cs="宋体"/>
                <w:sz w:val="22"/>
                <w:szCs w:val="22"/>
              </w:rPr>
            </w:pPr>
          </w:p>
        </w:tc>
        <w:tc>
          <w:tcPr>
            <w:tcW w:w="2641" w:type="pct"/>
            <w:noWrap w:val="0"/>
            <w:vAlign w:val="center"/>
          </w:tcPr>
          <w:p w14:paraId="5A5644A5">
            <w:pPr>
              <w:rPr>
                <w:rFonts w:ascii="宋体" w:hAnsi="宋体" w:cs="宋体"/>
                <w:sz w:val="22"/>
                <w:szCs w:val="22"/>
              </w:rPr>
            </w:pPr>
            <w:r>
              <w:rPr>
                <w:rFonts w:hint="eastAsia" w:ascii="宋体" w:hAnsi="宋体" w:cs="宋体"/>
                <w:sz w:val="22"/>
                <w:szCs w:val="22"/>
              </w:rPr>
              <w:t>按有关</w:t>
            </w:r>
            <w:r>
              <w:rPr>
                <w:rFonts w:hint="eastAsia" w:ascii="宋体" w:hAnsi="宋体" w:cs="宋体"/>
                <w:sz w:val="22"/>
                <w:szCs w:val="22"/>
                <w:lang w:eastAsia="zh-CN"/>
              </w:rPr>
              <w:t>法律法规</w:t>
            </w:r>
            <w:r>
              <w:rPr>
                <w:rFonts w:hint="eastAsia" w:ascii="宋体" w:hAnsi="宋体" w:cs="宋体"/>
                <w:sz w:val="22"/>
                <w:szCs w:val="22"/>
              </w:rPr>
              <w:t>、规章或遴选文件不属于参评无效的</w:t>
            </w:r>
          </w:p>
        </w:tc>
        <w:tc>
          <w:tcPr>
            <w:tcW w:w="554" w:type="pct"/>
            <w:noWrap w:val="0"/>
            <w:vAlign w:val="center"/>
          </w:tcPr>
          <w:p w14:paraId="2A4DB806">
            <w:pPr>
              <w:jc w:val="center"/>
              <w:rPr>
                <w:rFonts w:ascii="宋体" w:hAnsi="宋体" w:cs="宋体"/>
                <w:sz w:val="22"/>
                <w:szCs w:val="22"/>
              </w:rPr>
            </w:pPr>
          </w:p>
        </w:tc>
        <w:tc>
          <w:tcPr>
            <w:tcW w:w="554" w:type="pct"/>
            <w:noWrap w:val="0"/>
            <w:vAlign w:val="center"/>
          </w:tcPr>
          <w:p w14:paraId="6B54E6F8">
            <w:pPr>
              <w:jc w:val="center"/>
              <w:rPr>
                <w:rFonts w:ascii="宋体" w:hAnsi="宋体" w:cs="宋体"/>
                <w:sz w:val="22"/>
                <w:szCs w:val="22"/>
              </w:rPr>
            </w:pPr>
          </w:p>
        </w:tc>
        <w:tc>
          <w:tcPr>
            <w:tcW w:w="554" w:type="pct"/>
            <w:noWrap w:val="0"/>
            <w:vAlign w:val="center"/>
          </w:tcPr>
          <w:p w14:paraId="12ADD80C">
            <w:pPr>
              <w:jc w:val="center"/>
              <w:rPr>
                <w:rFonts w:ascii="宋体" w:hAnsi="宋体" w:cs="宋体"/>
                <w:sz w:val="22"/>
                <w:szCs w:val="22"/>
              </w:rPr>
            </w:pPr>
          </w:p>
        </w:tc>
      </w:tr>
      <w:tr w14:paraId="518AB2E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818" w:hRule="atLeast"/>
        </w:trPr>
        <w:tc>
          <w:tcPr>
            <w:tcW w:w="695" w:type="pct"/>
            <w:noWrap w:val="0"/>
            <w:vAlign w:val="center"/>
          </w:tcPr>
          <w:p w14:paraId="48C4A29C">
            <w:pPr>
              <w:jc w:val="center"/>
              <w:rPr>
                <w:rFonts w:ascii="宋体" w:hAnsi="宋体" w:cs="宋体"/>
                <w:sz w:val="22"/>
                <w:szCs w:val="22"/>
              </w:rPr>
            </w:pPr>
            <w:r>
              <w:rPr>
                <w:rFonts w:hint="eastAsia" w:ascii="宋体" w:hAnsi="宋体" w:cs="宋体"/>
                <w:sz w:val="22"/>
                <w:szCs w:val="22"/>
              </w:rPr>
              <w:t>结论</w:t>
            </w:r>
          </w:p>
        </w:tc>
        <w:tc>
          <w:tcPr>
            <w:tcW w:w="2641" w:type="pct"/>
            <w:noWrap w:val="0"/>
            <w:vAlign w:val="center"/>
          </w:tcPr>
          <w:p w14:paraId="258DFFDB">
            <w:pPr>
              <w:rPr>
                <w:rFonts w:ascii="宋体" w:hAnsi="宋体" w:cs="宋体"/>
                <w:sz w:val="22"/>
                <w:szCs w:val="22"/>
              </w:rPr>
            </w:pPr>
            <w:r>
              <w:rPr>
                <w:rFonts w:hint="eastAsia" w:ascii="宋体" w:hAnsi="宋体" w:cs="宋体"/>
                <w:sz w:val="22"/>
                <w:szCs w:val="22"/>
              </w:rPr>
              <w:t>是否同意进入下一阶段评议</w:t>
            </w:r>
          </w:p>
          <w:p w14:paraId="2D66C69B">
            <w:pPr>
              <w:rPr>
                <w:rFonts w:ascii="宋体" w:hAnsi="宋体" w:cs="宋体"/>
                <w:sz w:val="22"/>
                <w:szCs w:val="22"/>
              </w:rPr>
            </w:pPr>
            <w:r>
              <w:rPr>
                <w:rFonts w:hint="eastAsia" w:ascii="宋体" w:hAnsi="宋体" w:cs="宋体"/>
                <w:sz w:val="22"/>
                <w:szCs w:val="22"/>
              </w:rPr>
              <w:t>（写“同意”或“不同意”）</w:t>
            </w:r>
          </w:p>
        </w:tc>
        <w:tc>
          <w:tcPr>
            <w:tcW w:w="554" w:type="pct"/>
            <w:noWrap w:val="0"/>
            <w:vAlign w:val="center"/>
          </w:tcPr>
          <w:p w14:paraId="45E0E7E0">
            <w:pPr>
              <w:jc w:val="center"/>
              <w:rPr>
                <w:rFonts w:ascii="宋体" w:hAnsi="宋体" w:cs="宋体"/>
                <w:sz w:val="22"/>
                <w:szCs w:val="22"/>
              </w:rPr>
            </w:pPr>
          </w:p>
        </w:tc>
        <w:tc>
          <w:tcPr>
            <w:tcW w:w="554" w:type="pct"/>
            <w:noWrap w:val="0"/>
            <w:vAlign w:val="center"/>
          </w:tcPr>
          <w:p w14:paraId="7DD7A398">
            <w:pPr>
              <w:jc w:val="center"/>
              <w:rPr>
                <w:rFonts w:ascii="宋体" w:hAnsi="宋体" w:cs="宋体"/>
                <w:sz w:val="22"/>
                <w:szCs w:val="22"/>
              </w:rPr>
            </w:pPr>
          </w:p>
        </w:tc>
        <w:tc>
          <w:tcPr>
            <w:tcW w:w="554" w:type="pct"/>
            <w:noWrap w:val="0"/>
            <w:vAlign w:val="center"/>
          </w:tcPr>
          <w:p w14:paraId="561D9115">
            <w:pPr>
              <w:jc w:val="center"/>
              <w:rPr>
                <w:rFonts w:ascii="宋体" w:hAnsi="宋体" w:cs="宋体"/>
                <w:sz w:val="22"/>
                <w:szCs w:val="22"/>
              </w:rPr>
            </w:pPr>
          </w:p>
        </w:tc>
      </w:tr>
    </w:tbl>
    <w:p w14:paraId="0FE72342">
      <w:pPr>
        <w:spacing w:line="400" w:lineRule="exact"/>
        <w:jc w:val="center"/>
        <w:rPr>
          <w:rFonts w:ascii="宋体" w:hAnsi="宋体"/>
          <w:sz w:val="22"/>
          <w:szCs w:val="22"/>
        </w:rPr>
      </w:pPr>
    </w:p>
    <w:p w14:paraId="60ED8A6B">
      <w:pPr>
        <w:numPr>
          <w:ilvl w:val="0"/>
          <w:numId w:val="7"/>
        </w:numPr>
        <w:tabs>
          <w:tab w:val="left" w:pos="540"/>
        </w:tabs>
        <w:spacing w:line="400" w:lineRule="exact"/>
        <w:ind w:left="0" w:firstLine="440" w:firstLineChars="200"/>
        <w:rPr>
          <w:rFonts w:ascii="宋体" w:hAnsi="宋体"/>
          <w:sz w:val="22"/>
          <w:szCs w:val="22"/>
        </w:rPr>
      </w:pPr>
      <w:r>
        <w:rPr>
          <w:rFonts w:hint="eastAsia" w:ascii="宋体" w:hAnsi="宋体"/>
          <w:sz w:val="22"/>
          <w:szCs w:val="22"/>
        </w:rPr>
        <w:t>每一项目符合的打“○</w:t>
      </w:r>
      <w:r>
        <w:rPr>
          <w:rFonts w:ascii="宋体" w:hAnsi="宋体"/>
          <w:sz w:val="22"/>
          <w:szCs w:val="22"/>
        </w:rPr>
        <w:t>”</w:t>
      </w:r>
      <w:r>
        <w:rPr>
          <w:rFonts w:hint="eastAsia" w:ascii="宋体" w:hAnsi="宋体"/>
          <w:sz w:val="22"/>
          <w:szCs w:val="22"/>
        </w:rPr>
        <w:t>，不符合的打“×”；出现一个“×”的结论为不同意</w:t>
      </w:r>
      <w:r>
        <w:rPr>
          <w:rFonts w:ascii="宋体" w:hAnsi="宋体"/>
          <w:sz w:val="22"/>
          <w:szCs w:val="22"/>
        </w:rPr>
        <w:t>进入下一阶段评议</w:t>
      </w:r>
      <w:r>
        <w:rPr>
          <w:rFonts w:hint="eastAsia" w:ascii="宋体" w:hAnsi="宋体"/>
          <w:sz w:val="22"/>
          <w:szCs w:val="22"/>
        </w:rPr>
        <w:t>；</w:t>
      </w:r>
    </w:p>
    <w:p w14:paraId="3E9C7103">
      <w:pPr>
        <w:numPr>
          <w:ilvl w:val="0"/>
          <w:numId w:val="7"/>
        </w:numPr>
        <w:tabs>
          <w:tab w:val="left" w:pos="540"/>
        </w:tabs>
        <w:spacing w:line="400" w:lineRule="exact"/>
        <w:ind w:left="0" w:firstLine="440" w:firstLineChars="200"/>
        <w:rPr>
          <w:rFonts w:ascii="宋体" w:hAnsi="宋体"/>
          <w:sz w:val="22"/>
          <w:szCs w:val="22"/>
        </w:rPr>
      </w:pPr>
      <w:r>
        <w:rPr>
          <w:rFonts w:hint="eastAsia" w:ascii="宋体" w:hAnsi="宋体"/>
          <w:sz w:val="22"/>
          <w:szCs w:val="22"/>
        </w:rPr>
        <w:t>表中全部条件满足为通过</w:t>
      </w:r>
      <w:r>
        <w:rPr>
          <w:rFonts w:hint="eastAsia" w:ascii="宋体" w:hAnsi="宋体"/>
          <w:sz w:val="22"/>
          <w:szCs w:val="22"/>
          <w:lang w:eastAsia="zh-CN"/>
        </w:rPr>
        <w:t>，</w:t>
      </w:r>
      <w:r>
        <w:rPr>
          <w:rFonts w:ascii="宋体" w:hAnsi="宋体"/>
          <w:sz w:val="22"/>
          <w:szCs w:val="22"/>
        </w:rPr>
        <w:t xml:space="preserve"> 同意进入下一阶段评议；</w:t>
      </w:r>
    </w:p>
    <w:p w14:paraId="7E4A3C83">
      <w:pPr>
        <w:numPr>
          <w:ilvl w:val="0"/>
          <w:numId w:val="7"/>
        </w:numPr>
        <w:tabs>
          <w:tab w:val="left" w:pos="540"/>
        </w:tabs>
        <w:spacing w:line="400" w:lineRule="exact"/>
        <w:ind w:left="0" w:firstLine="440" w:firstLineChars="200"/>
        <w:rPr>
          <w:rFonts w:ascii="宋体" w:hAnsi="宋体"/>
          <w:sz w:val="22"/>
          <w:szCs w:val="22"/>
        </w:rPr>
      </w:pPr>
      <w:r>
        <w:rPr>
          <w:rFonts w:hint="eastAsia" w:ascii="宋体" w:hAnsi="宋体"/>
          <w:sz w:val="22"/>
          <w:szCs w:val="22"/>
        </w:rPr>
        <w:t>是否同意进入下一阶段评议一栏中应写 “同意”或“不同意”。</w:t>
      </w:r>
    </w:p>
    <w:p w14:paraId="4C3C51E7">
      <w:pPr>
        <w:numPr>
          <w:ilvl w:val="0"/>
          <w:numId w:val="7"/>
        </w:numPr>
        <w:tabs>
          <w:tab w:val="left" w:pos="540"/>
        </w:tabs>
        <w:spacing w:line="400" w:lineRule="exact"/>
        <w:ind w:left="0" w:firstLine="440" w:firstLineChars="200"/>
        <w:rPr>
          <w:rFonts w:ascii="宋体" w:hAnsi="宋体" w:cs="宋体"/>
          <w:kern w:val="0"/>
          <w:sz w:val="28"/>
          <w:szCs w:val="21"/>
        </w:rPr>
      </w:pPr>
      <w:r>
        <w:rPr>
          <w:rFonts w:hint="eastAsia" w:ascii="宋体" w:hAnsi="宋体"/>
          <w:sz w:val="22"/>
          <w:szCs w:val="22"/>
        </w:rPr>
        <w:t>结论汇总意见采取少数服从多数原则，即超过半数评委的结论为“同意”，则该</w:t>
      </w:r>
      <w:r>
        <w:rPr>
          <w:rFonts w:hint="eastAsia" w:ascii="宋体" w:hAnsi="宋体" w:cs="宋体"/>
          <w:sz w:val="22"/>
          <w:szCs w:val="22"/>
        </w:rPr>
        <w:t>参评</w:t>
      </w:r>
      <w:r>
        <w:rPr>
          <w:rFonts w:hint="eastAsia" w:ascii="宋体" w:hAnsi="宋体"/>
          <w:sz w:val="22"/>
          <w:szCs w:val="22"/>
        </w:rPr>
        <w:t>人通过</w:t>
      </w:r>
      <w:r>
        <w:rPr>
          <w:rFonts w:ascii="宋体" w:hAnsi="宋体"/>
          <w:sz w:val="22"/>
          <w:szCs w:val="22"/>
        </w:rPr>
        <w:t>资格审查及符合性检查</w:t>
      </w:r>
      <w:r>
        <w:rPr>
          <w:rFonts w:hint="eastAsia" w:ascii="宋体" w:hAnsi="宋体"/>
          <w:sz w:val="22"/>
          <w:szCs w:val="22"/>
        </w:rPr>
        <w:t>，否则不通过。</w:t>
      </w:r>
    </w:p>
    <w:p w14:paraId="076184DD">
      <w:pPr>
        <w:widowControl/>
        <w:tabs>
          <w:tab w:val="left" w:pos="567"/>
        </w:tabs>
        <w:spacing w:after="120" w:afterLines="50" w:line="360" w:lineRule="auto"/>
        <w:jc w:val="center"/>
        <w:rPr>
          <w:rFonts w:ascii="宋体" w:hAnsi="宋体"/>
          <w:b/>
          <w:bCs/>
          <w:sz w:val="32"/>
          <w:szCs w:val="21"/>
        </w:rPr>
      </w:pPr>
      <w:r>
        <w:rPr>
          <w:rFonts w:ascii="宋体" w:hAnsi="宋体" w:cs="宋体"/>
          <w:kern w:val="0"/>
          <w:sz w:val="28"/>
          <w:szCs w:val="21"/>
        </w:rPr>
        <w:br w:type="page"/>
      </w:r>
      <w:r>
        <w:rPr>
          <w:rFonts w:hint="eastAsia" w:ascii="宋体" w:hAnsi="宋体"/>
          <w:b/>
          <w:bCs/>
          <w:sz w:val="32"/>
          <w:szCs w:val="21"/>
          <w:lang w:val="en-US" w:eastAsia="zh-CN"/>
        </w:rPr>
        <w:t>技术</w:t>
      </w:r>
      <w:r>
        <w:rPr>
          <w:rFonts w:hint="eastAsia" w:ascii="宋体" w:hAnsi="宋体"/>
          <w:b/>
          <w:bCs/>
          <w:sz w:val="32"/>
          <w:szCs w:val="21"/>
        </w:rPr>
        <w:t>评分表</w:t>
      </w:r>
      <w:r>
        <w:rPr>
          <w:rFonts w:ascii="宋体" w:hAnsi="宋体"/>
          <w:b/>
          <w:bCs/>
          <w:sz w:val="32"/>
          <w:szCs w:val="21"/>
        </w:rPr>
        <w:t>（</w:t>
      </w:r>
      <w:r>
        <w:rPr>
          <w:rFonts w:hint="eastAsia" w:ascii="宋体" w:hAnsi="宋体"/>
          <w:b/>
          <w:bCs/>
          <w:sz w:val="32"/>
          <w:szCs w:val="21"/>
        </w:rPr>
        <w:t>5</w:t>
      </w:r>
      <w:r>
        <w:rPr>
          <w:rFonts w:ascii="宋体" w:hAnsi="宋体"/>
          <w:b/>
          <w:bCs/>
          <w:sz w:val="32"/>
          <w:szCs w:val="21"/>
        </w:rPr>
        <w:t>0分）</w:t>
      </w:r>
    </w:p>
    <w:tbl>
      <w:tblPr>
        <w:tblStyle w:val="14"/>
        <w:tblW w:w="9866" w:type="dxa"/>
        <w:tblInd w:w="-411"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12"/>
        <w:gridCol w:w="1417"/>
        <w:gridCol w:w="864"/>
        <w:gridCol w:w="6073"/>
      </w:tblGrid>
      <w:tr w14:paraId="1ED158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1" w:hRule="atLeast"/>
        </w:trPr>
        <w:tc>
          <w:tcPr>
            <w:tcW w:w="1512" w:type="dxa"/>
            <w:tcBorders>
              <w:top w:val="single" w:color="auto" w:sz="6" w:space="0"/>
              <w:left w:val="single" w:color="auto" w:sz="6" w:space="0"/>
              <w:bottom w:val="single" w:color="auto" w:sz="6" w:space="0"/>
              <w:right w:val="single" w:color="auto" w:sz="6" w:space="0"/>
            </w:tcBorders>
            <w:noWrap w:val="0"/>
            <w:vAlign w:val="center"/>
          </w:tcPr>
          <w:p w14:paraId="41E97239">
            <w:pPr>
              <w:rPr>
                <w:rFonts w:ascii="宋体" w:hAnsi="宋体" w:cs="宋体"/>
                <w:sz w:val="22"/>
                <w:szCs w:val="22"/>
              </w:rPr>
            </w:pPr>
            <w:r>
              <w:rPr>
                <w:rFonts w:hint="eastAsia" w:ascii="宋体" w:hAnsi="宋体" w:cs="宋体"/>
                <w:sz w:val="22"/>
                <w:szCs w:val="22"/>
              </w:rPr>
              <w:t>评审项目</w:t>
            </w:r>
          </w:p>
        </w:tc>
        <w:tc>
          <w:tcPr>
            <w:tcW w:w="1417" w:type="dxa"/>
            <w:tcBorders>
              <w:top w:val="single" w:color="auto" w:sz="6" w:space="0"/>
              <w:left w:val="single" w:color="auto" w:sz="6" w:space="0"/>
              <w:bottom w:val="single" w:color="auto" w:sz="6" w:space="0"/>
              <w:right w:val="single" w:color="auto" w:sz="6" w:space="0"/>
            </w:tcBorders>
            <w:noWrap w:val="0"/>
            <w:vAlign w:val="center"/>
          </w:tcPr>
          <w:p w14:paraId="04D4E2A6">
            <w:pPr>
              <w:rPr>
                <w:rFonts w:ascii="宋体" w:hAnsi="宋体" w:cs="宋体"/>
                <w:sz w:val="22"/>
                <w:szCs w:val="22"/>
              </w:rPr>
            </w:pPr>
            <w:r>
              <w:rPr>
                <w:rFonts w:hint="eastAsia" w:ascii="宋体" w:hAnsi="宋体" w:cs="宋体"/>
                <w:sz w:val="22"/>
                <w:szCs w:val="22"/>
              </w:rPr>
              <w:t>分项内容</w:t>
            </w:r>
          </w:p>
        </w:tc>
        <w:tc>
          <w:tcPr>
            <w:tcW w:w="864" w:type="dxa"/>
            <w:tcBorders>
              <w:top w:val="single" w:color="auto" w:sz="6" w:space="0"/>
              <w:left w:val="single" w:color="auto" w:sz="6" w:space="0"/>
              <w:bottom w:val="single" w:color="auto" w:sz="6" w:space="0"/>
              <w:right w:val="single" w:color="auto" w:sz="6" w:space="0"/>
            </w:tcBorders>
            <w:noWrap w:val="0"/>
            <w:vAlign w:val="center"/>
          </w:tcPr>
          <w:p w14:paraId="084149D5">
            <w:pPr>
              <w:rPr>
                <w:rFonts w:ascii="宋体" w:hAnsi="宋体" w:cs="宋体"/>
                <w:sz w:val="22"/>
                <w:szCs w:val="22"/>
              </w:rPr>
            </w:pPr>
            <w:r>
              <w:rPr>
                <w:rFonts w:ascii="宋体" w:hAnsi="宋体" w:cs="宋体"/>
                <w:sz w:val="22"/>
                <w:szCs w:val="22"/>
              </w:rPr>
              <w:t>分值</w:t>
            </w:r>
          </w:p>
        </w:tc>
        <w:tc>
          <w:tcPr>
            <w:tcW w:w="6073" w:type="dxa"/>
            <w:tcBorders>
              <w:top w:val="single" w:color="auto" w:sz="6" w:space="0"/>
              <w:left w:val="single" w:color="auto" w:sz="6" w:space="0"/>
              <w:bottom w:val="single" w:color="auto" w:sz="6" w:space="0"/>
              <w:right w:val="single" w:color="auto" w:sz="6" w:space="0"/>
            </w:tcBorders>
            <w:noWrap w:val="0"/>
            <w:vAlign w:val="center"/>
          </w:tcPr>
          <w:p w14:paraId="72B87651">
            <w:pPr>
              <w:rPr>
                <w:rFonts w:ascii="宋体" w:hAnsi="宋体" w:cs="宋体"/>
                <w:sz w:val="22"/>
                <w:szCs w:val="22"/>
              </w:rPr>
            </w:pPr>
            <w:r>
              <w:rPr>
                <w:rFonts w:hint="eastAsia" w:ascii="宋体" w:hAnsi="宋体" w:cs="宋体"/>
                <w:sz w:val="22"/>
                <w:szCs w:val="22"/>
              </w:rPr>
              <w:t>评分说明</w:t>
            </w:r>
          </w:p>
        </w:tc>
      </w:tr>
      <w:tr w14:paraId="6F7C74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12" w:type="dxa"/>
            <w:vMerge w:val="restart"/>
            <w:tcBorders>
              <w:top w:val="single" w:color="auto" w:sz="6" w:space="0"/>
              <w:left w:val="single" w:color="auto" w:sz="6" w:space="0"/>
              <w:right w:val="single" w:color="auto" w:sz="6" w:space="0"/>
            </w:tcBorders>
            <w:noWrap w:val="0"/>
            <w:vAlign w:val="center"/>
          </w:tcPr>
          <w:p w14:paraId="793D0D11">
            <w:pPr>
              <w:rPr>
                <w:rFonts w:ascii="宋体" w:hAnsi="宋体" w:cs="宋体"/>
                <w:sz w:val="22"/>
                <w:szCs w:val="22"/>
              </w:rPr>
            </w:pPr>
            <w:r>
              <w:rPr>
                <w:rFonts w:hint="eastAsia" w:ascii="宋体" w:hAnsi="宋体" w:cs="宋体"/>
                <w:sz w:val="22"/>
                <w:szCs w:val="22"/>
              </w:rPr>
              <w:t>项目实施方案（5</w:t>
            </w:r>
            <w:r>
              <w:rPr>
                <w:rFonts w:ascii="宋体" w:hAnsi="宋体" w:cs="宋体"/>
                <w:sz w:val="22"/>
                <w:szCs w:val="22"/>
              </w:rPr>
              <w:t>0</w:t>
            </w:r>
            <w:r>
              <w:rPr>
                <w:rFonts w:hint="eastAsia" w:ascii="宋体" w:hAnsi="宋体" w:cs="宋体"/>
                <w:sz w:val="22"/>
                <w:szCs w:val="22"/>
              </w:rPr>
              <w:t>分）</w:t>
            </w:r>
          </w:p>
        </w:tc>
        <w:tc>
          <w:tcPr>
            <w:tcW w:w="1417" w:type="dxa"/>
            <w:tcBorders>
              <w:top w:val="single" w:color="auto" w:sz="6" w:space="0"/>
              <w:left w:val="single" w:color="auto" w:sz="6" w:space="0"/>
              <w:bottom w:val="single" w:color="auto" w:sz="6" w:space="0"/>
              <w:right w:val="single" w:color="auto" w:sz="6" w:space="0"/>
            </w:tcBorders>
            <w:noWrap w:val="0"/>
            <w:vAlign w:val="center"/>
          </w:tcPr>
          <w:p w14:paraId="047D61DE">
            <w:pPr>
              <w:rPr>
                <w:rFonts w:ascii="宋体" w:hAnsi="宋体" w:cs="宋体"/>
                <w:sz w:val="22"/>
                <w:szCs w:val="22"/>
              </w:rPr>
            </w:pPr>
            <w:r>
              <w:rPr>
                <w:rFonts w:hint="eastAsia" w:ascii="宋体" w:hAnsi="宋体" w:cs="宋体"/>
                <w:sz w:val="22"/>
                <w:szCs w:val="22"/>
              </w:rPr>
              <w:t>采购项目服务要求响应程度</w:t>
            </w:r>
          </w:p>
        </w:tc>
        <w:tc>
          <w:tcPr>
            <w:tcW w:w="864" w:type="dxa"/>
            <w:tcBorders>
              <w:top w:val="single" w:color="auto" w:sz="6" w:space="0"/>
              <w:left w:val="single" w:color="auto" w:sz="6" w:space="0"/>
              <w:bottom w:val="single" w:color="auto" w:sz="6" w:space="0"/>
              <w:right w:val="single" w:color="auto" w:sz="6" w:space="0"/>
            </w:tcBorders>
            <w:noWrap w:val="0"/>
            <w:vAlign w:val="center"/>
          </w:tcPr>
          <w:p w14:paraId="1958C606">
            <w:pPr>
              <w:rPr>
                <w:rFonts w:ascii="宋体" w:hAnsi="宋体" w:cs="宋体"/>
                <w:sz w:val="22"/>
                <w:szCs w:val="22"/>
              </w:rPr>
            </w:pPr>
            <w:r>
              <w:rPr>
                <w:rFonts w:hint="eastAsia" w:ascii="宋体" w:hAnsi="宋体" w:cs="宋体"/>
                <w:sz w:val="22"/>
                <w:szCs w:val="22"/>
              </w:rPr>
              <w:t>10</w:t>
            </w:r>
          </w:p>
        </w:tc>
        <w:tc>
          <w:tcPr>
            <w:tcW w:w="6073" w:type="dxa"/>
            <w:tcBorders>
              <w:top w:val="single" w:color="auto" w:sz="6" w:space="0"/>
              <w:left w:val="single" w:color="auto" w:sz="6" w:space="0"/>
              <w:bottom w:val="single" w:color="auto" w:sz="6" w:space="0"/>
              <w:right w:val="single" w:color="auto" w:sz="6" w:space="0"/>
            </w:tcBorders>
            <w:noWrap w:val="0"/>
            <w:vAlign w:val="center"/>
          </w:tcPr>
          <w:p w14:paraId="6B3F0E2E">
            <w:pPr>
              <w:rPr>
                <w:rFonts w:ascii="宋体" w:hAnsi="宋体" w:cs="宋体"/>
                <w:sz w:val="22"/>
                <w:szCs w:val="22"/>
              </w:rPr>
            </w:pPr>
            <w:r>
              <w:rPr>
                <w:rFonts w:hint="eastAsia" w:ascii="宋体" w:hAnsi="宋体" w:cs="宋体"/>
                <w:sz w:val="22"/>
                <w:szCs w:val="22"/>
              </w:rPr>
              <w:t>对项目的背景、意义、政策要求的理解</w:t>
            </w:r>
            <w:r>
              <w:rPr>
                <w:rFonts w:hint="eastAsia" w:ascii="宋体" w:hAnsi="宋体" w:cs="宋体"/>
                <w:sz w:val="22"/>
                <w:szCs w:val="22"/>
                <w:lang w:eastAsia="zh-CN"/>
              </w:rPr>
              <w:t>、</w:t>
            </w:r>
            <w:r>
              <w:rPr>
                <w:rFonts w:hint="eastAsia" w:ascii="宋体" w:hAnsi="宋体" w:cs="宋体"/>
                <w:sz w:val="22"/>
                <w:szCs w:val="22"/>
              </w:rPr>
              <w:t>重点难点分析且到位：</w:t>
            </w:r>
          </w:p>
          <w:p w14:paraId="5F6D3A59">
            <w:pPr>
              <w:rPr>
                <w:rFonts w:ascii="宋体" w:hAnsi="宋体" w:cs="宋体"/>
                <w:sz w:val="22"/>
                <w:szCs w:val="22"/>
              </w:rPr>
            </w:pPr>
            <w:r>
              <w:rPr>
                <w:rFonts w:hint="eastAsia" w:ascii="宋体" w:hAnsi="宋体" w:cs="宋体"/>
                <w:sz w:val="22"/>
                <w:szCs w:val="22"/>
              </w:rPr>
              <w:t>理解深刻，表述全面的，得5分；</w:t>
            </w:r>
          </w:p>
          <w:p w14:paraId="7CA9864C">
            <w:pPr>
              <w:rPr>
                <w:rFonts w:ascii="宋体" w:hAnsi="宋体" w:cs="宋体"/>
                <w:sz w:val="22"/>
                <w:szCs w:val="22"/>
              </w:rPr>
            </w:pPr>
            <w:r>
              <w:rPr>
                <w:rFonts w:hint="eastAsia" w:ascii="宋体" w:hAnsi="宋体" w:cs="宋体"/>
                <w:sz w:val="22"/>
                <w:szCs w:val="22"/>
              </w:rPr>
              <w:t>基本理解，表述一般的，得3分；</w:t>
            </w:r>
          </w:p>
          <w:p w14:paraId="44027323">
            <w:pPr>
              <w:rPr>
                <w:rFonts w:ascii="宋体" w:hAnsi="宋体" w:cs="宋体"/>
                <w:sz w:val="22"/>
                <w:szCs w:val="22"/>
              </w:rPr>
            </w:pPr>
            <w:r>
              <w:rPr>
                <w:rFonts w:hint="eastAsia" w:ascii="宋体" w:hAnsi="宋体" w:cs="宋体"/>
                <w:sz w:val="22"/>
                <w:szCs w:val="22"/>
              </w:rPr>
              <w:t>理解不足的，得1分。</w:t>
            </w:r>
          </w:p>
        </w:tc>
      </w:tr>
      <w:tr w14:paraId="442E78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12" w:type="dxa"/>
            <w:vMerge w:val="continue"/>
            <w:tcBorders>
              <w:left w:val="single" w:color="auto" w:sz="6" w:space="0"/>
              <w:right w:val="single" w:color="auto" w:sz="6" w:space="0"/>
            </w:tcBorders>
            <w:noWrap w:val="0"/>
            <w:vAlign w:val="center"/>
          </w:tcPr>
          <w:p w14:paraId="203820B2">
            <w:pPr>
              <w:rPr>
                <w:rFonts w:ascii="宋体" w:hAnsi="宋体" w:cs="宋体"/>
                <w:sz w:val="22"/>
                <w:szCs w:val="22"/>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14:paraId="5D07111F">
            <w:pPr>
              <w:rPr>
                <w:rFonts w:ascii="宋体" w:hAnsi="宋体" w:cs="宋体"/>
                <w:sz w:val="22"/>
                <w:szCs w:val="22"/>
              </w:rPr>
            </w:pPr>
            <w:r>
              <w:rPr>
                <w:rFonts w:ascii="宋体" w:hAnsi="宋体" w:cs="宋体"/>
                <w:sz w:val="22"/>
                <w:szCs w:val="22"/>
              </w:rPr>
              <w:t>项目工作方案</w:t>
            </w:r>
          </w:p>
        </w:tc>
        <w:tc>
          <w:tcPr>
            <w:tcW w:w="864" w:type="dxa"/>
            <w:tcBorders>
              <w:top w:val="single" w:color="auto" w:sz="6" w:space="0"/>
              <w:left w:val="single" w:color="auto" w:sz="6" w:space="0"/>
              <w:bottom w:val="single" w:color="auto" w:sz="6" w:space="0"/>
              <w:right w:val="single" w:color="auto" w:sz="6" w:space="0"/>
            </w:tcBorders>
            <w:noWrap w:val="0"/>
            <w:vAlign w:val="center"/>
          </w:tcPr>
          <w:p w14:paraId="63ED56FA">
            <w:pPr>
              <w:rPr>
                <w:rFonts w:ascii="宋体" w:hAnsi="宋体" w:cs="宋体"/>
                <w:sz w:val="22"/>
                <w:szCs w:val="22"/>
              </w:rPr>
            </w:pPr>
            <w:r>
              <w:rPr>
                <w:rFonts w:hint="eastAsia" w:ascii="宋体" w:hAnsi="宋体" w:cs="宋体"/>
                <w:sz w:val="22"/>
                <w:szCs w:val="22"/>
              </w:rPr>
              <w:t>30</w:t>
            </w:r>
          </w:p>
        </w:tc>
        <w:tc>
          <w:tcPr>
            <w:tcW w:w="6073" w:type="dxa"/>
            <w:tcBorders>
              <w:top w:val="single" w:color="auto" w:sz="6" w:space="0"/>
              <w:left w:val="single" w:color="auto" w:sz="6" w:space="0"/>
              <w:bottom w:val="single" w:color="auto" w:sz="6" w:space="0"/>
              <w:right w:val="single" w:color="auto" w:sz="6" w:space="0"/>
            </w:tcBorders>
            <w:noWrap w:val="0"/>
            <w:vAlign w:val="center"/>
          </w:tcPr>
          <w:p w14:paraId="4FC24ADE">
            <w:pPr>
              <w:rPr>
                <w:rFonts w:ascii="宋体" w:hAnsi="宋体" w:cs="宋体"/>
                <w:sz w:val="22"/>
                <w:szCs w:val="22"/>
              </w:rPr>
            </w:pPr>
            <w:r>
              <w:rPr>
                <w:rFonts w:ascii="宋体" w:hAnsi="宋体" w:cs="宋体"/>
                <w:sz w:val="22"/>
                <w:szCs w:val="22"/>
              </w:rPr>
              <w:t>工作</w:t>
            </w:r>
            <w:r>
              <w:rPr>
                <w:rFonts w:hint="eastAsia" w:ascii="宋体" w:hAnsi="宋体" w:cs="宋体"/>
                <w:sz w:val="22"/>
                <w:szCs w:val="22"/>
              </w:rPr>
              <w:t>方案清晰、完整、严谨、合理，措施先进、具体、有效、成熟；</w:t>
            </w:r>
            <w:r>
              <w:rPr>
                <w:rFonts w:ascii="宋体" w:hAnsi="宋体" w:cs="宋体"/>
                <w:sz w:val="22"/>
                <w:szCs w:val="22"/>
              </w:rPr>
              <w:t>工作</w:t>
            </w:r>
            <w:r>
              <w:rPr>
                <w:rFonts w:hint="eastAsia" w:ascii="宋体" w:hAnsi="宋体" w:cs="宋体"/>
                <w:sz w:val="22"/>
                <w:szCs w:val="22"/>
              </w:rPr>
              <w:t>方案设想，划分清晰、合理，符合规范要求得</w:t>
            </w:r>
            <w:r>
              <w:rPr>
                <w:rFonts w:ascii="宋体" w:hAnsi="宋体" w:cs="宋体"/>
                <w:sz w:val="22"/>
                <w:szCs w:val="22"/>
              </w:rPr>
              <w:t>25</w:t>
            </w:r>
            <w:r>
              <w:rPr>
                <w:rFonts w:hint="eastAsia" w:ascii="宋体" w:hAnsi="宋体" w:cs="宋体"/>
                <w:sz w:val="22"/>
                <w:szCs w:val="22"/>
              </w:rPr>
              <w:t>分；</w:t>
            </w:r>
          </w:p>
          <w:p w14:paraId="65D24566">
            <w:pPr>
              <w:rPr>
                <w:rFonts w:ascii="宋体" w:hAnsi="宋体" w:cs="宋体"/>
                <w:sz w:val="22"/>
                <w:szCs w:val="22"/>
              </w:rPr>
            </w:pPr>
            <w:r>
              <w:rPr>
                <w:rFonts w:ascii="宋体" w:hAnsi="宋体" w:cs="宋体"/>
                <w:sz w:val="22"/>
                <w:szCs w:val="22"/>
              </w:rPr>
              <w:t>工作</w:t>
            </w:r>
            <w:r>
              <w:rPr>
                <w:rFonts w:hint="eastAsia" w:ascii="宋体" w:hAnsi="宋体" w:cs="宋体"/>
                <w:sz w:val="22"/>
                <w:szCs w:val="22"/>
              </w:rPr>
              <w:t>方案较清晰、完整、严谨、合理，措施先进、具体、有效、成熟；</w:t>
            </w:r>
            <w:r>
              <w:rPr>
                <w:rFonts w:ascii="宋体" w:hAnsi="宋体" w:cs="宋体"/>
                <w:sz w:val="22"/>
                <w:szCs w:val="22"/>
              </w:rPr>
              <w:t>工作</w:t>
            </w:r>
            <w:r>
              <w:rPr>
                <w:rFonts w:hint="eastAsia" w:ascii="宋体" w:hAnsi="宋体" w:cs="宋体"/>
                <w:sz w:val="22"/>
                <w:szCs w:val="22"/>
              </w:rPr>
              <w:t>方案设想，划分清晰、合理，符合规范要求得</w:t>
            </w:r>
            <w:r>
              <w:rPr>
                <w:rFonts w:ascii="宋体" w:hAnsi="宋体" w:cs="宋体"/>
                <w:sz w:val="22"/>
                <w:szCs w:val="22"/>
              </w:rPr>
              <w:t>15</w:t>
            </w:r>
            <w:r>
              <w:rPr>
                <w:rFonts w:hint="eastAsia" w:ascii="宋体" w:hAnsi="宋体" w:cs="宋体"/>
                <w:sz w:val="22"/>
                <w:szCs w:val="22"/>
              </w:rPr>
              <w:t>分；</w:t>
            </w:r>
          </w:p>
          <w:p w14:paraId="132222B8">
            <w:pPr>
              <w:rPr>
                <w:rFonts w:ascii="宋体" w:hAnsi="宋体" w:cs="宋体"/>
                <w:sz w:val="22"/>
                <w:szCs w:val="22"/>
              </w:rPr>
            </w:pPr>
            <w:r>
              <w:rPr>
                <w:rFonts w:ascii="宋体" w:hAnsi="宋体" w:cs="宋体"/>
                <w:sz w:val="22"/>
                <w:szCs w:val="22"/>
              </w:rPr>
              <w:t>工作</w:t>
            </w:r>
            <w:r>
              <w:rPr>
                <w:rFonts w:hint="eastAsia" w:ascii="宋体" w:hAnsi="宋体" w:cs="宋体"/>
                <w:sz w:val="22"/>
                <w:szCs w:val="22"/>
              </w:rPr>
              <w:t>方案较清晰、完整、严谨、合理，措施一般，符合规范要求得</w:t>
            </w:r>
            <w:r>
              <w:rPr>
                <w:rFonts w:ascii="宋体" w:hAnsi="宋体" w:cs="宋体"/>
                <w:sz w:val="22"/>
                <w:szCs w:val="22"/>
              </w:rPr>
              <w:t>8</w:t>
            </w:r>
            <w:r>
              <w:rPr>
                <w:rFonts w:hint="eastAsia" w:ascii="宋体" w:hAnsi="宋体" w:cs="宋体"/>
                <w:sz w:val="22"/>
                <w:szCs w:val="22"/>
              </w:rPr>
              <w:t>分；</w:t>
            </w:r>
          </w:p>
          <w:p w14:paraId="2638D656">
            <w:pPr>
              <w:rPr>
                <w:rFonts w:ascii="宋体" w:hAnsi="宋体" w:cs="宋体"/>
                <w:sz w:val="22"/>
                <w:szCs w:val="22"/>
              </w:rPr>
            </w:pPr>
            <w:r>
              <w:rPr>
                <w:rFonts w:hint="eastAsia" w:ascii="宋体" w:hAnsi="宋体" w:cs="宋体"/>
                <w:sz w:val="22"/>
                <w:szCs w:val="22"/>
              </w:rPr>
              <w:t>不合理或无描述，不得分。</w:t>
            </w:r>
          </w:p>
        </w:tc>
      </w:tr>
      <w:tr w14:paraId="1F93B3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12" w:type="dxa"/>
            <w:vMerge w:val="continue"/>
            <w:tcBorders>
              <w:left w:val="single" w:color="auto" w:sz="6" w:space="0"/>
              <w:right w:val="single" w:color="auto" w:sz="6" w:space="0"/>
            </w:tcBorders>
            <w:noWrap w:val="0"/>
            <w:vAlign w:val="center"/>
          </w:tcPr>
          <w:p w14:paraId="142CF8DD">
            <w:pPr>
              <w:rPr>
                <w:rFonts w:ascii="宋体" w:hAnsi="宋体" w:cs="宋体"/>
                <w:sz w:val="22"/>
                <w:szCs w:val="22"/>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14:paraId="7D3999CD">
            <w:pPr>
              <w:rPr>
                <w:rFonts w:ascii="宋体" w:hAnsi="宋体" w:cs="宋体"/>
                <w:sz w:val="22"/>
                <w:szCs w:val="22"/>
              </w:rPr>
            </w:pPr>
            <w:r>
              <w:rPr>
                <w:rFonts w:hint="eastAsia" w:ascii="宋体" w:hAnsi="宋体" w:cs="宋体"/>
                <w:sz w:val="22"/>
                <w:szCs w:val="22"/>
              </w:rPr>
              <w:t>质量保证措施及方案</w:t>
            </w:r>
          </w:p>
        </w:tc>
        <w:tc>
          <w:tcPr>
            <w:tcW w:w="864" w:type="dxa"/>
            <w:tcBorders>
              <w:top w:val="single" w:color="auto" w:sz="6" w:space="0"/>
              <w:left w:val="single" w:color="auto" w:sz="6" w:space="0"/>
              <w:bottom w:val="single" w:color="auto" w:sz="6" w:space="0"/>
              <w:right w:val="single" w:color="auto" w:sz="6" w:space="0"/>
            </w:tcBorders>
            <w:noWrap w:val="0"/>
            <w:vAlign w:val="center"/>
          </w:tcPr>
          <w:p w14:paraId="7591E1C3">
            <w:pPr>
              <w:rPr>
                <w:rFonts w:ascii="宋体" w:hAnsi="宋体" w:cs="宋体"/>
                <w:sz w:val="22"/>
                <w:szCs w:val="22"/>
              </w:rPr>
            </w:pPr>
            <w:r>
              <w:rPr>
                <w:rFonts w:ascii="宋体" w:hAnsi="宋体" w:cs="宋体"/>
                <w:sz w:val="22"/>
                <w:szCs w:val="22"/>
              </w:rPr>
              <w:t>10</w:t>
            </w:r>
          </w:p>
        </w:tc>
        <w:tc>
          <w:tcPr>
            <w:tcW w:w="6073" w:type="dxa"/>
            <w:tcBorders>
              <w:top w:val="single" w:color="auto" w:sz="6" w:space="0"/>
              <w:left w:val="single" w:color="auto" w:sz="6" w:space="0"/>
              <w:bottom w:val="single" w:color="auto" w:sz="6" w:space="0"/>
              <w:right w:val="single" w:color="auto" w:sz="6" w:space="0"/>
            </w:tcBorders>
            <w:noWrap w:val="0"/>
            <w:vAlign w:val="center"/>
          </w:tcPr>
          <w:p w14:paraId="7D6442BD">
            <w:pPr>
              <w:rPr>
                <w:rFonts w:ascii="宋体" w:hAnsi="宋体" w:cs="宋体"/>
                <w:sz w:val="22"/>
                <w:szCs w:val="22"/>
              </w:rPr>
            </w:pPr>
            <w:r>
              <w:rPr>
                <w:rFonts w:hint="eastAsia" w:ascii="宋体" w:hAnsi="宋体" w:cs="宋体"/>
                <w:sz w:val="22"/>
                <w:szCs w:val="22"/>
              </w:rPr>
              <w:t>（1）</w:t>
            </w:r>
            <w:r>
              <w:rPr>
                <w:rFonts w:ascii="宋体" w:hAnsi="宋体" w:cs="宋体"/>
                <w:sz w:val="22"/>
                <w:szCs w:val="22"/>
              </w:rPr>
              <w:t>项目质量控制措施</w:t>
            </w:r>
            <w:r>
              <w:rPr>
                <w:rFonts w:hint="eastAsia" w:ascii="宋体" w:hAnsi="宋体" w:cs="宋体"/>
                <w:sz w:val="22"/>
                <w:szCs w:val="22"/>
              </w:rPr>
              <w:t>到位，服务内容能够根据招标人实际需求调整，完全</w:t>
            </w:r>
            <w:r>
              <w:rPr>
                <w:rFonts w:ascii="宋体" w:hAnsi="宋体" w:cs="宋体"/>
                <w:sz w:val="22"/>
                <w:szCs w:val="22"/>
              </w:rPr>
              <w:t>保障项目按计划推进并取得预期成果的得10分</w:t>
            </w:r>
            <w:r>
              <w:rPr>
                <w:rFonts w:hint="eastAsia" w:ascii="宋体" w:hAnsi="宋体" w:cs="宋体"/>
                <w:sz w:val="22"/>
                <w:szCs w:val="22"/>
              </w:rPr>
              <w:t>。</w:t>
            </w:r>
          </w:p>
          <w:p w14:paraId="6CC897D4">
            <w:pPr>
              <w:rPr>
                <w:rFonts w:ascii="宋体" w:hAnsi="宋体" w:cs="宋体"/>
                <w:sz w:val="22"/>
                <w:szCs w:val="22"/>
              </w:rPr>
            </w:pPr>
            <w:r>
              <w:rPr>
                <w:rFonts w:hint="eastAsia" w:ascii="宋体" w:hAnsi="宋体" w:cs="宋体"/>
                <w:sz w:val="22"/>
                <w:szCs w:val="22"/>
              </w:rPr>
              <w:t>（2）</w:t>
            </w:r>
            <w:r>
              <w:rPr>
                <w:rFonts w:ascii="宋体" w:hAnsi="宋体" w:cs="宋体"/>
                <w:sz w:val="22"/>
                <w:szCs w:val="22"/>
              </w:rPr>
              <w:t>项目质量控制措施</w:t>
            </w:r>
            <w:r>
              <w:rPr>
                <w:rFonts w:hint="eastAsia" w:ascii="宋体" w:hAnsi="宋体" w:cs="宋体"/>
                <w:sz w:val="22"/>
                <w:szCs w:val="22"/>
              </w:rPr>
              <w:t>较好，服务内容能够根据招标人实际需求调整，较好保障项目按计划推进并取得预期成果</w:t>
            </w:r>
            <w:r>
              <w:rPr>
                <w:rFonts w:ascii="宋体" w:hAnsi="宋体" w:cs="宋体"/>
                <w:sz w:val="22"/>
                <w:szCs w:val="22"/>
              </w:rPr>
              <w:t>的得6分</w:t>
            </w:r>
            <w:r>
              <w:rPr>
                <w:rFonts w:hint="eastAsia" w:ascii="宋体" w:hAnsi="宋体" w:cs="宋体"/>
                <w:sz w:val="22"/>
                <w:szCs w:val="22"/>
              </w:rPr>
              <w:t>。</w:t>
            </w:r>
          </w:p>
          <w:p w14:paraId="5B1477A3">
            <w:pPr>
              <w:rPr>
                <w:rFonts w:ascii="宋体" w:hAnsi="宋体" w:cs="宋体"/>
                <w:sz w:val="22"/>
                <w:szCs w:val="22"/>
              </w:rPr>
            </w:pPr>
            <w:r>
              <w:rPr>
                <w:rFonts w:hint="eastAsia" w:ascii="宋体" w:hAnsi="宋体" w:cs="宋体"/>
                <w:sz w:val="22"/>
                <w:szCs w:val="22"/>
              </w:rPr>
              <w:t>（3）</w:t>
            </w:r>
            <w:r>
              <w:rPr>
                <w:rFonts w:ascii="宋体" w:hAnsi="宋体" w:cs="宋体"/>
                <w:sz w:val="22"/>
                <w:szCs w:val="22"/>
              </w:rPr>
              <w:t>项目质量控制措施</w:t>
            </w:r>
            <w:r>
              <w:rPr>
                <w:rFonts w:hint="eastAsia" w:ascii="宋体" w:hAnsi="宋体" w:cs="宋体"/>
                <w:sz w:val="22"/>
                <w:szCs w:val="22"/>
              </w:rPr>
              <w:t>一般，服务内容不能根据招标人实际需求调整，基本保障</w:t>
            </w:r>
            <w:r>
              <w:rPr>
                <w:rFonts w:ascii="宋体" w:hAnsi="宋体" w:cs="宋体"/>
                <w:sz w:val="22"/>
                <w:szCs w:val="22"/>
              </w:rPr>
              <w:t>项目按计划推进并取得预期成果的得3分。</w:t>
            </w:r>
          </w:p>
          <w:p w14:paraId="7C565629">
            <w:pPr>
              <w:rPr>
                <w:rFonts w:ascii="宋体" w:hAnsi="宋体" w:cs="宋体"/>
                <w:sz w:val="22"/>
                <w:szCs w:val="22"/>
              </w:rPr>
            </w:pPr>
            <w:r>
              <w:rPr>
                <w:rFonts w:hint="eastAsia" w:ascii="宋体" w:hAnsi="宋体" w:cs="宋体"/>
                <w:sz w:val="22"/>
                <w:szCs w:val="22"/>
              </w:rPr>
              <w:t>（4）方案不合理或不提供不得分。</w:t>
            </w:r>
          </w:p>
        </w:tc>
      </w:tr>
      <w:tr w14:paraId="74F56C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929" w:type="dxa"/>
            <w:gridSpan w:val="2"/>
            <w:tcBorders>
              <w:top w:val="single" w:color="auto" w:sz="6" w:space="0"/>
              <w:left w:val="single" w:color="auto" w:sz="6" w:space="0"/>
              <w:bottom w:val="single" w:color="auto" w:sz="6" w:space="0"/>
              <w:right w:val="single" w:color="auto" w:sz="4" w:space="0"/>
            </w:tcBorders>
            <w:noWrap w:val="0"/>
            <w:vAlign w:val="center"/>
          </w:tcPr>
          <w:p w14:paraId="77054BF6">
            <w:pPr>
              <w:rPr>
                <w:rFonts w:ascii="宋体" w:hAnsi="宋体" w:cs="宋体"/>
                <w:sz w:val="22"/>
                <w:szCs w:val="22"/>
              </w:rPr>
            </w:pPr>
            <w:r>
              <w:rPr>
                <w:rFonts w:ascii="宋体" w:hAnsi="宋体" w:cs="宋体"/>
                <w:sz w:val="22"/>
                <w:szCs w:val="22"/>
              </w:rPr>
              <w:t>合计</w:t>
            </w:r>
          </w:p>
        </w:tc>
        <w:tc>
          <w:tcPr>
            <w:tcW w:w="864" w:type="dxa"/>
            <w:tcBorders>
              <w:top w:val="single" w:color="auto" w:sz="6" w:space="0"/>
              <w:left w:val="single" w:color="auto" w:sz="4" w:space="0"/>
              <w:bottom w:val="single" w:color="auto" w:sz="6" w:space="0"/>
              <w:right w:val="single" w:color="auto" w:sz="4" w:space="0"/>
            </w:tcBorders>
            <w:noWrap w:val="0"/>
            <w:vAlign w:val="center"/>
          </w:tcPr>
          <w:p w14:paraId="2FA7AED5">
            <w:pPr>
              <w:rPr>
                <w:rFonts w:ascii="宋体" w:hAnsi="宋体" w:cs="宋体"/>
                <w:sz w:val="22"/>
                <w:szCs w:val="22"/>
              </w:rPr>
            </w:pPr>
            <w:r>
              <w:rPr>
                <w:rFonts w:hint="eastAsia" w:ascii="宋体" w:hAnsi="宋体" w:cs="宋体"/>
                <w:sz w:val="22"/>
                <w:szCs w:val="22"/>
              </w:rPr>
              <w:t>50</w:t>
            </w:r>
          </w:p>
        </w:tc>
        <w:tc>
          <w:tcPr>
            <w:tcW w:w="6073" w:type="dxa"/>
            <w:tcBorders>
              <w:top w:val="single" w:color="auto" w:sz="6" w:space="0"/>
              <w:left w:val="single" w:color="auto" w:sz="4" w:space="0"/>
              <w:bottom w:val="single" w:color="auto" w:sz="6" w:space="0"/>
              <w:right w:val="single" w:color="auto" w:sz="6" w:space="0"/>
            </w:tcBorders>
            <w:noWrap w:val="0"/>
            <w:vAlign w:val="center"/>
          </w:tcPr>
          <w:p w14:paraId="37E3AF33">
            <w:pPr>
              <w:rPr>
                <w:rFonts w:ascii="宋体" w:hAnsi="宋体" w:cs="宋体"/>
                <w:sz w:val="22"/>
                <w:szCs w:val="22"/>
              </w:rPr>
            </w:pPr>
            <w:r>
              <w:rPr>
                <w:rFonts w:hint="eastAsia" w:ascii="宋体" w:hAnsi="宋体" w:cs="宋体"/>
                <w:sz w:val="22"/>
                <w:szCs w:val="22"/>
              </w:rPr>
              <w:t>/</w:t>
            </w:r>
          </w:p>
        </w:tc>
      </w:tr>
    </w:tbl>
    <w:p w14:paraId="11F979F7">
      <w:pPr>
        <w:pStyle w:val="17"/>
        <w:rPr>
          <w:sz w:val="22"/>
          <w:szCs w:val="24"/>
        </w:rPr>
      </w:pPr>
    </w:p>
    <w:p w14:paraId="57CC980D">
      <w:pPr>
        <w:pStyle w:val="10"/>
        <w:jc w:val="center"/>
        <w:rPr>
          <w:rFonts w:hint="eastAsia" w:ascii="宋体" w:hAnsi="宋体" w:eastAsia="宋体" w:cs="宋体"/>
          <w:b/>
          <w:bCs/>
          <w:kern w:val="2"/>
          <w:sz w:val="32"/>
          <w:szCs w:val="21"/>
          <w:lang w:val="en-US" w:eastAsia="zh-CN" w:bidi="ar-SA"/>
        </w:rPr>
      </w:pPr>
      <w:r>
        <w:rPr>
          <w:sz w:val="18"/>
          <w:szCs w:val="18"/>
        </w:rPr>
        <w:br w:type="page"/>
      </w:r>
      <w:r>
        <w:rPr>
          <w:rFonts w:hint="eastAsia" w:ascii="宋体" w:hAnsi="宋体" w:eastAsia="宋体" w:cs="宋体"/>
          <w:b/>
          <w:bCs/>
          <w:kern w:val="2"/>
          <w:sz w:val="32"/>
          <w:szCs w:val="21"/>
          <w:lang w:val="en-US" w:eastAsia="zh-CN" w:bidi="ar-SA"/>
        </w:rPr>
        <w:t>商务评分表（20分）</w:t>
      </w:r>
    </w:p>
    <w:tbl>
      <w:tblPr>
        <w:tblStyle w:val="14"/>
        <w:tblW w:w="9822" w:type="dxa"/>
        <w:tblInd w:w="-411"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55"/>
        <w:gridCol w:w="1329"/>
        <w:gridCol w:w="749"/>
        <w:gridCol w:w="6589"/>
      </w:tblGrid>
      <w:tr w14:paraId="74E036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55" w:type="dxa"/>
            <w:tcBorders>
              <w:top w:val="single" w:color="auto" w:sz="6" w:space="0"/>
              <w:left w:val="single" w:color="auto" w:sz="6" w:space="0"/>
              <w:bottom w:val="single" w:color="auto" w:sz="6" w:space="0"/>
              <w:right w:val="single" w:color="auto" w:sz="6" w:space="0"/>
            </w:tcBorders>
            <w:noWrap w:val="0"/>
            <w:vAlign w:val="center"/>
          </w:tcPr>
          <w:p w14:paraId="035917FE">
            <w:pPr>
              <w:rPr>
                <w:rFonts w:ascii="宋体" w:hAnsi="宋体" w:cs="宋体"/>
                <w:sz w:val="22"/>
                <w:szCs w:val="22"/>
              </w:rPr>
            </w:pPr>
            <w:r>
              <w:rPr>
                <w:rFonts w:hint="eastAsia" w:ascii="宋体" w:hAnsi="宋体" w:cs="宋体"/>
                <w:sz w:val="22"/>
                <w:szCs w:val="22"/>
              </w:rPr>
              <w:t>评审项目</w:t>
            </w:r>
          </w:p>
        </w:tc>
        <w:tc>
          <w:tcPr>
            <w:tcW w:w="1329" w:type="dxa"/>
            <w:tcBorders>
              <w:top w:val="single" w:color="auto" w:sz="6" w:space="0"/>
              <w:left w:val="single" w:color="auto" w:sz="6" w:space="0"/>
              <w:bottom w:val="single" w:color="auto" w:sz="6" w:space="0"/>
              <w:right w:val="single" w:color="auto" w:sz="6" w:space="0"/>
            </w:tcBorders>
            <w:noWrap w:val="0"/>
            <w:vAlign w:val="center"/>
          </w:tcPr>
          <w:p w14:paraId="3AC66DF1">
            <w:pPr>
              <w:rPr>
                <w:rFonts w:ascii="宋体" w:hAnsi="宋体" w:cs="宋体"/>
                <w:sz w:val="22"/>
                <w:szCs w:val="22"/>
              </w:rPr>
            </w:pPr>
            <w:r>
              <w:rPr>
                <w:rFonts w:hint="eastAsia" w:ascii="宋体" w:hAnsi="宋体" w:cs="宋体"/>
                <w:sz w:val="22"/>
                <w:szCs w:val="22"/>
              </w:rPr>
              <w:t>分项内容</w:t>
            </w:r>
          </w:p>
        </w:tc>
        <w:tc>
          <w:tcPr>
            <w:tcW w:w="749" w:type="dxa"/>
            <w:tcBorders>
              <w:top w:val="single" w:color="auto" w:sz="6" w:space="0"/>
              <w:left w:val="single" w:color="auto" w:sz="6" w:space="0"/>
              <w:bottom w:val="single" w:color="auto" w:sz="6" w:space="0"/>
              <w:right w:val="single" w:color="auto" w:sz="6" w:space="0"/>
            </w:tcBorders>
            <w:noWrap w:val="0"/>
            <w:vAlign w:val="center"/>
          </w:tcPr>
          <w:p w14:paraId="7A15979C">
            <w:pPr>
              <w:rPr>
                <w:rFonts w:ascii="宋体" w:hAnsi="宋体" w:cs="宋体"/>
                <w:sz w:val="22"/>
                <w:szCs w:val="22"/>
              </w:rPr>
            </w:pPr>
            <w:r>
              <w:rPr>
                <w:rFonts w:hint="eastAsia" w:ascii="宋体" w:hAnsi="宋体" w:cs="宋体"/>
                <w:sz w:val="22"/>
                <w:szCs w:val="22"/>
              </w:rPr>
              <w:t>分值</w:t>
            </w:r>
          </w:p>
        </w:tc>
        <w:tc>
          <w:tcPr>
            <w:tcW w:w="6589" w:type="dxa"/>
            <w:tcBorders>
              <w:top w:val="single" w:color="auto" w:sz="6" w:space="0"/>
              <w:left w:val="single" w:color="auto" w:sz="6" w:space="0"/>
              <w:bottom w:val="single" w:color="auto" w:sz="6" w:space="0"/>
              <w:right w:val="single" w:color="auto" w:sz="6" w:space="0"/>
            </w:tcBorders>
            <w:noWrap w:val="0"/>
            <w:vAlign w:val="center"/>
          </w:tcPr>
          <w:p w14:paraId="05AC3DD4">
            <w:pPr>
              <w:rPr>
                <w:rFonts w:ascii="宋体" w:hAnsi="宋体" w:cs="宋体"/>
                <w:sz w:val="22"/>
                <w:szCs w:val="22"/>
              </w:rPr>
            </w:pPr>
            <w:r>
              <w:rPr>
                <w:rFonts w:hint="eastAsia" w:ascii="宋体" w:hAnsi="宋体" w:cs="宋体"/>
                <w:sz w:val="22"/>
                <w:szCs w:val="22"/>
              </w:rPr>
              <w:t>评分说明</w:t>
            </w:r>
          </w:p>
        </w:tc>
      </w:tr>
      <w:tr w14:paraId="027A0E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19" w:hRule="atLeast"/>
        </w:trPr>
        <w:tc>
          <w:tcPr>
            <w:tcW w:w="1155" w:type="dxa"/>
            <w:tcBorders>
              <w:left w:val="single" w:color="auto" w:sz="6" w:space="0"/>
              <w:right w:val="single" w:color="auto" w:sz="6" w:space="0"/>
            </w:tcBorders>
            <w:noWrap w:val="0"/>
            <w:vAlign w:val="center"/>
          </w:tcPr>
          <w:p w14:paraId="229C45CD">
            <w:pPr>
              <w:rPr>
                <w:rFonts w:ascii="宋体" w:hAnsi="宋体" w:cs="宋体"/>
                <w:sz w:val="22"/>
                <w:szCs w:val="22"/>
              </w:rPr>
            </w:pPr>
            <w:r>
              <w:rPr>
                <w:rFonts w:hint="eastAsia" w:ascii="宋体" w:hAnsi="宋体" w:cs="宋体"/>
                <w:color w:val="auto"/>
                <w:sz w:val="22"/>
                <w:szCs w:val="22"/>
              </w:rPr>
              <w:t>人员情况（</w:t>
            </w:r>
            <w:r>
              <w:rPr>
                <w:rFonts w:hint="eastAsia" w:ascii="宋体" w:hAnsi="宋体" w:cs="宋体"/>
                <w:color w:val="auto"/>
                <w:sz w:val="22"/>
                <w:szCs w:val="22"/>
                <w:lang w:val="en-US" w:eastAsia="zh-CN"/>
              </w:rPr>
              <w:t>7</w:t>
            </w:r>
            <w:r>
              <w:rPr>
                <w:rFonts w:hint="eastAsia" w:ascii="宋体" w:hAnsi="宋体" w:cs="宋体"/>
                <w:color w:val="auto"/>
                <w:sz w:val="22"/>
                <w:szCs w:val="22"/>
              </w:rPr>
              <w:t>分）</w:t>
            </w:r>
          </w:p>
        </w:tc>
        <w:tc>
          <w:tcPr>
            <w:tcW w:w="1329" w:type="dxa"/>
            <w:tcBorders>
              <w:top w:val="single" w:color="auto" w:sz="6" w:space="0"/>
              <w:left w:val="single" w:color="auto" w:sz="6" w:space="0"/>
              <w:right w:val="single" w:color="auto" w:sz="6" w:space="0"/>
            </w:tcBorders>
            <w:noWrap w:val="0"/>
            <w:vAlign w:val="center"/>
          </w:tcPr>
          <w:p w14:paraId="0E210AE3">
            <w:pPr>
              <w:rPr>
                <w:rFonts w:ascii="宋体" w:hAnsi="宋体" w:cs="宋体"/>
                <w:color w:val="auto"/>
                <w:sz w:val="22"/>
                <w:szCs w:val="22"/>
              </w:rPr>
            </w:pPr>
            <w:r>
              <w:rPr>
                <w:rFonts w:hint="eastAsia" w:ascii="宋体" w:hAnsi="宋体" w:cs="宋体"/>
                <w:color w:val="auto"/>
                <w:sz w:val="22"/>
                <w:szCs w:val="22"/>
                <w:lang w:eastAsia="zh-CN"/>
              </w:rPr>
              <w:t>项目管理团队能力</w:t>
            </w:r>
          </w:p>
        </w:tc>
        <w:tc>
          <w:tcPr>
            <w:tcW w:w="749" w:type="dxa"/>
            <w:tcBorders>
              <w:top w:val="single" w:color="auto" w:sz="6" w:space="0"/>
              <w:left w:val="single" w:color="auto" w:sz="6" w:space="0"/>
              <w:bottom w:val="single" w:color="auto" w:sz="6" w:space="0"/>
              <w:right w:val="single" w:color="auto" w:sz="6" w:space="0"/>
            </w:tcBorders>
            <w:noWrap w:val="0"/>
            <w:vAlign w:val="center"/>
          </w:tcPr>
          <w:p w14:paraId="2F7D51CF">
            <w:pP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7</w:t>
            </w:r>
          </w:p>
        </w:tc>
        <w:tc>
          <w:tcPr>
            <w:tcW w:w="6589" w:type="dxa"/>
            <w:tcBorders>
              <w:top w:val="single" w:color="auto" w:sz="6" w:space="0"/>
              <w:left w:val="single" w:color="auto" w:sz="6" w:space="0"/>
              <w:right w:val="single" w:color="auto" w:sz="6" w:space="0"/>
            </w:tcBorders>
            <w:noWrap w:val="0"/>
            <w:vAlign w:val="top"/>
          </w:tcPr>
          <w:p w14:paraId="4409380D">
            <w:pPr>
              <w:numPr>
                <w:ilvl w:val="0"/>
                <w:numId w:val="0"/>
              </w:numP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1.项目管理团队人员具有人力资源和社会保障部门颁发的统计类中级或以上职称证书，每提供1个得1分，满分10分。同一人获得多个证只算1个。</w:t>
            </w:r>
          </w:p>
          <w:p w14:paraId="2C9BB35B">
            <w:pPr>
              <w:numPr>
                <w:ilvl w:val="0"/>
                <w:numId w:val="0"/>
              </w:numP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2.项目管理团队人员中具有2个或以上消防类满意度调查项目工作经验的，每人得2分，</w:t>
            </w:r>
            <w:r>
              <w:rPr>
                <w:rFonts w:hint="eastAsia" w:ascii="宋体" w:hAnsi="宋体" w:eastAsia="宋体" w:cs="宋体"/>
                <w:color w:val="auto"/>
                <w:sz w:val="22"/>
                <w:szCs w:val="22"/>
              </w:rPr>
              <w:t>满分</w:t>
            </w:r>
            <w:r>
              <w:rPr>
                <w:rFonts w:hint="eastAsia" w:ascii="宋体" w:hAnsi="宋体" w:eastAsia="宋体" w:cs="宋体"/>
                <w:color w:val="auto"/>
                <w:sz w:val="22"/>
                <w:szCs w:val="22"/>
                <w:lang w:val="en-US" w:eastAsia="zh-CN"/>
              </w:rPr>
              <w:t>8</w:t>
            </w:r>
            <w:r>
              <w:rPr>
                <w:rFonts w:hint="eastAsia" w:ascii="宋体" w:hAnsi="宋体" w:eastAsia="宋体" w:cs="宋体"/>
                <w:color w:val="auto"/>
                <w:sz w:val="22"/>
                <w:szCs w:val="22"/>
              </w:rPr>
              <w:t>分</w:t>
            </w:r>
            <w:r>
              <w:rPr>
                <w:rFonts w:hint="eastAsia" w:ascii="宋体" w:hAnsi="宋体" w:eastAsia="宋体" w:cs="宋体"/>
                <w:color w:val="auto"/>
                <w:sz w:val="22"/>
                <w:szCs w:val="22"/>
                <w:lang w:eastAsia="zh-CN"/>
              </w:rPr>
              <w:t>。</w:t>
            </w:r>
          </w:p>
          <w:p w14:paraId="31EC929C">
            <w:pPr>
              <w:rPr>
                <w:rFonts w:hint="eastAsia" w:ascii="宋体" w:hAnsi="宋体" w:eastAsia="宋体" w:cs="宋体"/>
                <w:color w:val="auto"/>
                <w:sz w:val="22"/>
                <w:szCs w:val="22"/>
              </w:rPr>
            </w:pPr>
            <w:r>
              <w:rPr>
                <w:rFonts w:hint="eastAsia" w:ascii="宋体" w:hAnsi="宋体" w:cs="宋体"/>
                <w:color w:val="auto"/>
                <w:sz w:val="22"/>
                <w:szCs w:val="22"/>
              </w:rPr>
              <w:t>以上人员须提供相关证书复印件</w:t>
            </w:r>
            <w:r>
              <w:rPr>
                <w:rFonts w:hint="eastAsia" w:ascii="宋体" w:hAnsi="宋体" w:cs="宋体"/>
                <w:color w:val="auto"/>
                <w:sz w:val="22"/>
                <w:szCs w:val="22"/>
                <w:lang w:eastAsia="zh-CN"/>
              </w:rPr>
              <w:t>、工作经验以业主出具的满意度评价表或工作经验证明为准，同时提供</w:t>
            </w:r>
            <w:r>
              <w:rPr>
                <w:rFonts w:hint="eastAsia" w:ascii="宋体" w:hAnsi="宋体" w:cs="宋体"/>
                <w:color w:val="auto"/>
                <w:sz w:val="22"/>
                <w:szCs w:val="22"/>
              </w:rPr>
              <w:t>投标截止时间前6个月内任意一个月的参保证明文件并加盖投标人公章，如果</w:t>
            </w:r>
            <w:r>
              <w:rPr>
                <w:rFonts w:hint="eastAsia" w:ascii="宋体" w:hAnsi="宋体" w:cs="宋体"/>
                <w:color w:val="auto"/>
                <w:sz w:val="22"/>
                <w:szCs w:val="22"/>
                <w:lang w:eastAsia="zh-CN"/>
              </w:rPr>
              <w:t>投标</w:t>
            </w:r>
            <w:r>
              <w:rPr>
                <w:rFonts w:hint="eastAsia" w:ascii="宋体" w:hAnsi="宋体" w:cs="宋体"/>
                <w:color w:val="auto"/>
                <w:sz w:val="22"/>
                <w:szCs w:val="22"/>
              </w:rPr>
              <w:t>人成立时间或该人员入职不足</w:t>
            </w:r>
            <w:r>
              <w:rPr>
                <w:rFonts w:hint="eastAsia" w:ascii="宋体" w:hAnsi="宋体" w:cs="宋体"/>
                <w:color w:val="auto"/>
                <w:sz w:val="22"/>
                <w:szCs w:val="22"/>
                <w:lang w:val="en-US" w:eastAsia="zh-CN"/>
              </w:rPr>
              <w:t>1</w:t>
            </w:r>
            <w:r>
              <w:rPr>
                <w:rFonts w:hint="eastAsia" w:ascii="宋体" w:hAnsi="宋体" w:cs="宋体"/>
                <w:color w:val="auto"/>
                <w:sz w:val="22"/>
                <w:szCs w:val="22"/>
              </w:rPr>
              <w:t>个月，未能提供该人员社保证明的，可以在</w:t>
            </w:r>
            <w:r>
              <w:rPr>
                <w:rFonts w:hint="eastAsia" w:ascii="宋体" w:hAnsi="宋体" w:cs="宋体"/>
                <w:color w:val="auto"/>
                <w:sz w:val="22"/>
                <w:szCs w:val="22"/>
                <w:lang w:eastAsia="zh-CN"/>
              </w:rPr>
              <w:t>响应</w:t>
            </w:r>
            <w:r>
              <w:rPr>
                <w:rFonts w:hint="eastAsia" w:ascii="宋体" w:hAnsi="宋体" w:cs="宋体"/>
                <w:color w:val="auto"/>
                <w:sz w:val="22"/>
                <w:szCs w:val="22"/>
              </w:rPr>
              <w:t>文件中提供相关承诺（承诺书原件须加盖公章，格式自行编制，承诺书内容包括但不限于以下内容：若我单位成交，合同签订时保证按响应文件中所配备投入本项目的人员全部到位并提供以我单位名义为其缴纳的社保证明，否则视为我单位放弃成交资格），视为满足评审要求不提供不得分。</w:t>
            </w:r>
          </w:p>
        </w:tc>
      </w:tr>
      <w:tr w14:paraId="5A6F34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55" w:type="dxa"/>
            <w:tcBorders>
              <w:left w:val="single" w:color="auto" w:sz="6" w:space="0"/>
              <w:right w:val="single" w:color="auto" w:sz="6" w:space="0"/>
            </w:tcBorders>
            <w:noWrap w:val="0"/>
            <w:vAlign w:val="center"/>
          </w:tcPr>
          <w:p w14:paraId="249644E3">
            <w:pPr>
              <w:rPr>
                <w:rFonts w:ascii="宋体" w:hAnsi="宋体" w:cs="宋体"/>
                <w:sz w:val="22"/>
                <w:szCs w:val="22"/>
              </w:rPr>
            </w:pPr>
            <w:r>
              <w:rPr>
                <w:rFonts w:hint="eastAsia" w:ascii="宋体" w:hAnsi="宋体" w:cs="宋体"/>
                <w:sz w:val="22"/>
                <w:szCs w:val="22"/>
              </w:rPr>
              <w:t>业绩情况（</w:t>
            </w:r>
            <w:r>
              <w:rPr>
                <w:rFonts w:hint="eastAsia" w:ascii="宋体" w:hAnsi="宋体" w:cs="宋体"/>
                <w:sz w:val="22"/>
                <w:szCs w:val="22"/>
                <w:lang w:val="en-US" w:eastAsia="zh-CN"/>
              </w:rPr>
              <w:t>7</w:t>
            </w:r>
            <w:r>
              <w:rPr>
                <w:rFonts w:hint="eastAsia" w:ascii="宋体" w:hAnsi="宋体" w:cs="宋体"/>
                <w:sz w:val="22"/>
                <w:szCs w:val="22"/>
              </w:rPr>
              <w:t>分）</w:t>
            </w:r>
          </w:p>
        </w:tc>
        <w:tc>
          <w:tcPr>
            <w:tcW w:w="1329" w:type="dxa"/>
            <w:tcBorders>
              <w:top w:val="single" w:color="auto" w:sz="6" w:space="0"/>
              <w:left w:val="single" w:color="auto" w:sz="6" w:space="0"/>
              <w:bottom w:val="single" w:color="auto" w:sz="6" w:space="0"/>
              <w:right w:val="single" w:color="auto" w:sz="6" w:space="0"/>
            </w:tcBorders>
            <w:noWrap w:val="0"/>
            <w:vAlign w:val="center"/>
          </w:tcPr>
          <w:p w14:paraId="6423AD1C">
            <w:pPr>
              <w:rPr>
                <w:rFonts w:ascii="宋体" w:hAnsi="宋体" w:cs="宋体"/>
                <w:color w:val="auto"/>
                <w:sz w:val="22"/>
                <w:szCs w:val="22"/>
              </w:rPr>
            </w:pPr>
            <w:r>
              <w:rPr>
                <w:rFonts w:hint="eastAsia" w:ascii="宋体" w:hAnsi="宋体" w:cs="宋体"/>
                <w:color w:val="auto"/>
                <w:sz w:val="22"/>
                <w:szCs w:val="22"/>
              </w:rPr>
              <w:t>类似业绩</w:t>
            </w:r>
          </w:p>
        </w:tc>
        <w:tc>
          <w:tcPr>
            <w:tcW w:w="749" w:type="dxa"/>
            <w:tcBorders>
              <w:left w:val="single" w:color="auto" w:sz="6" w:space="0"/>
              <w:bottom w:val="single" w:color="auto" w:sz="6" w:space="0"/>
              <w:right w:val="single" w:color="auto" w:sz="6" w:space="0"/>
            </w:tcBorders>
            <w:noWrap w:val="0"/>
            <w:vAlign w:val="center"/>
          </w:tcPr>
          <w:p w14:paraId="4359C747">
            <w:pPr>
              <w:rPr>
                <w:rFonts w:hint="eastAsia" w:ascii="宋体" w:hAnsi="宋体" w:eastAsia="宋体" w:cs="宋体"/>
                <w:color w:val="auto"/>
                <w:sz w:val="22"/>
                <w:szCs w:val="22"/>
                <w:lang w:eastAsia="zh-CN"/>
              </w:rPr>
            </w:pPr>
            <w:r>
              <w:rPr>
                <w:rFonts w:hint="eastAsia" w:ascii="宋体" w:hAnsi="宋体" w:cs="宋体"/>
                <w:color w:val="auto"/>
                <w:sz w:val="22"/>
                <w:szCs w:val="22"/>
                <w:lang w:val="en-US" w:eastAsia="zh-CN"/>
              </w:rPr>
              <w:t>7</w:t>
            </w:r>
          </w:p>
        </w:tc>
        <w:tc>
          <w:tcPr>
            <w:tcW w:w="6589" w:type="dxa"/>
            <w:tcBorders>
              <w:left w:val="single" w:color="auto" w:sz="6" w:space="0"/>
              <w:bottom w:val="single" w:color="auto" w:sz="6" w:space="0"/>
              <w:right w:val="single" w:color="auto" w:sz="6" w:space="0"/>
            </w:tcBorders>
            <w:noWrap w:val="0"/>
            <w:vAlign w:val="center"/>
          </w:tcPr>
          <w:p w14:paraId="77E6A558">
            <w:pPr>
              <w:rPr>
                <w:color w:val="auto"/>
                <w:sz w:val="22"/>
                <w:szCs w:val="22"/>
              </w:rPr>
            </w:pPr>
            <w:r>
              <w:rPr>
                <w:rFonts w:hint="eastAsia" w:ascii="宋体" w:hAnsi="宋体" w:cs="宋体"/>
                <w:color w:val="auto"/>
                <w:sz w:val="22"/>
                <w:szCs w:val="22"/>
              </w:rPr>
              <w:t>20</w:t>
            </w:r>
            <w:r>
              <w:rPr>
                <w:rFonts w:hint="eastAsia" w:ascii="宋体" w:hAnsi="宋体" w:cs="宋体"/>
                <w:color w:val="auto"/>
                <w:sz w:val="22"/>
                <w:szCs w:val="22"/>
                <w:lang w:val="en-US" w:eastAsia="zh-CN"/>
              </w:rPr>
              <w:t>19</w:t>
            </w:r>
            <w:r>
              <w:rPr>
                <w:rFonts w:hint="eastAsia" w:ascii="宋体" w:hAnsi="宋体" w:cs="宋体"/>
                <w:color w:val="auto"/>
                <w:sz w:val="22"/>
                <w:szCs w:val="22"/>
              </w:rPr>
              <w:t>年1月1日以来（以合同签订时间为准）消防类满意度调查</w:t>
            </w:r>
            <w:r>
              <w:rPr>
                <w:rFonts w:hint="eastAsia"/>
                <w:color w:val="auto"/>
                <w:sz w:val="22"/>
                <w:szCs w:val="22"/>
              </w:rPr>
              <w:t>业绩进行评分，每个业绩得</w:t>
            </w:r>
            <w:r>
              <w:rPr>
                <w:rFonts w:hint="eastAsia"/>
                <w:color w:val="auto"/>
                <w:sz w:val="22"/>
                <w:szCs w:val="22"/>
                <w:lang w:val="en-US" w:eastAsia="zh-CN"/>
              </w:rPr>
              <w:t>2</w:t>
            </w:r>
            <w:r>
              <w:rPr>
                <w:rFonts w:hint="eastAsia"/>
                <w:color w:val="auto"/>
                <w:sz w:val="22"/>
                <w:szCs w:val="22"/>
              </w:rPr>
              <w:t>分；本项满分</w:t>
            </w:r>
            <w:r>
              <w:rPr>
                <w:rFonts w:hint="eastAsia"/>
                <w:color w:val="auto"/>
                <w:sz w:val="22"/>
                <w:szCs w:val="22"/>
                <w:lang w:val="en-US" w:eastAsia="zh-CN"/>
              </w:rPr>
              <w:t>12</w:t>
            </w:r>
            <w:r>
              <w:rPr>
                <w:rFonts w:hint="eastAsia"/>
                <w:color w:val="auto"/>
                <w:sz w:val="22"/>
                <w:szCs w:val="22"/>
              </w:rPr>
              <w:t>分。</w:t>
            </w:r>
          </w:p>
          <w:p w14:paraId="1849BD69">
            <w:pPr>
              <w:rPr>
                <w:rFonts w:ascii="宋体" w:hAnsi="宋体" w:cs="宋体"/>
                <w:color w:val="auto"/>
                <w:sz w:val="22"/>
                <w:szCs w:val="22"/>
              </w:rPr>
            </w:pPr>
            <w:r>
              <w:rPr>
                <w:rFonts w:hint="eastAsia" w:ascii="宋体" w:hAnsi="宋体" w:cs="宋体"/>
                <w:color w:val="auto"/>
                <w:sz w:val="22"/>
                <w:szCs w:val="22"/>
              </w:rPr>
              <w:t>提供合同关键页复印件并加盖投标人公章。</w:t>
            </w:r>
          </w:p>
        </w:tc>
      </w:tr>
      <w:tr w14:paraId="412EA4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36" w:hRule="atLeast"/>
        </w:trPr>
        <w:tc>
          <w:tcPr>
            <w:tcW w:w="1155" w:type="dxa"/>
            <w:vMerge w:val="restart"/>
            <w:tcBorders>
              <w:left w:val="single" w:color="auto" w:sz="6" w:space="0"/>
              <w:right w:val="single" w:color="auto" w:sz="6" w:space="0"/>
            </w:tcBorders>
            <w:noWrap w:val="0"/>
            <w:vAlign w:val="center"/>
          </w:tcPr>
          <w:p w14:paraId="3851964A">
            <w:pPr>
              <w:rPr>
                <w:rFonts w:ascii="宋体" w:hAnsi="宋体" w:cs="宋体"/>
                <w:sz w:val="22"/>
                <w:szCs w:val="22"/>
              </w:rPr>
            </w:pPr>
            <w:r>
              <w:rPr>
                <w:rFonts w:hint="eastAsia" w:ascii="宋体" w:hAnsi="宋体" w:cs="宋体"/>
                <w:sz w:val="22"/>
                <w:szCs w:val="22"/>
              </w:rPr>
              <w:t>企业综合能力（</w:t>
            </w:r>
            <w:r>
              <w:rPr>
                <w:rFonts w:hint="eastAsia" w:ascii="宋体" w:hAnsi="宋体" w:cs="宋体"/>
                <w:sz w:val="22"/>
                <w:szCs w:val="22"/>
                <w:lang w:val="en-US" w:eastAsia="zh-CN"/>
              </w:rPr>
              <w:t>6</w:t>
            </w:r>
            <w:r>
              <w:rPr>
                <w:rFonts w:hint="eastAsia" w:ascii="宋体" w:hAnsi="宋体" w:cs="宋体"/>
                <w:sz w:val="22"/>
                <w:szCs w:val="22"/>
              </w:rPr>
              <w:t>分）</w:t>
            </w:r>
          </w:p>
        </w:tc>
        <w:tc>
          <w:tcPr>
            <w:tcW w:w="1329" w:type="dxa"/>
            <w:tcBorders>
              <w:top w:val="single" w:color="auto" w:sz="6" w:space="0"/>
              <w:left w:val="single" w:color="auto" w:sz="6" w:space="0"/>
              <w:bottom w:val="single" w:color="auto" w:sz="6" w:space="0"/>
              <w:right w:val="single" w:color="auto" w:sz="6" w:space="0"/>
            </w:tcBorders>
            <w:noWrap w:val="0"/>
            <w:vAlign w:val="center"/>
          </w:tcPr>
          <w:p w14:paraId="5756F1CD">
            <w:pPr>
              <w:rPr>
                <w:rFonts w:ascii="宋体" w:hAnsi="宋体" w:cs="宋体"/>
                <w:color w:val="auto"/>
                <w:sz w:val="22"/>
                <w:szCs w:val="22"/>
              </w:rPr>
            </w:pPr>
            <w:r>
              <w:rPr>
                <w:rFonts w:hint="eastAsia" w:ascii="宋体" w:hAnsi="宋体" w:cs="宋体"/>
                <w:color w:val="auto"/>
                <w:sz w:val="22"/>
                <w:szCs w:val="22"/>
              </w:rPr>
              <w:t>资质情况</w:t>
            </w:r>
          </w:p>
        </w:tc>
        <w:tc>
          <w:tcPr>
            <w:tcW w:w="749" w:type="dxa"/>
            <w:tcBorders>
              <w:left w:val="single" w:color="auto" w:sz="6" w:space="0"/>
              <w:right w:val="single" w:color="auto" w:sz="6" w:space="0"/>
            </w:tcBorders>
            <w:noWrap w:val="0"/>
            <w:vAlign w:val="center"/>
          </w:tcPr>
          <w:p w14:paraId="592ABC57">
            <w:pPr>
              <w:rPr>
                <w:rFonts w:hint="eastAsia" w:ascii="宋体" w:hAnsi="宋体" w:eastAsia="宋体" w:cs="宋体"/>
                <w:color w:val="auto"/>
                <w:sz w:val="22"/>
                <w:szCs w:val="22"/>
                <w:lang w:eastAsia="zh-CN"/>
              </w:rPr>
            </w:pPr>
            <w:r>
              <w:rPr>
                <w:rFonts w:hint="eastAsia" w:ascii="宋体" w:hAnsi="宋体" w:cs="宋体"/>
                <w:color w:val="auto"/>
                <w:sz w:val="22"/>
                <w:szCs w:val="22"/>
                <w:lang w:val="en-US" w:eastAsia="zh-CN"/>
              </w:rPr>
              <w:t>3</w:t>
            </w:r>
          </w:p>
        </w:tc>
        <w:tc>
          <w:tcPr>
            <w:tcW w:w="6589" w:type="dxa"/>
            <w:tcBorders>
              <w:left w:val="single" w:color="auto" w:sz="6" w:space="0"/>
              <w:right w:val="single" w:color="auto" w:sz="6" w:space="0"/>
            </w:tcBorders>
            <w:noWrap w:val="0"/>
            <w:vAlign w:val="center"/>
          </w:tcPr>
          <w:p w14:paraId="26584D8A">
            <w:pP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rPr>
              <w:t>具有有效的质量管理体系认证证书，得</w:t>
            </w: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rPr>
              <w:t>分</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 xml:space="preserve"> </w:t>
            </w:r>
          </w:p>
          <w:p w14:paraId="3571FB98">
            <w:pP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具有有效的职业健康安全管理体系认证证书</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得</w:t>
            </w: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rPr>
              <w:t>分</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 xml:space="preserve"> </w:t>
            </w:r>
          </w:p>
          <w:p w14:paraId="0AD6AEC9">
            <w:pP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lang w:val="en-US" w:eastAsia="zh-Hans"/>
              </w:rPr>
              <w:t>具有</w:t>
            </w:r>
            <w:r>
              <w:rPr>
                <w:rFonts w:hint="eastAsia" w:ascii="宋体" w:hAnsi="宋体" w:eastAsia="宋体" w:cs="宋体"/>
                <w:color w:val="auto"/>
                <w:sz w:val="22"/>
                <w:szCs w:val="22"/>
                <w:lang w:val="en-US" w:eastAsia="zh-CN"/>
              </w:rPr>
              <w:t>有效</w:t>
            </w:r>
            <w:r>
              <w:rPr>
                <w:rFonts w:hint="eastAsia" w:ascii="宋体" w:hAnsi="宋体" w:eastAsia="宋体" w:cs="宋体"/>
                <w:color w:val="auto"/>
                <w:sz w:val="22"/>
                <w:szCs w:val="22"/>
                <w:lang w:val="en-US" w:eastAsia="zh-Hans"/>
              </w:rPr>
              <w:t>的环境管理体系认证证书</w:t>
            </w:r>
            <w:r>
              <w:rPr>
                <w:rFonts w:hint="eastAsia" w:ascii="宋体" w:hAnsi="宋体" w:eastAsia="宋体" w:cs="宋体"/>
                <w:color w:val="auto"/>
                <w:sz w:val="22"/>
                <w:szCs w:val="22"/>
                <w:lang w:val="en-US" w:eastAsia="zh-CN"/>
              </w:rPr>
              <w:t>，得1分。</w:t>
            </w:r>
          </w:p>
          <w:p w14:paraId="68D20F66">
            <w:pPr>
              <w:rPr>
                <w:rFonts w:ascii="宋体" w:hAnsi="宋体" w:cs="宋体"/>
                <w:color w:val="auto"/>
                <w:sz w:val="22"/>
                <w:szCs w:val="22"/>
              </w:rPr>
            </w:pPr>
            <w:r>
              <w:rPr>
                <w:rFonts w:hint="eastAsia" w:ascii="宋体" w:hAnsi="宋体" w:eastAsia="宋体" w:cs="宋体"/>
                <w:color w:val="auto"/>
                <w:sz w:val="22"/>
                <w:szCs w:val="22"/>
              </w:rPr>
              <w:t>提供</w:t>
            </w:r>
            <w:r>
              <w:rPr>
                <w:rFonts w:hint="eastAsia" w:ascii="宋体" w:hAnsi="宋体" w:eastAsia="宋体" w:cs="宋体"/>
                <w:color w:val="auto"/>
                <w:sz w:val="22"/>
                <w:szCs w:val="22"/>
                <w:lang w:eastAsia="zh-CN"/>
              </w:rPr>
              <w:t>有效期内的</w:t>
            </w:r>
            <w:r>
              <w:rPr>
                <w:rFonts w:hint="eastAsia" w:ascii="宋体" w:hAnsi="宋体" w:eastAsia="宋体" w:cs="宋体"/>
                <w:color w:val="auto"/>
                <w:sz w:val="22"/>
                <w:szCs w:val="22"/>
              </w:rPr>
              <w:t>证书扫描件以及在全国认证认可信息公共服务平台上http://cx.cn ca.cn查询结果的截图，证书状态必须为“有效”</w:t>
            </w:r>
            <w:r>
              <w:rPr>
                <w:rFonts w:hint="eastAsia" w:ascii="宋体" w:hAnsi="宋体" w:eastAsia="宋体" w:cs="宋体"/>
                <w:color w:val="auto"/>
                <w:sz w:val="22"/>
                <w:szCs w:val="22"/>
                <w:lang w:eastAsia="zh-CN"/>
              </w:rPr>
              <w:t>。</w:t>
            </w:r>
          </w:p>
        </w:tc>
      </w:tr>
      <w:tr w14:paraId="0FF349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55" w:type="dxa"/>
            <w:vMerge w:val="continue"/>
            <w:tcBorders>
              <w:left w:val="single" w:color="auto" w:sz="6" w:space="0"/>
              <w:right w:val="single" w:color="auto" w:sz="6" w:space="0"/>
            </w:tcBorders>
            <w:noWrap w:val="0"/>
            <w:vAlign w:val="center"/>
          </w:tcPr>
          <w:p w14:paraId="7A7D6B8D">
            <w:pPr>
              <w:rPr>
                <w:rFonts w:ascii="宋体" w:hAnsi="宋体" w:cs="宋体"/>
                <w:sz w:val="22"/>
                <w:szCs w:val="22"/>
              </w:rPr>
            </w:pPr>
          </w:p>
        </w:tc>
        <w:tc>
          <w:tcPr>
            <w:tcW w:w="1329" w:type="dxa"/>
            <w:tcBorders>
              <w:top w:val="single" w:color="auto" w:sz="6" w:space="0"/>
              <w:left w:val="single" w:color="auto" w:sz="6" w:space="0"/>
              <w:bottom w:val="single" w:color="auto" w:sz="6" w:space="0"/>
              <w:right w:val="single" w:color="auto" w:sz="4" w:space="0"/>
            </w:tcBorders>
            <w:noWrap w:val="0"/>
            <w:vAlign w:val="center"/>
          </w:tcPr>
          <w:p w14:paraId="646E4F44">
            <w:pPr>
              <w:rPr>
                <w:rFonts w:ascii="宋体" w:hAnsi="宋体" w:cs="宋体"/>
                <w:color w:val="auto"/>
                <w:sz w:val="22"/>
                <w:szCs w:val="22"/>
              </w:rPr>
            </w:pPr>
            <w:r>
              <w:rPr>
                <w:rFonts w:hint="eastAsia" w:ascii="宋体" w:hAnsi="宋体" w:cs="宋体"/>
                <w:color w:val="auto"/>
                <w:sz w:val="22"/>
                <w:szCs w:val="22"/>
              </w:rPr>
              <w:t>企业信用</w:t>
            </w:r>
          </w:p>
        </w:tc>
        <w:tc>
          <w:tcPr>
            <w:tcW w:w="749" w:type="dxa"/>
            <w:tcBorders>
              <w:left w:val="single" w:color="auto" w:sz="4" w:space="0"/>
              <w:right w:val="single" w:color="auto" w:sz="4" w:space="0"/>
            </w:tcBorders>
            <w:noWrap w:val="0"/>
            <w:vAlign w:val="center"/>
          </w:tcPr>
          <w:p w14:paraId="0A2D41B4">
            <w:pPr>
              <w:rPr>
                <w:rFonts w:hint="eastAsia" w:ascii="宋体" w:hAnsi="宋体" w:eastAsia="宋体" w:cs="宋体"/>
                <w:color w:val="auto"/>
                <w:sz w:val="22"/>
                <w:szCs w:val="22"/>
                <w:lang w:eastAsia="zh-CN"/>
              </w:rPr>
            </w:pPr>
            <w:r>
              <w:rPr>
                <w:rFonts w:hint="eastAsia" w:ascii="宋体" w:hAnsi="宋体" w:cs="宋体"/>
                <w:color w:val="auto"/>
                <w:sz w:val="22"/>
                <w:szCs w:val="22"/>
                <w:lang w:val="en-US" w:eastAsia="zh-CN"/>
              </w:rPr>
              <w:t>3</w:t>
            </w:r>
          </w:p>
        </w:tc>
        <w:tc>
          <w:tcPr>
            <w:tcW w:w="6589" w:type="dxa"/>
            <w:tcBorders>
              <w:left w:val="single" w:color="auto" w:sz="4" w:space="0"/>
              <w:right w:val="single" w:color="auto" w:sz="6" w:space="0"/>
            </w:tcBorders>
            <w:noWrap w:val="0"/>
            <w:vAlign w:val="center"/>
          </w:tcPr>
          <w:p w14:paraId="1D92E063">
            <w:pPr>
              <w:rPr>
                <w:rFonts w:hint="eastAsia" w:ascii="宋体" w:hAnsi="宋体" w:cs="宋体"/>
                <w:color w:val="auto"/>
                <w:sz w:val="22"/>
                <w:szCs w:val="22"/>
              </w:rPr>
            </w:pPr>
            <w:r>
              <w:rPr>
                <w:rFonts w:hint="eastAsia" w:ascii="宋体" w:hAnsi="宋体" w:cs="宋体"/>
                <w:color w:val="auto"/>
                <w:sz w:val="22"/>
                <w:szCs w:val="22"/>
              </w:rPr>
              <w:t>具有满意度调查类和消防应急调研类的计算机软件著作权登记证书，每提供一类得</w:t>
            </w:r>
            <w:r>
              <w:rPr>
                <w:rFonts w:hint="eastAsia" w:ascii="宋体" w:hAnsi="宋体" w:cs="宋体"/>
                <w:color w:val="auto"/>
                <w:sz w:val="22"/>
                <w:szCs w:val="22"/>
                <w:lang w:val="en-US" w:eastAsia="zh-CN"/>
              </w:rPr>
              <w:t>1</w:t>
            </w:r>
            <w:r>
              <w:rPr>
                <w:rFonts w:hint="eastAsia" w:ascii="宋体" w:hAnsi="宋体" w:cs="宋体"/>
                <w:color w:val="auto"/>
                <w:sz w:val="22"/>
                <w:szCs w:val="22"/>
              </w:rPr>
              <w:t>分，最高</w:t>
            </w:r>
            <w:r>
              <w:rPr>
                <w:rFonts w:hint="eastAsia" w:ascii="宋体" w:hAnsi="宋体" w:cs="宋体"/>
                <w:color w:val="auto"/>
                <w:sz w:val="22"/>
                <w:szCs w:val="22"/>
                <w:lang w:val="en-US" w:eastAsia="zh-CN"/>
              </w:rPr>
              <w:t>3</w:t>
            </w:r>
            <w:r>
              <w:rPr>
                <w:rFonts w:hint="eastAsia" w:ascii="宋体" w:hAnsi="宋体" w:cs="宋体"/>
                <w:color w:val="auto"/>
                <w:sz w:val="22"/>
                <w:szCs w:val="22"/>
              </w:rPr>
              <w:t xml:space="preserve">分。 </w:t>
            </w:r>
          </w:p>
          <w:p w14:paraId="59651825">
            <w:pPr>
              <w:rPr>
                <w:rFonts w:ascii="宋体" w:hAnsi="宋体" w:cs="宋体"/>
                <w:color w:val="auto"/>
                <w:sz w:val="22"/>
                <w:szCs w:val="22"/>
              </w:rPr>
            </w:pPr>
            <w:r>
              <w:rPr>
                <w:rFonts w:hint="eastAsia" w:ascii="宋体" w:hAnsi="宋体" w:cs="宋体"/>
                <w:color w:val="auto"/>
                <w:sz w:val="22"/>
                <w:szCs w:val="22"/>
              </w:rPr>
              <w:t>提供有效期内的证书扫描件并加盖供应商公章。</w:t>
            </w:r>
          </w:p>
        </w:tc>
      </w:tr>
      <w:tr w14:paraId="0DE3E5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484" w:type="dxa"/>
            <w:gridSpan w:val="2"/>
            <w:tcBorders>
              <w:left w:val="single" w:color="auto" w:sz="6" w:space="0"/>
              <w:right w:val="single" w:color="auto" w:sz="4" w:space="0"/>
            </w:tcBorders>
            <w:noWrap w:val="0"/>
            <w:vAlign w:val="center"/>
          </w:tcPr>
          <w:p w14:paraId="5024C673">
            <w:pPr>
              <w:rPr>
                <w:rFonts w:ascii="宋体" w:hAnsi="宋体" w:cs="宋体"/>
                <w:sz w:val="22"/>
                <w:szCs w:val="22"/>
              </w:rPr>
            </w:pPr>
            <w:r>
              <w:rPr>
                <w:rFonts w:ascii="宋体" w:hAnsi="宋体" w:cs="宋体"/>
                <w:sz w:val="22"/>
                <w:szCs w:val="22"/>
              </w:rPr>
              <w:t>合计</w:t>
            </w:r>
          </w:p>
        </w:tc>
        <w:tc>
          <w:tcPr>
            <w:tcW w:w="749" w:type="dxa"/>
            <w:tcBorders>
              <w:left w:val="single" w:color="auto" w:sz="4" w:space="0"/>
              <w:right w:val="single" w:color="auto" w:sz="4" w:space="0"/>
            </w:tcBorders>
            <w:noWrap w:val="0"/>
            <w:vAlign w:val="center"/>
          </w:tcPr>
          <w:p w14:paraId="6B51058E">
            <w:pPr>
              <w:rPr>
                <w:rFonts w:hint="default" w:ascii="宋体" w:hAnsi="宋体" w:cs="宋体"/>
                <w:sz w:val="22"/>
                <w:szCs w:val="22"/>
                <w:lang w:val="en-US"/>
              </w:rPr>
            </w:pPr>
            <w:r>
              <w:rPr>
                <w:rFonts w:hint="eastAsia" w:ascii="宋体" w:hAnsi="宋体" w:cs="宋体"/>
                <w:sz w:val="22"/>
                <w:szCs w:val="22"/>
                <w:lang w:val="en-US" w:eastAsia="zh-CN"/>
              </w:rPr>
              <w:t>20</w:t>
            </w:r>
          </w:p>
        </w:tc>
        <w:tc>
          <w:tcPr>
            <w:tcW w:w="6589" w:type="dxa"/>
            <w:tcBorders>
              <w:left w:val="single" w:color="auto" w:sz="4" w:space="0"/>
              <w:right w:val="single" w:color="auto" w:sz="6" w:space="0"/>
            </w:tcBorders>
            <w:noWrap w:val="0"/>
            <w:vAlign w:val="center"/>
          </w:tcPr>
          <w:p w14:paraId="64B58046">
            <w:pPr>
              <w:rPr>
                <w:rFonts w:ascii="宋体" w:hAnsi="宋体" w:cs="宋体"/>
                <w:sz w:val="22"/>
                <w:szCs w:val="22"/>
              </w:rPr>
            </w:pPr>
            <w:r>
              <w:rPr>
                <w:rFonts w:hint="eastAsia" w:ascii="宋体" w:hAnsi="宋体" w:cs="宋体"/>
                <w:sz w:val="22"/>
                <w:szCs w:val="22"/>
              </w:rPr>
              <w:t>/</w:t>
            </w:r>
          </w:p>
        </w:tc>
      </w:tr>
    </w:tbl>
    <w:p w14:paraId="5BE7210B">
      <w:pPr>
        <w:rPr>
          <w:rFonts w:ascii="微软雅黑" w:hAnsi="微软雅黑" w:eastAsia="微软雅黑"/>
          <w:bCs/>
          <w:sz w:val="22"/>
          <w:szCs w:val="22"/>
        </w:rPr>
      </w:pPr>
      <w:r>
        <w:rPr>
          <w:rFonts w:hint="eastAsia" w:ascii="微软雅黑" w:hAnsi="微软雅黑" w:eastAsia="微软雅黑"/>
          <w:bCs/>
          <w:sz w:val="22"/>
          <w:szCs w:val="22"/>
        </w:rPr>
        <w:t>注：1.各评委按规定的范围内进行量化打分，并统计总分。</w:t>
      </w:r>
    </w:p>
    <w:p w14:paraId="56781C63">
      <w:pPr>
        <w:keepNext/>
        <w:keepLines/>
        <w:adjustRightInd w:val="0"/>
        <w:spacing w:line="360" w:lineRule="auto"/>
        <w:jc w:val="center"/>
        <w:textAlignment w:val="baseline"/>
        <w:outlineLvl w:val="1"/>
        <w:rPr>
          <w:rFonts w:ascii="宋体" w:hAnsi="宋体"/>
          <w:b/>
          <w:sz w:val="32"/>
          <w:szCs w:val="32"/>
        </w:rPr>
      </w:pPr>
      <w:r>
        <w:rPr>
          <w:rFonts w:hint="eastAsia" w:ascii="宋体" w:hAnsi="宋体"/>
          <w:b/>
          <w:sz w:val="32"/>
          <w:szCs w:val="32"/>
        </w:rPr>
        <w:br w:type="page"/>
      </w:r>
      <w:r>
        <w:rPr>
          <w:rFonts w:hint="eastAsia" w:ascii="宋体" w:hAnsi="宋体"/>
          <w:b/>
          <w:sz w:val="32"/>
          <w:szCs w:val="32"/>
        </w:rPr>
        <w:t>第四章  合同格式</w:t>
      </w:r>
    </w:p>
    <w:p w14:paraId="7342E13F">
      <w:pPr>
        <w:keepNext/>
        <w:keepLines/>
        <w:adjustRightInd w:val="0"/>
        <w:spacing w:line="360" w:lineRule="auto"/>
        <w:jc w:val="center"/>
        <w:textAlignment w:val="baseline"/>
        <w:outlineLvl w:val="1"/>
        <w:rPr>
          <w:rFonts w:hint="eastAsia" w:ascii="宋体" w:hAnsi="宋体"/>
          <w:b/>
          <w:sz w:val="32"/>
          <w:szCs w:val="32"/>
        </w:rPr>
      </w:pPr>
      <w:r>
        <w:rPr>
          <w:rFonts w:hint="eastAsia" w:ascii="宋体" w:hAnsi="宋体"/>
          <w:b/>
          <w:sz w:val="32"/>
          <w:szCs w:val="32"/>
        </w:rPr>
        <w:t xml:space="preserve"> </w:t>
      </w:r>
    </w:p>
    <w:p w14:paraId="4024721B">
      <w:pPr>
        <w:tabs>
          <w:tab w:val="left" w:pos="8591"/>
        </w:tabs>
        <w:spacing w:before="50"/>
        <w:ind w:left="4529"/>
        <w:rPr>
          <w:rFonts w:ascii="黑体" w:hAnsi="黑体" w:eastAsia="黑体"/>
          <w:b/>
          <w:sz w:val="27"/>
        </w:rPr>
      </w:pPr>
      <w:r>
        <w:rPr>
          <w:rFonts w:hint="eastAsia" w:ascii="黑体" w:hAnsi="黑体" w:eastAsia="黑体"/>
          <w:b/>
          <w:sz w:val="27"/>
        </w:rPr>
        <w:t>合同号：</w:t>
      </w:r>
      <w:r>
        <w:rPr>
          <w:rFonts w:ascii="黑体" w:hAnsi="黑体" w:eastAsia="黑体"/>
          <w:b/>
          <w:w w:val="103"/>
          <w:sz w:val="27"/>
          <w:u w:val="single"/>
        </w:rPr>
        <w:t xml:space="preserve"> </w:t>
      </w:r>
      <w:r>
        <w:rPr>
          <w:rFonts w:ascii="黑体" w:hAnsi="黑体" w:eastAsia="黑体"/>
          <w:b/>
          <w:sz w:val="27"/>
          <w:u w:val="single"/>
        </w:rPr>
        <w:tab/>
      </w:r>
    </w:p>
    <w:p w14:paraId="7CC2FC2E">
      <w:pPr>
        <w:pStyle w:val="6"/>
        <w:rPr>
          <w:rFonts w:ascii="仿宋" w:hAnsi="仿宋" w:eastAsia="仿宋"/>
          <w:b/>
          <w:sz w:val="20"/>
        </w:rPr>
      </w:pPr>
    </w:p>
    <w:p w14:paraId="5B0FC769">
      <w:pPr>
        <w:pStyle w:val="6"/>
        <w:rPr>
          <w:rFonts w:ascii="仿宋" w:hAnsi="仿宋" w:eastAsia="仿宋"/>
          <w:b/>
          <w:sz w:val="20"/>
        </w:rPr>
      </w:pPr>
    </w:p>
    <w:p w14:paraId="43CA05BA">
      <w:pPr>
        <w:spacing w:line="594" w:lineRule="exact"/>
        <w:jc w:val="center"/>
        <w:rPr>
          <w:rFonts w:ascii="宋体" w:hAnsi="宋体"/>
          <w:b/>
          <w:bCs/>
          <w:w w:val="90"/>
          <w:sz w:val="56"/>
          <w:szCs w:val="56"/>
        </w:rPr>
      </w:pPr>
      <w:r>
        <w:rPr>
          <w:rFonts w:hint="eastAsia" w:ascii="宋体" w:hAnsi="宋体"/>
          <w:b/>
          <w:bCs/>
          <w:w w:val="90"/>
          <w:sz w:val="56"/>
          <w:szCs w:val="56"/>
        </w:rPr>
        <w:t>广东省政府挂牌督办火灾隐患重点地区社会调查项目</w:t>
      </w:r>
    </w:p>
    <w:p w14:paraId="677BAA0C">
      <w:pPr>
        <w:pStyle w:val="6"/>
        <w:spacing w:before="3"/>
        <w:rPr>
          <w:rFonts w:ascii="仿宋" w:hAnsi="仿宋" w:eastAsia="仿宋"/>
          <w:b/>
          <w:sz w:val="59"/>
        </w:rPr>
      </w:pPr>
    </w:p>
    <w:p w14:paraId="650FFF60">
      <w:pPr>
        <w:pStyle w:val="12"/>
        <w:spacing w:line="501" w:lineRule="auto"/>
        <w:ind w:left="3999" w:right="4142"/>
        <w:jc w:val="both"/>
        <w:rPr>
          <w:rFonts w:ascii="仿宋" w:hAnsi="仿宋" w:eastAsia="仿宋"/>
        </w:rPr>
      </w:pPr>
      <w:r>
        <w:rPr>
          <w:rFonts w:hint="eastAsia" w:ascii="微软雅黑" w:hAnsi="微软雅黑" w:eastAsia="微软雅黑" w:cs="微软雅黑"/>
        </w:rPr>
        <w:t>合同</w:t>
      </w:r>
    </w:p>
    <w:p w14:paraId="5A1A15D9">
      <w:pPr>
        <w:pStyle w:val="6"/>
        <w:spacing w:before="9"/>
        <w:rPr>
          <w:rFonts w:ascii="仿宋" w:hAnsi="仿宋" w:eastAsia="仿宋"/>
          <w:b/>
          <w:sz w:val="49"/>
        </w:rPr>
      </w:pPr>
    </w:p>
    <w:p w14:paraId="01EBD511">
      <w:pPr>
        <w:tabs>
          <w:tab w:val="left" w:pos="3169"/>
          <w:tab w:val="left" w:pos="3329"/>
          <w:tab w:val="left" w:pos="7809"/>
        </w:tabs>
        <w:spacing w:line="324" w:lineRule="auto"/>
        <w:ind w:left="769" w:right="1052"/>
        <w:rPr>
          <w:rFonts w:ascii="黑体" w:hAnsi="黑体" w:eastAsia="黑体"/>
          <w:b/>
          <w:sz w:val="31"/>
        </w:rPr>
      </w:pPr>
      <w:r>
        <w:rPr>
          <w:rFonts w:hint="eastAsia" w:ascii="黑体" w:hAnsi="黑体" w:eastAsia="黑体"/>
          <w:b/>
          <w:spacing w:val="3"/>
          <w:sz w:val="31"/>
        </w:rPr>
        <w:t>聘请方：</w:t>
      </w:r>
      <w:r>
        <w:rPr>
          <w:rFonts w:hint="eastAsia" w:ascii="黑体" w:hAnsi="黑体" w:eastAsia="黑体"/>
          <w:b/>
          <w:spacing w:val="3"/>
          <w:sz w:val="31"/>
          <w:u w:val="single"/>
        </w:rPr>
        <w:t xml:space="preserve"> </w:t>
      </w:r>
      <w:r>
        <w:rPr>
          <w:rFonts w:hint="eastAsia" w:ascii="黑体" w:hAnsi="黑体" w:eastAsia="黑体"/>
          <w:b/>
          <w:spacing w:val="3"/>
          <w:sz w:val="31"/>
          <w:u w:val="single"/>
        </w:rPr>
        <w:tab/>
      </w:r>
      <w:r>
        <w:rPr>
          <w:rFonts w:hint="eastAsia" w:ascii="黑体" w:hAnsi="黑体" w:eastAsia="黑体"/>
          <w:b/>
          <w:spacing w:val="3"/>
          <w:sz w:val="31"/>
          <w:u w:val="single"/>
        </w:rPr>
        <w:t xml:space="preserve"> 广东省消防救援总队</w:t>
      </w:r>
      <w:r>
        <w:rPr>
          <w:rFonts w:hint="eastAsia" w:ascii="黑体" w:hAnsi="黑体" w:eastAsia="黑体"/>
          <w:b/>
          <w:sz w:val="31"/>
          <w:u w:val="single"/>
        </w:rPr>
        <w:tab/>
      </w:r>
      <w:r>
        <w:rPr>
          <w:rFonts w:hint="eastAsia" w:ascii="黑体" w:hAnsi="黑体" w:eastAsia="黑体"/>
          <w:b/>
          <w:spacing w:val="3"/>
          <w:sz w:val="31"/>
          <w:u w:val="single"/>
        </w:rPr>
        <w:t xml:space="preserve">    </w:t>
      </w:r>
      <w:r>
        <w:rPr>
          <w:rFonts w:hint="eastAsia" w:ascii="黑体" w:hAnsi="黑体" w:eastAsia="黑体"/>
          <w:b/>
          <w:spacing w:val="144"/>
          <w:sz w:val="31"/>
          <w:u w:val="single"/>
        </w:rPr>
        <w:t xml:space="preserve"> </w:t>
      </w:r>
      <w:r>
        <w:rPr>
          <w:rFonts w:hint="eastAsia" w:ascii="黑体" w:hAnsi="黑体" w:eastAsia="黑体"/>
          <w:b/>
          <w:spacing w:val="3"/>
          <w:sz w:val="31"/>
        </w:rPr>
        <w:t>受聘方：</w:t>
      </w:r>
      <w:r>
        <w:rPr>
          <w:rFonts w:hint="eastAsia" w:ascii="黑体" w:hAnsi="黑体" w:eastAsia="黑体"/>
          <w:b/>
          <w:spacing w:val="3"/>
          <w:sz w:val="31"/>
          <w:u w:val="single"/>
        </w:rPr>
        <w:t xml:space="preserve"> </w:t>
      </w:r>
      <w:r>
        <w:rPr>
          <w:rFonts w:hint="eastAsia" w:ascii="黑体" w:hAnsi="黑体" w:eastAsia="黑体"/>
          <w:b/>
          <w:spacing w:val="3"/>
          <w:sz w:val="31"/>
          <w:u w:val="single"/>
        </w:rPr>
        <w:tab/>
      </w:r>
      <w:r>
        <w:rPr>
          <w:rFonts w:hint="eastAsia" w:ascii="黑体" w:hAnsi="黑体" w:eastAsia="黑体"/>
          <w:b/>
          <w:spacing w:val="3"/>
          <w:sz w:val="31"/>
          <w:u w:val="single"/>
        </w:rPr>
        <w:tab/>
      </w:r>
      <w:r>
        <w:rPr>
          <w:rFonts w:ascii="黑体" w:hAnsi="黑体" w:eastAsia="黑体"/>
          <w:b/>
          <w:spacing w:val="3"/>
          <w:sz w:val="31"/>
          <w:u w:val="single"/>
        </w:rPr>
        <w:t xml:space="preserve"> </w:t>
      </w:r>
      <w:r>
        <w:rPr>
          <w:rFonts w:hint="eastAsia" w:ascii="黑体" w:hAnsi="黑体" w:eastAsia="黑体"/>
          <w:b/>
          <w:sz w:val="31"/>
          <w:u w:val="single"/>
        </w:rPr>
        <w:tab/>
      </w:r>
    </w:p>
    <w:p w14:paraId="5546BE4C">
      <w:pPr>
        <w:spacing w:line="324" w:lineRule="auto"/>
        <w:rPr>
          <w:rFonts w:ascii="仿宋" w:hAnsi="仿宋" w:eastAsia="仿宋"/>
          <w:sz w:val="31"/>
        </w:rPr>
        <w:sectPr>
          <w:headerReference r:id="rId5" w:type="default"/>
          <w:footerReference r:id="rId6" w:type="default"/>
          <w:pgSz w:w="11910" w:h="16840"/>
          <w:pgMar w:top="1540" w:right="1360" w:bottom="280" w:left="1680" w:header="720" w:footer="720" w:gutter="0"/>
          <w:pgNumType w:start="1"/>
          <w:cols w:space="720" w:num="1"/>
        </w:sectPr>
      </w:pPr>
    </w:p>
    <w:p w14:paraId="7777EC70">
      <w:pPr>
        <w:adjustRightInd w:val="0"/>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根据《中华人民共和国民法典》的要求，经双方协商，本着平等互利和诚实信用的原则，一致同意签订本合同如下。</w:t>
      </w:r>
    </w:p>
    <w:p w14:paraId="03F396B9">
      <w:pPr>
        <w:pStyle w:val="20"/>
        <w:adjustRightInd w:val="0"/>
        <w:spacing w:before="163" w:beforeLines="50" w:after="163" w:afterLines="50" w:line="288" w:lineRule="auto"/>
        <w:ind w:firstLine="0" w:firstLineChars="0"/>
        <w:contextualSpacing/>
        <w:outlineLvl w:val="1"/>
        <w:rPr>
          <w:rFonts w:hint="eastAsia" w:ascii="仿宋" w:hAnsi="仿宋" w:eastAsia="仿宋" w:cs="仿宋"/>
          <w:b/>
          <w:bCs/>
          <w:color w:val="auto"/>
        </w:rPr>
      </w:pPr>
      <w:bookmarkStart w:id="11" w:name="_Toc78604605"/>
      <w:bookmarkStart w:id="12" w:name="_Toc78604606"/>
      <w:r>
        <w:rPr>
          <w:rFonts w:hint="eastAsia" w:ascii="仿宋" w:hAnsi="仿宋" w:eastAsia="仿宋" w:cs="仿宋"/>
          <w:b/>
          <w:bCs/>
          <w:color w:val="auto"/>
        </w:rPr>
        <w:t>第一条 项目名称</w:t>
      </w:r>
    </w:p>
    <w:p w14:paraId="7D4712FB">
      <w:pPr>
        <w:pStyle w:val="20"/>
        <w:adjustRightInd w:val="0"/>
        <w:spacing w:before="163" w:beforeLines="50" w:after="163" w:afterLines="50" w:line="288" w:lineRule="auto"/>
        <w:ind w:firstLine="420" w:firstLineChars="200"/>
        <w:contextualSpacing/>
        <w:outlineLvl w:val="1"/>
        <w:rPr>
          <w:rFonts w:hint="eastAsia" w:ascii="仿宋" w:hAnsi="仿宋" w:eastAsia="仿宋" w:cs="仿宋"/>
          <w:bCs/>
          <w:color w:val="auto"/>
          <w:highlight w:val="none"/>
        </w:rPr>
      </w:pPr>
      <w:r>
        <w:rPr>
          <w:rFonts w:hint="eastAsia" w:ascii="仿宋" w:hAnsi="仿宋" w:eastAsia="仿宋" w:cs="仿宋"/>
          <w:bCs/>
          <w:color w:val="auto"/>
          <w:highlight w:val="none"/>
        </w:rPr>
        <w:t>广东省政府挂牌督办火灾隐患重点地区社会调查项目</w:t>
      </w:r>
    </w:p>
    <w:p w14:paraId="1FD582C5">
      <w:pPr>
        <w:pStyle w:val="20"/>
        <w:adjustRightInd w:val="0"/>
        <w:spacing w:before="163" w:beforeLines="50" w:after="163" w:afterLines="50" w:line="288" w:lineRule="auto"/>
        <w:ind w:firstLine="0" w:firstLineChars="0"/>
        <w:contextualSpacing/>
        <w:outlineLvl w:val="1"/>
        <w:rPr>
          <w:rFonts w:hint="eastAsia" w:ascii="仿宋" w:hAnsi="仿宋" w:eastAsia="仿宋" w:cs="仿宋"/>
          <w:b/>
          <w:bCs/>
          <w:color w:val="auto"/>
        </w:rPr>
      </w:pPr>
      <w:r>
        <w:rPr>
          <w:rFonts w:hint="eastAsia" w:ascii="仿宋" w:hAnsi="仿宋" w:eastAsia="仿宋" w:cs="仿宋"/>
          <w:b/>
          <w:bCs/>
          <w:color w:val="auto"/>
        </w:rPr>
        <w:t>第二条 服务期限</w:t>
      </w:r>
    </w:p>
    <w:p w14:paraId="4F1D9515">
      <w:pPr>
        <w:adjustRightInd w:val="0"/>
        <w:snapToGrid w:val="0"/>
        <w:spacing w:line="360" w:lineRule="auto"/>
        <w:ind w:firstLine="420" w:firstLineChars="200"/>
        <w:rPr>
          <w:rFonts w:hint="eastAsia" w:ascii="仿宋" w:hAnsi="仿宋" w:eastAsia="仿宋" w:cs="仿宋"/>
          <w:bCs/>
          <w:color w:val="auto"/>
          <w:highlight w:val="none"/>
        </w:rPr>
      </w:pPr>
      <w:r>
        <w:rPr>
          <w:rFonts w:hint="eastAsia" w:ascii="仿宋" w:hAnsi="仿宋" w:eastAsia="仿宋" w:cs="仿宋"/>
          <w:bCs/>
          <w:color w:val="auto"/>
        </w:rPr>
        <w:t>本合同服务期</w:t>
      </w:r>
      <w:r>
        <w:rPr>
          <w:rFonts w:hint="eastAsia" w:ascii="仿宋" w:hAnsi="仿宋" w:eastAsia="仿宋" w:cs="仿宋"/>
          <w:bCs/>
          <w:color w:val="auto"/>
          <w:highlight w:val="none"/>
        </w:rPr>
        <w:t>限为</w:t>
      </w:r>
      <w:r>
        <w:rPr>
          <w:rFonts w:hint="eastAsia" w:ascii="仿宋" w:hAnsi="仿宋" w:eastAsia="仿宋" w:cs="仿宋"/>
          <w:bCs/>
          <w:color w:val="auto"/>
          <w:highlight w:val="none"/>
          <w:lang w:val="en-US" w:eastAsia="zh-CN"/>
        </w:rPr>
        <w:t>90天</w:t>
      </w:r>
      <w:r>
        <w:rPr>
          <w:rFonts w:hint="eastAsia" w:ascii="仿宋" w:hAnsi="仿宋" w:eastAsia="仿宋" w:cs="仿宋"/>
          <w:bCs/>
          <w:color w:val="auto"/>
          <w:highlight w:val="none"/>
        </w:rPr>
        <w:t>，自合同签订之日起计算。</w:t>
      </w:r>
    </w:p>
    <w:p w14:paraId="602BBC95">
      <w:pPr>
        <w:pStyle w:val="20"/>
        <w:adjustRightInd w:val="0"/>
        <w:spacing w:before="163" w:beforeLines="50" w:after="163" w:afterLines="50" w:line="288" w:lineRule="auto"/>
        <w:ind w:firstLine="0" w:firstLineChars="0"/>
        <w:contextualSpacing/>
        <w:outlineLvl w:val="1"/>
        <w:rPr>
          <w:rFonts w:hint="eastAsia" w:ascii="仿宋" w:hAnsi="仿宋" w:eastAsia="仿宋" w:cs="仿宋"/>
          <w:b/>
          <w:bCs/>
          <w:color w:val="auto"/>
        </w:rPr>
      </w:pPr>
      <w:r>
        <w:rPr>
          <w:rFonts w:hint="eastAsia" w:ascii="仿宋" w:hAnsi="仿宋" w:eastAsia="仿宋" w:cs="仿宋"/>
          <w:b/>
          <w:bCs/>
          <w:color w:val="auto"/>
        </w:rPr>
        <w:t>第三条 服务内容</w:t>
      </w:r>
    </w:p>
    <w:p w14:paraId="2334FBA2">
      <w:pPr>
        <w:pStyle w:val="20"/>
        <w:adjustRightInd w:val="0"/>
        <w:spacing w:before="163" w:beforeLines="50" w:after="163" w:afterLines="50" w:line="288" w:lineRule="auto"/>
        <w:ind w:firstLine="420" w:firstLineChars="200"/>
        <w:contextualSpacing/>
        <w:outlineLvl w:val="1"/>
        <w:rPr>
          <w:rFonts w:hint="eastAsia" w:ascii="仿宋" w:hAnsi="仿宋" w:eastAsia="仿宋" w:cs="仿宋"/>
          <w:bCs/>
          <w:color w:val="auto"/>
        </w:rPr>
      </w:pPr>
      <w:r>
        <w:rPr>
          <w:rFonts w:hint="eastAsia" w:ascii="仿宋" w:hAnsi="仿宋" w:eastAsia="仿宋" w:cs="仿宋"/>
          <w:bCs/>
          <w:color w:val="auto"/>
          <w:lang w:val="en-US" w:eastAsia="zh-CN"/>
        </w:rPr>
        <w:t>1、</w:t>
      </w:r>
      <w:r>
        <w:rPr>
          <w:rFonts w:hint="eastAsia" w:ascii="仿宋" w:hAnsi="仿宋" w:eastAsia="仿宋" w:cs="仿宋"/>
          <w:bCs/>
          <w:color w:val="auto"/>
        </w:rPr>
        <w:t>乙方依照</w:t>
      </w:r>
      <w:r>
        <w:rPr>
          <w:rFonts w:hint="eastAsia" w:ascii="仿宋" w:hAnsi="仿宋" w:eastAsia="仿宋" w:cs="仿宋"/>
          <w:bCs/>
          <w:color w:val="auto"/>
          <w:lang w:eastAsia="zh-CN"/>
        </w:rPr>
        <w:t>调查要求</w:t>
      </w:r>
      <w:r>
        <w:rPr>
          <w:rFonts w:hint="eastAsia" w:ascii="仿宋" w:hAnsi="仿宋" w:eastAsia="仿宋" w:cs="仿宋"/>
          <w:bCs/>
          <w:color w:val="auto"/>
        </w:rPr>
        <w:t>，对省政府挂牌督办6个火灾隐患重点地区各类场所约11.4万家，拟调查10%的场所业主（约1.14万人）消防安全常识知晓率和消防安全满意度，其中实地调查不少30%。</w:t>
      </w:r>
    </w:p>
    <w:p w14:paraId="08A3FE94">
      <w:pPr>
        <w:pStyle w:val="20"/>
        <w:adjustRightInd w:val="0"/>
        <w:spacing w:before="163" w:beforeLines="50" w:after="163" w:afterLines="50" w:line="288" w:lineRule="auto"/>
        <w:ind w:firstLine="420" w:firstLineChars="200"/>
        <w:contextualSpacing/>
        <w:outlineLvl w:val="1"/>
        <w:rPr>
          <w:rFonts w:hint="eastAsia" w:ascii="仿宋" w:hAnsi="仿宋" w:eastAsia="仿宋" w:cs="仿宋"/>
          <w:bCs/>
          <w:color w:val="auto"/>
        </w:rPr>
      </w:pPr>
      <w:r>
        <w:rPr>
          <w:rFonts w:hint="eastAsia" w:ascii="仿宋" w:hAnsi="仿宋" w:eastAsia="仿宋" w:cs="仿宋"/>
          <w:bCs/>
          <w:color w:val="auto"/>
        </w:rPr>
        <w:t>2、项目完成标准：乙方按</w:t>
      </w:r>
      <w:r>
        <w:rPr>
          <w:rFonts w:hint="eastAsia" w:ascii="仿宋" w:hAnsi="仿宋" w:eastAsia="仿宋" w:cs="仿宋"/>
          <w:bCs/>
          <w:color w:val="auto"/>
          <w:lang w:val="en-US" w:eastAsia="zh-CN"/>
        </w:rPr>
        <w:t>甲方</w:t>
      </w:r>
      <w:r>
        <w:rPr>
          <w:rFonts w:hint="eastAsia" w:ascii="仿宋" w:hAnsi="仿宋" w:eastAsia="仿宋" w:cs="仿宋"/>
          <w:bCs/>
          <w:color w:val="auto"/>
        </w:rPr>
        <w:t>要求完成调查并提交调查报告。</w:t>
      </w:r>
    </w:p>
    <w:p w14:paraId="06E1CE27">
      <w:pPr>
        <w:pStyle w:val="20"/>
        <w:adjustRightInd w:val="0"/>
        <w:spacing w:before="163" w:beforeLines="50" w:after="163" w:afterLines="50" w:line="288" w:lineRule="auto"/>
        <w:ind w:firstLine="0" w:firstLineChars="0"/>
        <w:contextualSpacing/>
        <w:outlineLvl w:val="1"/>
        <w:rPr>
          <w:rFonts w:hint="eastAsia" w:ascii="仿宋" w:hAnsi="仿宋" w:eastAsia="仿宋" w:cs="仿宋"/>
          <w:b/>
          <w:bCs/>
          <w:color w:val="auto"/>
        </w:rPr>
      </w:pPr>
      <w:r>
        <w:rPr>
          <w:rFonts w:hint="eastAsia" w:ascii="仿宋" w:hAnsi="仿宋" w:eastAsia="仿宋" w:cs="仿宋"/>
          <w:b/>
          <w:bCs/>
          <w:color w:val="auto"/>
        </w:rPr>
        <w:t>第四条 合同金额</w:t>
      </w:r>
    </w:p>
    <w:p w14:paraId="164781CF">
      <w:pPr>
        <w:numPr>
          <w:ilvl w:val="0"/>
          <w:numId w:val="8"/>
        </w:numPr>
        <w:adjustRightInd w:val="0"/>
        <w:snapToGrid w:val="0"/>
        <w:spacing w:line="360" w:lineRule="auto"/>
        <w:ind w:firstLine="420" w:firstLineChars="200"/>
        <w:rPr>
          <w:rFonts w:hint="eastAsia" w:ascii="仿宋" w:hAnsi="仿宋" w:eastAsia="仿宋" w:cs="仿宋"/>
          <w:bCs/>
          <w:color w:val="auto"/>
        </w:rPr>
      </w:pPr>
      <w:r>
        <w:rPr>
          <w:rFonts w:hint="eastAsia" w:ascii="仿宋" w:hAnsi="仿宋" w:eastAsia="仿宋" w:cs="仿宋"/>
          <w:bCs/>
          <w:color w:val="auto"/>
        </w:rPr>
        <w:t>合同金额人民币小写：¥</w:t>
      </w:r>
      <w:r>
        <w:rPr>
          <w:rFonts w:hint="eastAsia" w:ascii="仿宋" w:hAnsi="仿宋" w:eastAsia="仿宋" w:cs="仿宋"/>
          <w:bCs/>
          <w:color w:val="auto"/>
          <w:u w:val="single"/>
          <w:lang w:val="en-US" w:eastAsia="zh-CN"/>
        </w:rPr>
        <w:t>300000</w:t>
      </w:r>
      <w:r>
        <w:rPr>
          <w:rFonts w:hint="eastAsia" w:ascii="仿宋" w:hAnsi="仿宋" w:eastAsia="仿宋" w:cs="仿宋"/>
          <w:bCs/>
          <w:color w:val="auto"/>
          <w:u w:val="single"/>
        </w:rPr>
        <w:t>元</w:t>
      </w:r>
      <w:r>
        <w:rPr>
          <w:rFonts w:hint="eastAsia" w:ascii="仿宋" w:hAnsi="仿宋" w:eastAsia="仿宋" w:cs="仿宋"/>
          <w:bCs/>
          <w:color w:val="auto"/>
        </w:rPr>
        <w:t>，大写：</w:t>
      </w:r>
      <w:r>
        <w:rPr>
          <w:rFonts w:hint="eastAsia" w:ascii="仿宋" w:hAnsi="仿宋" w:eastAsia="仿宋" w:cs="仿宋"/>
          <w:bCs/>
          <w:color w:val="auto"/>
          <w:u w:val="single"/>
          <w:lang w:val="en-US" w:eastAsia="zh-CN"/>
        </w:rPr>
        <w:t>叁拾万元整</w:t>
      </w:r>
      <w:r>
        <w:rPr>
          <w:rFonts w:hint="eastAsia" w:ascii="仿宋" w:hAnsi="仿宋" w:eastAsia="仿宋" w:cs="仿宋"/>
          <w:bCs/>
          <w:color w:val="auto"/>
        </w:rPr>
        <w:t>。</w:t>
      </w:r>
    </w:p>
    <w:p w14:paraId="5AEF8DDD">
      <w:pPr>
        <w:numPr>
          <w:ilvl w:val="0"/>
          <w:numId w:val="8"/>
        </w:numPr>
        <w:adjustRightInd w:val="0"/>
        <w:snapToGrid w:val="0"/>
        <w:spacing w:line="360" w:lineRule="auto"/>
        <w:ind w:firstLine="420" w:firstLineChars="200"/>
        <w:rPr>
          <w:rFonts w:hint="eastAsia" w:ascii="仿宋" w:hAnsi="仿宋" w:eastAsia="仿宋" w:cs="仿宋"/>
          <w:bCs/>
          <w:color w:val="auto"/>
        </w:rPr>
      </w:pPr>
      <w:r>
        <w:rPr>
          <w:rFonts w:hint="eastAsia" w:ascii="仿宋" w:hAnsi="仿宋" w:eastAsia="仿宋" w:cs="仿宋"/>
          <w:bCs/>
          <w:color w:val="auto"/>
        </w:rPr>
        <w:t>合同金额包括</w:t>
      </w:r>
      <w:r>
        <w:rPr>
          <w:rFonts w:hint="eastAsia" w:ascii="仿宋" w:hAnsi="仿宋" w:eastAsia="仿宋" w:cs="仿宋"/>
          <w:bCs/>
          <w:color w:val="auto"/>
          <w:lang w:eastAsia="zh-CN"/>
        </w:rPr>
        <w:t>：调查</w:t>
      </w:r>
      <w:r>
        <w:rPr>
          <w:rFonts w:hint="eastAsia" w:ascii="仿宋" w:hAnsi="仿宋" w:eastAsia="仿宋" w:cs="仿宋"/>
          <w:bCs/>
          <w:color w:val="auto"/>
        </w:rPr>
        <w:t>服务及其他相关一切服务等所有费用以及税费。如果乙方在实施工作中出现的任何遗漏，由乙方自行承担费用，甲方将不再支付任何费用。</w:t>
      </w:r>
    </w:p>
    <w:bookmarkEnd w:id="11"/>
    <w:p w14:paraId="20D04364">
      <w:pPr>
        <w:pStyle w:val="20"/>
        <w:adjustRightInd w:val="0"/>
        <w:spacing w:before="163" w:beforeLines="50" w:after="163" w:afterLines="50" w:line="288" w:lineRule="auto"/>
        <w:ind w:firstLine="0" w:firstLineChars="0"/>
        <w:contextualSpacing/>
        <w:outlineLvl w:val="1"/>
        <w:rPr>
          <w:rFonts w:hint="eastAsia" w:ascii="仿宋" w:hAnsi="仿宋" w:eastAsia="仿宋" w:cs="仿宋"/>
          <w:b/>
          <w:bCs/>
          <w:color w:val="auto"/>
        </w:rPr>
      </w:pPr>
      <w:r>
        <w:rPr>
          <w:rFonts w:hint="eastAsia" w:ascii="仿宋" w:hAnsi="仿宋" w:eastAsia="仿宋" w:cs="仿宋"/>
          <w:b/>
          <w:bCs/>
          <w:color w:val="auto"/>
        </w:rPr>
        <w:t>第五条 付款方式</w:t>
      </w:r>
    </w:p>
    <w:p w14:paraId="563D0C58">
      <w:pPr>
        <w:adjustRightInd w:val="0"/>
        <w:snapToGrid w:val="0"/>
        <w:spacing w:line="360" w:lineRule="auto"/>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1、</w:t>
      </w:r>
      <w:r>
        <w:rPr>
          <w:rFonts w:hint="eastAsia" w:ascii="仿宋" w:hAnsi="仿宋" w:eastAsia="仿宋" w:cs="仿宋"/>
          <w:bCs/>
          <w:color w:val="auto"/>
          <w:highlight w:val="none"/>
          <w:lang w:val="en-US" w:eastAsia="zh-CN"/>
        </w:rPr>
        <w:t>甲方对</w:t>
      </w:r>
      <w:r>
        <w:rPr>
          <w:rFonts w:hint="eastAsia" w:ascii="仿宋" w:hAnsi="仿宋" w:eastAsia="仿宋" w:cs="仿宋"/>
          <w:bCs/>
          <w:color w:val="auto"/>
          <w:highlight w:val="none"/>
        </w:rPr>
        <w:t>乙方提交</w:t>
      </w:r>
      <w:r>
        <w:rPr>
          <w:rFonts w:hint="eastAsia" w:ascii="仿宋" w:hAnsi="仿宋" w:eastAsia="仿宋" w:cs="仿宋"/>
          <w:bCs/>
          <w:color w:val="auto"/>
          <w:highlight w:val="none"/>
          <w:lang w:val="en-US" w:eastAsia="zh-CN"/>
        </w:rPr>
        <w:t>的</w:t>
      </w:r>
      <w:r>
        <w:rPr>
          <w:rFonts w:hint="eastAsia" w:ascii="仿宋" w:hAnsi="仿宋" w:eastAsia="仿宋" w:cs="仿宋"/>
          <w:bCs/>
          <w:color w:val="auto"/>
          <w:highlight w:val="none"/>
          <w:lang w:eastAsia="zh-CN"/>
        </w:rPr>
        <w:t>调查报告</w:t>
      </w:r>
      <w:r>
        <w:rPr>
          <w:rFonts w:hint="eastAsia" w:ascii="仿宋" w:hAnsi="仿宋" w:eastAsia="仿宋" w:cs="仿宋"/>
          <w:bCs/>
          <w:color w:val="auto"/>
          <w:highlight w:val="none"/>
          <w:lang w:val="en-US" w:eastAsia="zh-CN"/>
        </w:rPr>
        <w:t>进行审核，审核无误后</w:t>
      </w:r>
      <w:r>
        <w:rPr>
          <w:rFonts w:hint="eastAsia" w:ascii="仿宋" w:hAnsi="仿宋" w:eastAsia="仿宋" w:cs="仿宋"/>
          <w:bCs/>
          <w:color w:val="auto"/>
          <w:highlight w:val="none"/>
        </w:rPr>
        <w:t>由甲方出具书面确认函，乙方凭甲方书面确认函及</w:t>
      </w:r>
      <w:r>
        <w:rPr>
          <w:rFonts w:hint="eastAsia" w:ascii="仿宋" w:hAnsi="仿宋" w:eastAsia="仿宋" w:cs="仿宋"/>
          <w:bCs/>
          <w:color w:val="auto"/>
          <w:highlight w:val="none"/>
          <w:lang w:val="en-US" w:eastAsia="zh-CN"/>
        </w:rPr>
        <w:t>合法有效的发票</w:t>
      </w:r>
      <w:r>
        <w:rPr>
          <w:rFonts w:hint="eastAsia" w:ascii="仿宋" w:hAnsi="仿宋" w:eastAsia="仿宋" w:cs="仿宋"/>
          <w:bCs/>
          <w:color w:val="auto"/>
          <w:highlight w:val="none"/>
        </w:rPr>
        <w:t>向甲方申请支付全部费用。</w:t>
      </w:r>
      <w:r>
        <w:rPr>
          <w:rFonts w:hint="eastAsia" w:ascii="仿宋" w:hAnsi="仿宋" w:eastAsia="仿宋" w:cs="仿宋"/>
          <w:bCs/>
          <w:color w:val="auto"/>
          <w:highlight w:val="none"/>
          <w:lang w:val="en-US" w:eastAsia="zh-CN"/>
        </w:rPr>
        <w:t>甲方收到前述书面确认函和发票之日起30个工作日内一次性向乙方支付300000元整。如</w:t>
      </w:r>
      <w:r>
        <w:rPr>
          <w:rFonts w:hint="eastAsia" w:ascii="仿宋" w:hAnsi="仿宋" w:eastAsia="仿宋" w:cs="仿宋"/>
          <w:bCs/>
          <w:color w:val="auto"/>
          <w:highlight w:val="none"/>
        </w:rPr>
        <w:t>乙方未按要求提供发票的，甲方有权延期支付且不视为违约。</w:t>
      </w:r>
    </w:p>
    <w:p w14:paraId="5B8BBBC5">
      <w:pPr>
        <w:adjustRightInd w:val="0"/>
        <w:snapToGrid w:val="0"/>
        <w:spacing w:line="360" w:lineRule="auto"/>
        <w:ind w:firstLine="420" w:firstLineChars="200"/>
        <w:rPr>
          <w:rFonts w:hint="eastAsia" w:ascii="仿宋" w:hAnsi="仿宋" w:eastAsia="仿宋" w:cs="仿宋"/>
          <w:bCs/>
          <w:color w:val="auto"/>
        </w:rPr>
      </w:pPr>
      <w:r>
        <w:rPr>
          <w:rFonts w:hint="eastAsia" w:ascii="仿宋" w:hAnsi="仿宋" w:eastAsia="仿宋" w:cs="仿宋"/>
          <w:bCs/>
          <w:color w:val="auto"/>
          <w:lang w:val="en-US" w:eastAsia="zh-CN"/>
        </w:rPr>
        <w:t>2</w:t>
      </w:r>
      <w:r>
        <w:rPr>
          <w:rFonts w:hint="eastAsia" w:ascii="仿宋" w:hAnsi="仿宋" w:eastAsia="仿宋" w:cs="仿宋"/>
          <w:bCs/>
          <w:color w:val="auto"/>
        </w:rPr>
        <w:t>、甲方按上述约定，将款项汇入乙方指定账户：</w:t>
      </w:r>
    </w:p>
    <w:p w14:paraId="096F6784">
      <w:pPr>
        <w:adjustRightInd w:val="0"/>
        <w:snapToGrid w:val="0"/>
        <w:spacing w:line="360" w:lineRule="auto"/>
        <w:ind w:firstLine="420" w:firstLineChars="200"/>
        <w:rPr>
          <w:rFonts w:hint="eastAsia" w:ascii="仿宋" w:hAnsi="仿宋" w:eastAsia="仿宋" w:cs="仿宋"/>
          <w:bCs/>
          <w:color w:val="auto"/>
        </w:rPr>
      </w:pPr>
      <w:r>
        <w:rPr>
          <w:rFonts w:hint="eastAsia" w:ascii="仿宋" w:hAnsi="仿宋" w:eastAsia="仿宋" w:cs="仿宋"/>
          <w:bCs/>
          <w:color w:val="auto"/>
        </w:rPr>
        <w:t>开户名称：</w:t>
      </w:r>
    </w:p>
    <w:p w14:paraId="29EF9803">
      <w:pPr>
        <w:adjustRightInd w:val="0"/>
        <w:snapToGrid w:val="0"/>
        <w:spacing w:line="360" w:lineRule="auto"/>
        <w:ind w:firstLine="420" w:firstLineChars="200"/>
        <w:rPr>
          <w:rFonts w:hint="default" w:ascii="仿宋" w:hAnsi="仿宋" w:eastAsia="仿宋" w:cs="仿宋"/>
          <w:bCs/>
          <w:color w:val="auto"/>
          <w:lang w:val="en-US" w:eastAsia="zh-CN"/>
        </w:rPr>
      </w:pPr>
      <w:r>
        <w:rPr>
          <w:rFonts w:hint="eastAsia" w:ascii="仿宋" w:hAnsi="仿宋" w:eastAsia="仿宋" w:cs="仿宋"/>
          <w:bCs/>
          <w:color w:val="auto"/>
        </w:rPr>
        <w:t>银行</w:t>
      </w:r>
      <w:r>
        <w:rPr>
          <w:rFonts w:hint="eastAsia" w:ascii="仿宋" w:hAnsi="仿宋" w:eastAsia="仿宋" w:cs="仿宋"/>
          <w:bCs/>
          <w:color w:val="auto"/>
          <w:lang w:val="en-US" w:eastAsia="zh-CN"/>
        </w:rPr>
        <w:t>账</w:t>
      </w:r>
      <w:bookmarkStart w:id="18" w:name="_GoBack"/>
      <w:bookmarkEnd w:id="18"/>
      <w:r>
        <w:rPr>
          <w:rFonts w:hint="eastAsia" w:ascii="仿宋" w:hAnsi="仿宋" w:eastAsia="仿宋" w:cs="仿宋"/>
          <w:bCs/>
          <w:color w:val="auto"/>
        </w:rPr>
        <w:t>号：</w:t>
      </w:r>
    </w:p>
    <w:p w14:paraId="029E089F">
      <w:pPr>
        <w:adjustRightInd w:val="0"/>
        <w:snapToGrid w:val="0"/>
        <w:spacing w:line="360" w:lineRule="auto"/>
        <w:ind w:firstLine="420" w:firstLineChars="200"/>
        <w:rPr>
          <w:rFonts w:hint="eastAsia" w:ascii="仿宋" w:hAnsi="仿宋" w:eastAsia="仿宋" w:cs="仿宋"/>
          <w:bCs/>
          <w:color w:val="auto"/>
        </w:rPr>
      </w:pPr>
      <w:r>
        <w:rPr>
          <w:rFonts w:hint="eastAsia" w:ascii="仿宋" w:hAnsi="仿宋" w:eastAsia="仿宋" w:cs="仿宋"/>
          <w:bCs/>
          <w:color w:val="auto"/>
        </w:rPr>
        <w:t>开户银行：</w:t>
      </w:r>
    </w:p>
    <w:p w14:paraId="7DBFBD1B">
      <w:pPr>
        <w:adjustRightInd w:val="0"/>
        <w:snapToGrid w:val="0"/>
        <w:spacing w:line="360" w:lineRule="auto"/>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3</w:t>
      </w:r>
      <w:r>
        <w:rPr>
          <w:rFonts w:hint="eastAsia" w:ascii="仿宋" w:hAnsi="仿宋" w:eastAsia="仿宋" w:cs="仿宋"/>
          <w:bCs/>
          <w:color w:val="auto"/>
          <w:highlight w:val="none"/>
        </w:rPr>
        <w:t>、甲方开票信息：</w:t>
      </w:r>
    </w:p>
    <w:p w14:paraId="7E9F5F43">
      <w:pPr>
        <w:adjustRightInd w:val="0"/>
        <w:snapToGrid w:val="0"/>
        <w:spacing w:line="360" w:lineRule="auto"/>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公司名称：</w:t>
      </w:r>
    </w:p>
    <w:p w14:paraId="4BB68D29">
      <w:pPr>
        <w:adjustRightInd w:val="0"/>
        <w:snapToGrid w:val="0"/>
        <w:spacing w:line="360" w:lineRule="auto"/>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纳税人识别号：</w:t>
      </w:r>
    </w:p>
    <w:p w14:paraId="210FF619">
      <w:pPr>
        <w:pStyle w:val="20"/>
        <w:adjustRightInd w:val="0"/>
        <w:spacing w:before="163" w:beforeLines="50" w:after="163" w:afterLines="50" w:line="288" w:lineRule="auto"/>
        <w:ind w:firstLine="0" w:firstLineChars="0"/>
        <w:contextualSpacing/>
        <w:outlineLvl w:val="1"/>
        <w:rPr>
          <w:rFonts w:hint="eastAsia" w:ascii="仿宋" w:hAnsi="仿宋" w:eastAsia="仿宋" w:cs="仿宋"/>
          <w:b/>
          <w:bCs/>
          <w:color w:val="auto"/>
        </w:rPr>
      </w:pPr>
      <w:r>
        <w:rPr>
          <w:rFonts w:hint="eastAsia" w:ascii="仿宋" w:hAnsi="仿宋" w:eastAsia="仿宋" w:cs="仿宋"/>
          <w:b/>
          <w:bCs/>
          <w:color w:val="auto"/>
        </w:rPr>
        <w:t>第六条 服务要求</w:t>
      </w:r>
    </w:p>
    <w:p w14:paraId="11F5B8F5">
      <w:pPr>
        <w:adjustRightInd w:val="0"/>
        <w:snapToGrid w:val="0"/>
        <w:spacing w:line="360" w:lineRule="auto"/>
        <w:ind w:firstLine="420" w:firstLineChars="200"/>
        <w:rPr>
          <w:rFonts w:hint="eastAsia" w:ascii="仿宋" w:hAnsi="仿宋" w:eastAsia="仿宋" w:cs="仿宋"/>
          <w:bCs/>
          <w:color w:val="auto"/>
        </w:rPr>
      </w:pPr>
      <w:r>
        <w:rPr>
          <w:rFonts w:hint="eastAsia" w:ascii="仿宋" w:hAnsi="仿宋" w:eastAsia="仿宋" w:cs="仿宋"/>
          <w:bCs/>
          <w:color w:val="auto"/>
          <w:lang w:val="en-US" w:eastAsia="zh-CN"/>
        </w:rPr>
        <w:t>1</w:t>
      </w:r>
      <w:r>
        <w:rPr>
          <w:rFonts w:hint="eastAsia" w:ascii="仿宋" w:hAnsi="仿宋" w:eastAsia="仿宋" w:cs="仿宋"/>
          <w:bCs/>
          <w:color w:val="auto"/>
        </w:rPr>
        <w:t>、合同签订之日后</w:t>
      </w:r>
      <w:r>
        <w:rPr>
          <w:rFonts w:hint="eastAsia" w:ascii="仿宋" w:hAnsi="仿宋" w:eastAsia="仿宋" w:cs="仿宋"/>
          <w:bCs/>
          <w:color w:val="auto"/>
          <w:lang w:val="en-US" w:eastAsia="zh-CN"/>
        </w:rPr>
        <w:t>10</w:t>
      </w:r>
      <w:r>
        <w:rPr>
          <w:rFonts w:hint="eastAsia" w:ascii="仿宋" w:hAnsi="仿宋" w:eastAsia="仿宋" w:cs="仿宋"/>
          <w:bCs/>
          <w:color w:val="auto"/>
        </w:rPr>
        <w:t>日内，乙方启动并完成</w:t>
      </w:r>
      <w:r>
        <w:rPr>
          <w:rFonts w:hint="eastAsia" w:ascii="仿宋" w:hAnsi="仿宋" w:eastAsia="仿宋" w:cs="仿宋"/>
          <w:bCs/>
          <w:color w:val="auto"/>
          <w:lang w:eastAsia="zh-CN"/>
        </w:rPr>
        <w:t>调查</w:t>
      </w:r>
      <w:r>
        <w:rPr>
          <w:rFonts w:hint="eastAsia" w:ascii="仿宋" w:hAnsi="仿宋" w:eastAsia="仿宋" w:cs="仿宋"/>
          <w:bCs/>
          <w:color w:val="auto"/>
        </w:rPr>
        <w:t>准备工作：信息收集与分析、工具和表单准备、</w:t>
      </w:r>
      <w:r>
        <w:rPr>
          <w:rFonts w:hint="eastAsia" w:ascii="仿宋" w:hAnsi="仿宋" w:eastAsia="仿宋" w:cs="仿宋"/>
          <w:bCs/>
          <w:color w:val="auto"/>
          <w:lang w:eastAsia="zh-CN"/>
        </w:rPr>
        <w:t>调查</w:t>
      </w:r>
      <w:r>
        <w:rPr>
          <w:rFonts w:hint="eastAsia" w:ascii="仿宋" w:hAnsi="仿宋" w:eastAsia="仿宋" w:cs="仿宋"/>
          <w:bCs/>
          <w:color w:val="auto"/>
        </w:rPr>
        <w:t>内容确定、</w:t>
      </w:r>
      <w:r>
        <w:rPr>
          <w:rFonts w:hint="eastAsia" w:ascii="仿宋" w:hAnsi="仿宋" w:eastAsia="仿宋" w:cs="仿宋"/>
          <w:bCs/>
          <w:color w:val="auto"/>
          <w:lang w:eastAsia="zh-CN"/>
        </w:rPr>
        <w:t>调查</w:t>
      </w:r>
      <w:r>
        <w:rPr>
          <w:rFonts w:hint="eastAsia" w:ascii="仿宋" w:hAnsi="仿宋" w:eastAsia="仿宋" w:cs="仿宋"/>
          <w:bCs/>
          <w:color w:val="auto"/>
        </w:rPr>
        <w:t>方案编制等；</w:t>
      </w:r>
    </w:p>
    <w:p w14:paraId="5B9DEBCD">
      <w:pPr>
        <w:adjustRightInd w:val="0"/>
        <w:snapToGrid w:val="0"/>
        <w:spacing w:line="360" w:lineRule="auto"/>
        <w:ind w:firstLine="420" w:firstLineChars="200"/>
        <w:rPr>
          <w:rFonts w:hint="eastAsia" w:ascii="仿宋" w:hAnsi="仿宋" w:eastAsia="仿宋" w:cs="仿宋"/>
          <w:color w:val="auto"/>
        </w:rPr>
      </w:pPr>
      <w:r>
        <w:rPr>
          <w:rFonts w:hint="eastAsia" w:ascii="仿宋" w:hAnsi="仿宋" w:eastAsia="仿宋" w:cs="仿宋"/>
          <w:bCs/>
          <w:color w:val="auto"/>
          <w:lang w:val="en-US" w:eastAsia="zh-CN"/>
        </w:rPr>
        <w:t>2</w:t>
      </w:r>
      <w:r>
        <w:rPr>
          <w:rFonts w:hint="eastAsia" w:ascii="仿宋" w:hAnsi="仿宋" w:eastAsia="仿宋" w:cs="仿宋"/>
          <w:bCs/>
          <w:color w:val="auto"/>
        </w:rPr>
        <w:t>、乙方完成</w:t>
      </w:r>
      <w:r>
        <w:rPr>
          <w:rFonts w:hint="eastAsia" w:ascii="仿宋" w:hAnsi="仿宋" w:eastAsia="仿宋" w:cs="仿宋"/>
          <w:bCs/>
          <w:color w:val="auto"/>
          <w:lang w:eastAsia="zh-CN"/>
        </w:rPr>
        <w:t>调查</w:t>
      </w:r>
      <w:r>
        <w:rPr>
          <w:rFonts w:hint="eastAsia" w:ascii="仿宋" w:hAnsi="仿宋" w:eastAsia="仿宋" w:cs="仿宋"/>
          <w:bCs/>
          <w:color w:val="auto"/>
        </w:rPr>
        <w:t>准备工作后</w:t>
      </w:r>
      <w:r>
        <w:rPr>
          <w:rFonts w:hint="eastAsia" w:ascii="仿宋" w:hAnsi="仿宋" w:eastAsia="仿宋" w:cs="仿宋"/>
          <w:bCs/>
          <w:color w:val="auto"/>
          <w:lang w:val="en-US" w:eastAsia="zh-CN"/>
        </w:rPr>
        <w:t>30</w:t>
      </w:r>
      <w:r>
        <w:rPr>
          <w:rFonts w:hint="eastAsia" w:ascii="仿宋" w:hAnsi="仿宋" w:eastAsia="仿宋" w:cs="仿宋"/>
          <w:bCs/>
          <w:color w:val="auto"/>
        </w:rPr>
        <w:t>日内，乙方启动并完成</w:t>
      </w:r>
      <w:r>
        <w:rPr>
          <w:rFonts w:hint="eastAsia" w:ascii="仿宋" w:hAnsi="仿宋" w:eastAsia="仿宋" w:cs="仿宋"/>
          <w:bCs/>
          <w:color w:val="auto"/>
          <w:lang w:eastAsia="zh-CN"/>
        </w:rPr>
        <w:t>调查执行</w:t>
      </w:r>
      <w:r>
        <w:rPr>
          <w:rFonts w:hint="eastAsia" w:ascii="仿宋" w:hAnsi="仿宋" w:eastAsia="仿宋" w:cs="仿宋"/>
          <w:bCs/>
          <w:color w:val="auto"/>
        </w:rPr>
        <w:t>工作：</w:t>
      </w:r>
      <w:r>
        <w:rPr>
          <w:rFonts w:hint="eastAsia" w:ascii="仿宋" w:hAnsi="仿宋" w:eastAsia="仿宋" w:cs="仿宋"/>
          <w:bCs/>
          <w:color w:val="auto"/>
          <w:lang w:eastAsia="zh-CN"/>
        </w:rPr>
        <w:t>调查</w:t>
      </w:r>
      <w:r>
        <w:rPr>
          <w:rFonts w:hint="eastAsia" w:ascii="仿宋" w:hAnsi="仿宋" w:eastAsia="仿宋" w:cs="仿宋"/>
          <w:bCs/>
          <w:color w:val="auto"/>
        </w:rPr>
        <w:t>人员进场、</w:t>
      </w:r>
      <w:r>
        <w:rPr>
          <w:rFonts w:hint="eastAsia" w:ascii="仿宋" w:hAnsi="仿宋" w:eastAsia="仿宋" w:cs="仿宋"/>
          <w:bCs/>
          <w:color w:val="auto"/>
          <w:lang w:eastAsia="zh-CN"/>
        </w:rPr>
        <w:t>调查</w:t>
      </w:r>
      <w:r>
        <w:rPr>
          <w:rFonts w:hint="eastAsia" w:ascii="仿宋" w:hAnsi="仿宋" w:eastAsia="仿宋" w:cs="仿宋"/>
          <w:bCs/>
          <w:color w:val="auto"/>
        </w:rPr>
        <w:t>实施准备、</w:t>
      </w:r>
      <w:r>
        <w:rPr>
          <w:rFonts w:hint="eastAsia" w:ascii="仿宋" w:hAnsi="仿宋" w:eastAsia="仿宋" w:cs="仿宋"/>
          <w:bCs/>
          <w:color w:val="auto"/>
          <w:lang w:eastAsia="zh-CN"/>
        </w:rPr>
        <w:t>调查执行</w:t>
      </w:r>
      <w:r>
        <w:rPr>
          <w:rFonts w:hint="eastAsia" w:ascii="仿宋" w:hAnsi="仿宋" w:eastAsia="仿宋" w:cs="仿宋"/>
          <w:bCs/>
          <w:color w:val="auto"/>
        </w:rPr>
        <w:t>和</w:t>
      </w:r>
      <w:r>
        <w:rPr>
          <w:rFonts w:hint="eastAsia" w:ascii="仿宋" w:hAnsi="仿宋" w:eastAsia="仿宋" w:cs="仿宋"/>
          <w:bCs/>
          <w:color w:val="auto"/>
          <w:lang w:eastAsia="zh-CN"/>
        </w:rPr>
        <w:t>调查数据审核</w:t>
      </w:r>
      <w:r>
        <w:rPr>
          <w:rFonts w:hint="eastAsia" w:ascii="仿宋" w:hAnsi="仿宋" w:eastAsia="仿宋" w:cs="仿宋"/>
          <w:bCs/>
          <w:color w:val="auto"/>
        </w:rPr>
        <w:t>、</w:t>
      </w:r>
      <w:r>
        <w:rPr>
          <w:rFonts w:hint="eastAsia" w:ascii="仿宋" w:hAnsi="仿宋" w:eastAsia="仿宋" w:cs="仿宋"/>
          <w:bCs/>
          <w:color w:val="auto"/>
          <w:lang w:eastAsia="zh-CN"/>
        </w:rPr>
        <w:t>调查报告编制</w:t>
      </w:r>
      <w:r>
        <w:rPr>
          <w:rFonts w:hint="eastAsia" w:ascii="仿宋" w:hAnsi="仿宋" w:eastAsia="仿宋" w:cs="仿宋"/>
          <w:bCs/>
          <w:color w:val="auto"/>
        </w:rPr>
        <w:t>等，并</w:t>
      </w:r>
      <w:r>
        <w:rPr>
          <w:rFonts w:hint="eastAsia" w:ascii="仿宋" w:hAnsi="仿宋" w:eastAsia="仿宋" w:cs="仿宋"/>
          <w:color w:val="auto"/>
        </w:rPr>
        <w:t>向甲方提交</w:t>
      </w:r>
      <w:r>
        <w:rPr>
          <w:rFonts w:hint="eastAsia" w:ascii="仿宋" w:hAnsi="仿宋" w:eastAsia="仿宋" w:cs="仿宋"/>
          <w:color w:val="auto"/>
          <w:lang w:eastAsia="zh-CN"/>
        </w:rPr>
        <w:t>调查报告</w:t>
      </w:r>
      <w:r>
        <w:rPr>
          <w:rFonts w:hint="eastAsia" w:ascii="仿宋" w:hAnsi="仿宋" w:eastAsia="仿宋" w:cs="仿宋"/>
          <w:color w:val="auto"/>
        </w:rPr>
        <w:t>；</w:t>
      </w:r>
    </w:p>
    <w:p w14:paraId="45001D3A">
      <w:pPr>
        <w:adjustRightInd w:val="0"/>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lang w:val="en-US" w:eastAsia="zh-CN"/>
        </w:rPr>
        <w:t>3</w:t>
      </w:r>
      <w:r>
        <w:rPr>
          <w:rFonts w:hint="eastAsia" w:ascii="仿宋" w:hAnsi="仿宋" w:eastAsia="仿宋" w:cs="仿宋"/>
          <w:color w:val="auto"/>
        </w:rPr>
        <w:t>、</w:t>
      </w:r>
      <w:r>
        <w:rPr>
          <w:rFonts w:hint="eastAsia" w:ascii="仿宋" w:hAnsi="仿宋" w:eastAsia="仿宋" w:cs="仿宋"/>
          <w:color w:val="auto"/>
          <w:lang w:val="en-US" w:eastAsia="zh-CN"/>
        </w:rPr>
        <w:t>乙</w:t>
      </w:r>
      <w:r>
        <w:rPr>
          <w:rFonts w:hint="eastAsia" w:ascii="仿宋" w:hAnsi="仿宋" w:eastAsia="仿宋" w:cs="仿宋"/>
          <w:color w:val="auto"/>
        </w:rPr>
        <w:t>方在</w:t>
      </w:r>
      <w:r>
        <w:rPr>
          <w:rFonts w:hint="eastAsia" w:ascii="仿宋" w:hAnsi="仿宋" w:eastAsia="仿宋" w:cs="仿宋"/>
          <w:bCs/>
          <w:color w:val="auto"/>
          <w:lang w:eastAsia="zh-CN"/>
        </w:rPr>
        <w:t>调查</w:t>
      </w:r>
      <w:r>
        <w:rPr>
          <w:rFonts w:hint="eastAsia" w:ascii="仿宋" w:hAnsi="仿宋" w:eastAsia="仿宋" w:cs="仿宋"/>
          <w:bCs/>
          <w:color w:val="auto"/>
        </w:rPr>
        <w:t>工作</w:t>
      </w:r>
      <w:r>
        <w:rPr>
          <w:rFonts w:hint="eastAsia" w:ascii="仿宋" w:hAnsi="仿宋" w:eastAsia="仿宋" w:cs="仿宋"/>
          <w:color w:val="auto"/>
        </w:rPr>
        <w:t>实施过程中遇到的相关技术问题，由</w:t>
      </w:r>
      <w:r>
        <w:rPr>
          <w:rFonts w:hint="eastAsia" w:ascii="仿宋" w:hAnsi="仿宋" w:eastAsia="仿宋" w:cs="仿宋"/>
          <w:color w:val="auto"/>
          <w:lang w:val="en-US" w:eastAsia="zh-CN"/>
        </w:rPr>
        <w:t>乙</w:t>
      </w:r>
      <w:r>
        <w:rPr>
          <w:rFonts w:hint="eastAsia" w:ascii="仿宋" w:hAnsi="仿宋" w:eastAsia="仿宋" w:cs="仿宋"/>
          <w:color w:val="auto"/>
        </w:rPr>
        <w:t>方通过电话或邮件等方式向</w:t>
      </w:r>
      <w:r>
        <w:rPr>
          <w:rFonts w:hint="eastAsia" w:ascii="仿宋" w:hAnsi="仿宋" w:eastAsia="仿宋" w:cs="仿宋"/>
          <w:color w:val="auto"/>
          <w:lang w:val="en-US" w:eastAsia="zh-CN"/>
        </w:rPr>
        <w:t>甲</w:t>
      </w:r>
      <w:r>
        <w:rPr>
          <w:rFonts w:hint="eastAsia" w:ascii="仿宋" w:hAnsi="仿宋" w:eastAsia="仿宋" w:cs="仿宋"/>
          <w:color w:val="auto"/>
        </w:rPr>
        <w:t>方提出咨询，</w:t>
      </w:r>
      <w:r>
        <w:rPr>
          <w:rFonts w:hint="eastAsia" w:ascii="仿宋" w:hAnsi="仿宋" w:eastAsia="仿宋" w:cs="仿宋"/>
          <w:color w:val="auto"/>
          <w:lang w:val="en-US" w:eastAsia="zh-CN"/>
        </w:rPr>
        <w:t>甲</w:t>
      </w:r>
      <w:r>
        <w:rPr>
          <w:rFonts w:hint="eastAsia" w:ascii="仿宋" w:hAnsi="仿宋" w:eastAsia="仿宋" w:cs="仿宋"/>
          <w:color w:val="auto"/>
        </w:rPr>
        <w:t>方将及时提供电话或邮件咨询服务。</w:t>
      </w:r>
    </w:p>
    <w:p w14:paraId="36D87731">
      <w:pPr>
        <w:adjustRightInd w:val="0"/>
        <w:snapToGrid w:val="0"/>
        <w:spacing w:line="360" w:lineRule="auto"/>
        <w:ind w:firstLine="420" w:firstLineChars="200"/>
        <w:rPr>
          <w:rFonts w:hint="eastAsia" w:ascii="仿宋" w:hAnsi="仿宋" w:eastAsia="仿宋" w:cs="仿宋"/>
          <w:bCs/>
          <w:color w:val="auto"/>
        </w:rPr>
      </w:pPr>
      <w:r>
        <w:rPr>
          <w:rFonts w:hint="eastAsia" w:ascii="仿宋" w:hAnsi="仿宋" w:eastAsia="仿宋" w:cs="仿宋"/>
          <w:bCs/>
          <w:color w:val="auto"/>
          <w:lang w:val="en-US" w:eastAsia="zh-CN"/>
        </w:rPr>
        <w:t>4</w:t>
      </w:r>
      <w:r>
        <w:rPr>
          <w:rFonts w:hint="eastAsia" w:ascii="仿宋" w:hAnsi="仿宋" w:eastAsia="仿宋" w:cs="仿宋"/>
          <w:bCs/>
          <w:color w:val="auto"/>
        </w:rPr>
        <w:t>、乙方应按以上服务承诺完成各阶段相关服务工作，如因下述问题影响乙方工作进度，乙方不承担相应责任。如下：</w:t>
      </w:r>
    </w:p>
    <w:p w14:paraId="342B399A">
      <w:pPr>
        <w:pStyle w:val="20"/>
        <w:numPr>
          <w:ilvl w:val="0"/>
          <w:numId w:val="9"/>
        </w:numPr>
        <w:adjustRightInd w:val="0"/>
        <w:snapToGrid w:val="0"/>
        <w:spacing w:line="360" w:lineRule="auto"/>
        <w:ind w:left="0" w:firstLine="480"/>
        <w:rPr>
          <w:rFonts w:hint="eastAsia" w:ascii="仿宋" w:hAnsi="仿宋" w:eastAsia="仿宋" w:cs="仿宋"/>
          <w:bCs/>
          <w:color w:val="auto"/>
        </w:rPr>
      </w:pPr>
      <w:r>
        <w:rPr>
          <w:rFonts w:hint="eastAsia" w:ascii="仿宋" w:hAnsi="仿宋" w:eastAsia="仿宋" w:cs="仿宋"/>
          <w:bCs/>
          <w:color w:val="auto"/>
        </w:rPr>
        <w:t>甲方无法向乙方提供开展</w:t>
      </w:r>
      <w:r>
        <w:rPr>
          <w:rFonts w:hint="eastAsia" w:ascii="仿宋" w:hAnsi="仿宋" w:eastAsia="仿宋" w:cs="仿宋"/>
          <w:bCs/>
          <w:color w:val="auto"/>
          <w:lang w:eastAsia="zh-CN"/>
        </w:rPr>
        <w:t>调查</w:t>
      </w:r>
      <w:r>
        <w:rPr>
          <w:rFonts w:hint="eastAsia" w:ascii="仿宋" w:hAnsi="仿宋" w:eastAsia="仿宋" w:cs="仿宋"/>
          <w:bCs/>
          <w:color w:val="auto"/>
        </w:rPr>
        <w:t>工作相关配合工作；</w:t>
      </w:r>
    </w:p>
    <w:p w14:paraId="2BF1538D">
      <w:pPr>
        <w:pStyle w:val="20"/>
        <w:numPr>
          <w:ilvl w:val="0"/>
          <w:numId w:val="9"/>
        </w:numPr>
        <w:adjustRightInd w:val="0"/>
        <w:snapToGrid w:val="0"/>
        <w:spacing w:line="360" w:lineRule="auto"/>
        <w:ind w:left="0" w:firstLine="480"/>
        <w:rPr>
          <w:rFonts w:hint="eastAsia" w:ascii="仿宋" w:hAnsi="仿宋" w:eastAsia="仿宋" w:cs="仿宋"/>
          <w:bCs/>
          <w:color w:val="auto"/>
        </w:rPr>
      </w:pPr>
      <w:r>
        <w:rPr>
          <w:rFonts w:hint="eastAsia" w:ascii="仿宋" w:hAnsi="仿宋" w:eastAsia="仿宋" w:cs="仿宋"/>
          <w:bCs/>
          <w:color w:val="auto"/>
        </w:rPr>
        <w:t>甲方未向乙方提供真实的</w:t>
      </w:r>
      <w:r>
        <w:rPr>
          <w:rFonts w:hint="eastAsia" w:ascii="仿宋" w:hAnsi="仿宋" w:eastAsia="仿宋" w:cs="仿宋"/>
          <w:bCs/>
          <w:color w:val="auto"/>
          <w:lang w:eastAsia="zh-CN"/>
        </w:rPr>
        <w:t>调查</w:t>
      </w:r>
      <w:r>
        <w:rPr>
          <w:rFonts w:hint="eastAsia" w:ascii="仿宋" w:hAnsi="仿宋" w:eastAsia="仿宋" w:cs="仿宋"/>
          <w:bCs/>
          <w:color w:val="auto"/>
        </w:rPr>
        <w:t>相关资料；</w:t>
      </w:r>
    </w:p>
    <w:p w14:paraId="55829F32">
      <w:pPr>
        <w:pStyle w:val="20"/>
        <w:numPr>
          <w:ilvl w:val="0"/>
          <w:numId w:val="9"/>
        </w:numPr>
        <w:adjustRightInd w:val="0"/>
        <w:snapToGrid w:val="0"/>
        <w:spacing w:line="360" w:lineRule="auto"/>
        <w:ind w:left="0" w:firstLine="480"/>
        <w:rPr>
          <w:rFonts w:hint="eastAsia" w:ascii="仿宋" w:hAnsi="仿宋" w:eastAsia="仿宋" w:cs="仿宋"/>
          <w:bCs/>
          <w:color w:val="auto"/>
        </w:rPr>
      </w:pPr>
      <w:r>
        <w:rPr>
          <w:rFonts w:hint="eastAsia" w:ascii="仿宋" w:hAnsi="仿宋" w:eastAsia="仿宋" w:cs="仿宋"/>
          <w:bCs/>
          <w:color w:val="auto"/>
        </w:rPr>
        <w:t>其他非乙方原因的问题。</w:t>
      </w:r>
    </w:p>
    <w:bookmarkEnd w:id="12"/>
    <w:p w14:paraId="34DBBF72">
      <w:pPr>
        <w:pStyle w:val="20"/>
        <w:adjustRightInd w:val="0"/>
        <w:spacing w:before="163" w:beforeLines="50" w:after="163" w:afterLines="50" w:line="288" w:lineRule="auto"/>
        <w:ind w:firstLine="0" w:firstLineChars="0"/>
        <w:contextualSpacing/>
        <w:outlineLvl w:val="1"/>
        <w:rPr>
          <w:rFonts w:hint="eastAsia" w:ascii="仿宋" w:hAnsi="仿宋" w:eastAsia="仿宋" w:cs="仿宋"/>
          <w:b/>
          <w:bCs/>
          <w:color w:val="auto"/>
        </w:rPr>
      </w:pPr>
      <w:bookmarkStart w:id="13" w:name="_Toc78604612"/>
      <w:r>
        <w:rPr>
          <w:rFonts w:hint="eastAsia" w:ascii="仿宋" w:hAnsi="仿宋" w:eastAsia="仿宋" w:cs="仿宋"/>
          <w:b/>
          <w:bCs/>
          <w:color w:val="auto"/>
        </w:rPr>
        <w:t>第七条 权利和义务</w:t>
      </w:r>
    </w:p>
    <w:p w14:paraId="3C81968F">
      <w:pPr>
        <w:adjustRightInd w:val="0"/>
        <w:snapToGrid w:val="0"/>
        <w:spacing w:line="360" w:lineRule="auto"/>
        <w:ind w:firstLine="420"/>
        <w:rPr>
          <w:rFonts w:hint="eastAsia" w:ascii="仿宋" w:hAnsi="仿宋" w:eastAsia="仿宋" w:cs="仿宋"/>
          <w:bCs/>
          <w:color w:val="auto"/>
        </w:rPr>
      </w:pPr>
      <w:r>
        <w:rPr>
          <w:rFonts w:hint="eastAsia" w:ascii="仿宋" w:hAnsi="仿宋" w:eastAsia="仿宋" w:cs="仿宋"/>
          <w:bCs/>
          <w:color w:val="auto"/>
        </w:rPr>
        <w:t>1、甲方的权利和义务</w:t>
      </w:r>
    </w:p>
    <w:p w14:paraId="74A29A90">
      <w:pPr>
        <w:pStyle w:val="20"/>
        <w:numPr>
          <w:ilvl w:val="0"/>
          <w:numId w:val="10"/>
        </w:numPr>
        <w:adjustRightInd w:val="0"/>
        <w:snapToGrid w:val="0"/>
        <w:spacing w:line="360" w:lineRule="auto"/>
        <w:ind w:firstLineChars="0"/>
        <w:rPr>
          <w:rFonts w:hint="eastAsia" w:ascii="仿宋" w:hAnsi="仿宋" w:eastAsia="仿宋" w:cs="仿宋"/>
          <w:bCs/>
          <w:color w:val="auto"/>
        </w:rPr>
      </w:pPr>
      <w:r>
        <w:rPr>
          <w:rFonts w:hint="eastAsia" w:ascii="仿宋" w:hAnsi="仿宋" w:eastAsia="仿宋" w:cs="仿宋"/>
          <w:bCs/>
          <w:color w:val="auto"/>
        </w:rPr>
        <w:t>安排专人协助乙方进行</w:t>
      </w:r>
      <w:r>
        <w:rPr>
          <w:rFonts w:hint="eastAsia" w:ascii="仿宋" w:hAnsi="仿宋" w:eastAsia="仿宋" w:cs="仿宋"/>
          <w:bCs/>
          <w:color w:val="auto"/>
          <w:lang w:eastAsia="zh-CN"/>
        </w:rPr>
        <w:t>调查</w:t>
      </w:r>
      <w:r>
        <w:rPr>
          <w:rFonts w:hint="eastAsia" w:ascii="仿宋" w:hAnsi="仿宋" w:eastAsia="仿宋" w:cs="仿宋"/>
          <w:bCs/>
          <w:color w:val="auto"/>
        </w:rPr>
        <w:t>工作；</w:t>
      </w:r>
    </w:p>
    <w:p w14:paraId="1ED16C12">
      <w:pPr>
        <w:pStyle w:val="20"/>
        <w:numPr>
          <w:ilvl w:val="0"/>
          <w:numId w:val="10"/>
        </w:numPr>
        <w:adjustRightInd w:val="0"/>
        <w:snapToGrid w:val="0"/>
        <w:spacing w:line="360" w:lineRule="auto"/>
        <w:ind w:firstLineChars="0"/>
        <w:rPr>
          <w:rFonts w:hint="eastAsia" w:ascii="仿宋" w:hAnsi="仿宋" w:eastAsia="仿宋" w:cs="仿宋"/>
          <w:bCs/>
          <w:color w:val="auto"/>
        </w:rPr>
      </w:pPr>
      <w:r>
        <w:rPr>
          <w:rFonts w:hint="eastAsia" w:ascii="仿宋" w:hAnsi="仿宋" w:eastAsia="仿宋" w:cs="仿宋"/>
          <w:bCs/>
          <w:color w:val="auto"/>
        </w:rPr>
        <w:t>向乙方提供</w:t>
      </w:r>
      <w:r>
        <w:rPr>
          <w:rFonts w:hint="eastAsia" w:ascii="仿宋" w:hAnsi="仿宋" w:eastAsia="仿宋" w:cs="仿宋"/>
          <w:bCs/>
          <w:color w:val="auto"/>
          <w:lang w:eastAsia="zh-CN"/>
        </w:rPr>
        <w:t>调查</w:t>
      </w:r>
      <w:r>
        <w:rPr>
          <w:rFonts w:hint="eastAsia" w:ascii="仿宋" w:hAnsi="仿宋" w:eastAsia="仿宋" w:cs="仿宋"/>
          <w:bCs/>
          <w:color w:val="auto"/>
        </w:rPr>
        <w:t>所需的真实、准确、完整的文件、资料；</w:t>
      </w:r>
    </w:p>
    <w:p w14:paraId="6349A4B8">
      <w:pPr>
        <w:pStyle w:val="20"/>
        <w:numPr>
          <w:ilvl w:val="0"/>
          <w:numId w:val="10"/>
        </w:numPr>
        <w:adjustRightInd w:val="0"/>
        <w:snapToGrid w:val="0"/>
        <w:spacing w:line="360" w:lineRule="auto"/>
        <w:ind w:firstLineChars="0"/>
        <w:rPr>
          <w:rFonts w:hint="eastAsia" w:ascii="仿宋" w:hAnsi="仿宋" w:eastAsia="仿宋" w:cs="仿宋"/>
          <w:bCs/>
          <w:color w:val="auto"/>
        </w:rPr>
      </w:pPr>
      <w:r>
        <w:rPr>
          <w:rFonts w:hint="eastAsia" w:ascii="仿宋" w:hAnsi="仿宋" w:eastAsia="仿宋" w:cs="仿宋"/>
          <w:bCs/>
          <w:color w:val="auto"/>
        </w:rPr>
        <w:t>按照本合同约定按时支付合同款项。</w:t>
      </w:r>
    </w:p>
    <w:p w14:paraId="4CE187A3">
      <w:pPr>
        <w:adjustRightInd w:val="0"/>
        <w:snapToGrid w:val="0"/>
        <w:spacing w:line="360" w:lineRule="auto"/>
        <w:ind w:firstLine="420"/>
        <w:rPr>
          <w:rFonts w:hint="eastAsia" w:ascii="仿宋" w:hAnsi="仿宋" w:eastAsia="仿宋" w:cs="仿宋"/>
          <w:bCs/>
          <w:color w:val="auto"/>
        </w:rPr>
      </w:pPr>
      <w:r>
        <w:rPr>
          <w:rFonts w:hint="eastAsia" w:ascii="仿宋" w:hAnsi="仿宋" w:eastAsia="仿宋" w:cs="仿宋"/>
          <w:bCs/>
          <w:color w:val="auto"/>
        </w:rPr>
        <w:t>2、乙方的权利和义务</w:t>
      </w:r>
    </w:p>
    <w:p w14:paraId="4B241146">
      <w:pPr>
        <w:pStyle w:val="20"/>
        <w:numPr>
          <w:ilvl w:val="0"/>
          <w:numId w:val="11"/>
        </w:numPr>
        <w:adjustRightInd w:val="0"/>
        <w:snapToGrid w:val="0"/>
        <w:spacing w:line="360" w:lineRule="auto"/>
        <w:ind w:firstLineChars="0"/>
        <w:rPr>
          <w:rFonts w:hint="eastAsia" w:ascii="仿宋" w:hAnsi="仿宋" w:eastAsia="仿宋" w:cs="仿宋"/>
          <w:bCs/>
          <w:color w:val="auto"/>
        </w:rPr>
      </w:pPr>
      <w:r>
        <w:rPr>
          <w:rFonts w:hint="eastAsia" w:ascii="仿宋" w:hAnsi="仿宋" w:eastAsia="仿宋" w:cs="仿宋"/>
          <w:bCs/>
          <w:color w:val="auto"/>
        </w:rPr>
        <w:t>负责按合同完成本项目的各项服务工作；</w:t>
      </w:r>
    </w:p>
    <w:p w14:paraId="78C284AD">
      <w:pPr>
        <w:pStyle w:val="20"/>
        <w:numPr>
          <w:ilvl w:val="0"/>
          <w:numId w:val="11"/>
        </w:numPr>
        <w:adjustRightInd w:val="0"/>
        <w:snapToGrid w:val="0"/>
        <w:spacing w:line="360" w:lineRule="auto"/>
        <w:ind w:firstLineChars="0"/>
        <w:rPr>
          <w:rFonts w:hint="eastAsia" w:ascii="仿宋" w:hAnsi="仿宋" w:eastAsia="仿宋" w:cs="仿宋"/>
          <w:bCs/>
          <w:color w:val="auto"/>
        </w:rPr>
      </w:pPr>
      <w:r>
        <w:rPr>
          <w:rFonts w:hint="eastAsia" w:ascii="仿宋" w:hAnsi="仿宋" w:eastAsia="仿宋" w:cs="仿宋"/>
          <w:bCs/>
          <w:color w:val="auto"/>
        </w:rPr>
        <w:t>负责按</w:t>
      </w:r>
      <w:r>
        <w:rPr>
          <w:rFonts w:hint="eastAsia" w:ascii="仿宋" w:hAnsi="仿宋" w:eastAsia="仿宋" w:cs="仿宋"/>
          <w:bCs/>
          <w:color w:val="auto"/>
          <w:lang w:eastAsia="zh-CN"/>
        </w:rPr>
        <w:t>调查</w:t>
      </w:r>
      <w:r>
        <w:rPr>
          <w:rFonts w:hint="eastAsia" w:ascii="仿宋" w:hAnsi="仿宋" w:eastAsia="仿宋" w:cs="仿宋"/>
          <w:bCs/>
          <w:color w:val="auto"/>
        </w:rPr>
        <w:t>相关标准要求，</w:t>
      </w:r>
      <w:r>
        <w:rPr>
          <w:rFonts w:hint="eastAsia" w:ascii="仿宋" w:hAnsi="仿宋" w:eastAsia="仿宋" w:cs="仿宋"/>
          <w:bCs/>
          <w:color w:val="auto"/>
          <w:lang w:eastAsia="zh-CN"/>
        </w:rPr>
        <w:t>开展调查</w:t>
      </w:r>
      <w:r>
        <w:rPr>
          <w:rFonts w:hint="eastAsia" w:ascii="仿宋" w:hAnsi="仿宋" w:eastAsia="仿宋" w:cs="仿宋"/>
          <w:bCs/>
          <w:color w:val="auto"/>
        </w:rPr>
        <w:t>工作。</w:t>
      </w:r>
    </w:p>
    <w:p w14:paraId="2C84A471">
      <w:pPr>
        <w:pStyle w:val="20"/>
        <w:numPr>
          <w:ilvl w:val="0"/>
          <w:numId w:val="11"/>
        </w:numPr>
        <w:adjustRightInd w:val="0"/>
        <w:snapToGrid w:val="0"/>
        <w:spacing w:line="360" w:lineRule="auto"/>
        <w:ind w:firstLineChars="0"/>
        <w:rPr>
          <w:rFonts w:hint="eastAsia" w:ascii="仿宋" w:hAnsi="仿宋" w:eastAsia="仿宋" w:cs="仿宋"/>
          <w:bCs/>
          <w:color w:val="auto"/>
        </w:rPr>
      </w:pPr>
      <w:r>
        <w:rPr>
          <w:rFonts w:hint="eastAsia" w:ascii="仿宋" w:hAnsi="仿宋" w:eastAsia="仿宋" w:cs="仿宋"/>
          <w:bCs/>
          <w:color w:val="auto"/>
        </w:rPr>
        <w:t>乙方保证向甲方提供的服务成果是其独立实施完成，不存在任何侵犯第三方专利权、商标权、著作权等合法权益的情形。</w:t>
      </w:r>
    </w:p>
    <w:bookmarkEnd w:id="13"/>
    <w:p w14:paraId="66AB03B1">
      <w:pPr>
        <w:pStyle w:val="20"/>
        <w:adjustRightInd w:val="0"/>
        <w:spacing w:before="163" w:beforeLines="50" w:after="163" w:afterLines="50" w:line="288" w:lineRule="auto"/>
        <w:ind w:firstLine="0" w:firstLineChars="0"/>
        <w:contextualSpacing/>
        <w:outlineLvl w:val="1"/>
        <w:rPr>
          <w:rFonts w:hint="eastAsia" w:ascii="仿宋" w:hAnsi="仿宋" w:eastAsia="仿宋" w:cs="仿宋"/>
          <w:b/>
          <w:bCs/>
          <w:color w:val="auto"/>
        </w:rPr>
      </w:pPr>
      <w:r>
        <w:rPr>
          <w:rFonts w:hint="eastAsia" w:ascii="仿宋" w:hAnsi="仿宋" w:eastAsia="仿宋" w:cs="仿宋"/>
          <w:b/>
          <w:bCs/>
          <w:color w:val="auto"/>
        </w:rPr>
        <w:t>第八条 违约责任</w:t>
      </w:r>
    </w:p>
    <w:p w14:paraId="5F93CB7C">
      <w:pPr>
        <w:adjustRightInd w:val="0"/>
        <w:snapToGrid w:val="0"/>
        <w:spacing w:line="360" w:lineRule="auto"/>
        <w:ind w:firstLine="420"/>
        <w:rPr>
          <w:rFonts w:hint="eastAsia" w:ascii="仿宋" w:hAnsi="仿宋" w:eastAsia="仿宋" w:cs="仿宋"/>
          <w:bCs/>
          <w:color w:val="auto"/>
        </w:rPr>
      </w:pPr>
      <w:r>
        <w:rPr>
          <w:rFonts w:hint="eastAsia" w:ascii="仿宋" w:hAnsi="仿宋" w:eastAsia="仿宋" w:cs="仿宋"/>
          <w:bCs/>
          <w:color w:val="auto"/>
        </w:rPr>
        <w:t>1、乙方未按</w:t>
      </w:r>
      <w:r>
        <w:rPr>
          <w:rFonts w:hint="eastAsia" w:ascii="仿宋" w:hAnsi="仿宋" w:eastAsia="仿宋" w:cs="仿宋"/>
          <w:bCs/>
          <w:color w:val="auto"/>
          <w:lang w:val="en-US" w:eastAsia="zh-CN"/>
        </w:rPr>
        <w:t>合同约定的期限提交调查报告</w:t>
      </w:r>
      <w:r>
        <w:rPr>
          <w:rFonts w:hint="eastAsia" w:ascii="仿宋" w:hAnsi="仿宋" w:eastAsia="仿宋" w:cs="仿宋"/>
          <w:bCs/>
          <w:color w:val="auto"/>
        </w:rPr>
        <w:t>时，须从违约之日起每日按合同总额的</w:t>
      </w:r>
      <w:r>
        <w:rPr>
          <w:rFonts w:hint="eastAsia" w:ascii="仿宋" w:hAnsi="仿宋" w:eastAsia="仿宋" w:cs="仿宋"/>
          <w:bCs/>
          <w:color w:val="auto"/>
          <w:lang w:val="en-US" w:eastAsia="zh-CN"/>
        </w:rPr>
        <w:t>0.</w:t>
      </w:r>
      <w:r>
        <w:rPr>
          <w:rFonts w:hint="eastAsia" w:ascii="仿宋" w:hAnsi="仿宋" w:eastAsia="仿宋" w:cs="仿宋"/>
          <w:bCs/>
          <w:color w:val="auto"/>
        </w:rPr>
        <w:t>2‰比例向甲方支付违约金；逾期15个工作日以上时，甲方有权终止合同，</w:t>
      </w:r>
      <w:r>
        <w:rPr>
          <w:rFonts w:hint="eastAsia" w:ascii="仿宋" w:hAnsi="仿宋" w:eastAsia="仿宋" w:cs="仿宋"/>
          <w:bCs/>
          <w:color w:val="auto"/>
          <w:lang w:val="en-US" w:eastAsia="zh-CN"/>
        </w:rPr>
        <w:t>乙方应向甲方支付合同总金额20%的违约金。</w:t>
      </w:r>
      <w:r>
        <w:rPr>
          <w:rFonts w:hint="eastAsia" w:ascii="仿宋" w:hAnsi="仿宋" w:eastAsia="仿宋" w:cs="仿宋"/>
          <w:bCs/>
          <w:color w:val="auto"/>
        </w:rPr>
        <w:t>违约金不足以弥补</w:t>
      </w:r>
      <w:r>
        <w:rPr>
          <w:rFonts w:hint="eastAsia" w:ascii="仿宋" w:hAnsi="仿宋" w:eastAsia="仿宋" w:cs="仿宋"/>
          <w:bCs/>
          <w:color w:val="auto"/>
          <w:lang w:val="en-US" w:eastAsia="zh-CN"/>
        </w:rPr>
        <w:t>甲方经济</w:t>
      </w:r>
      <w:r>
        <w:rPr>
          <w:rFonts w:hint="eastAsia" w:ascii="仿宋" w:hAnsi="仿宋" w:eastAsia="仿宋" w:cs="仿宋"/>
          <w:bCs/>
          <w:color w:val="auto"/>
        </w:rPr>
        <w:t>损失的，乙方应按全额赔偿；</w:t>
      </w:r>
    </w:p>
    <w:p w14:paraId="4013E057">
      <w:pPr>
        <w:adjustRightInd w:val="0"/>
        <w:snapToGrid w:val="0"/>
        <w:spacing w:line="360" w:lineRule="auto"/>
        <w:ind w:firstLine="420"/>
        <w:rPr>
          <w:rFonts w:hint="eastAsia" w:ascii="仿宋" w:hAnsi="仿宋" w:eastAsia="仿宋" w:cs="仿宋"/>
          <w:color w:val="auto"/>
          <w:lang w:val="en-US" w:eastAsia="zh-CN"/>
        </w:rPr>
      </w:pPr>
      <w:r>
        <w:rPr>
          <w:rFonts w:hint="eastAsia" w:ascii="仿宋" w:hAnsi="仿宋" w:eastAsia="仿宋" w:cs="仿宋"/>
          <w:color w:val="auto"/>
        </w:rPr>
        <w:t>2、甲方未按</w:t>
      </w:r>
      <w:r>
        <w:rPr>
          <w:rFonts w:hint="eastAsia" w:ascii="仿宋" w:hAnsi="仿宋" w:eastAsia="仿宋" w:cs="仿宋"/>
          <w:color w:val="auto"/>
          <w:lang w:val="en-US" w:eastAsia="zh-CN"/>
        </w:rPr>
        <w:t>合同约定的期限支付款项</w:t>
      </w:r>
      <w:r>
        <w:rPr>
          <w:rFonts w:hint="eastAsia" w:ascii="仿宋" w:hAnsi="仿宋" w:eastAsia="仿宋" w:cs="仿宋"/>
          <w:color w:val="auto"/>
        </w:rPr>
        <w:t>时或无故拖延验收时，</w:t>
      </w:r>
      <w:r>
        <w:rPr>
          <w:rFonts w:hint="eastAsia" w:ascii="仿宋" w:hAnsi="仿宋" w:eastAsia="仿宋" w:cs="仿宋"/>
          <w:color w:val="auto"/>
          <w:lang w:val="en-US" w:eastAsia="zh-CN"/>
        </w:rPr>
        <w:t>每逾期一日</w:t>
      </w:r>
      <w:r>
        <w:rPr>
          <w:rFonts w:hint="eastAsia" w:ascii="仿宋" w:hAnsi="仿宋" w:eastAsia="仿宋" w:cs="仿宋"/>
          <w:color w:val="auto"/>
        </w:rPr>
        <w:t>甲方须向乙方支付</w:t>
      </w:r>
      <w:r>
        <w:rPr>
          <w:rFonts w:hint="eastAsia" w:ascii="仿宋" w:hAnsi="仿宋" w:eastAsia="仿宋" w:cs="仿宋"/>
          <w:color w:val="auto"/>
          <w:lang w:val="en-US" w:eastAsia="zh-CN"/>
        </w:rPr>
        <w:t>应付款项总额0.2</w:t>
      </w:r>
      <w:r>
        <w:rPr>
          <w:rFonts w:hint="eastAsia" w:ascii="仿宋" w:hAnsi="仿宋" w:eastAsia="仿宋" w:cs="仿宋"/>
          <w:bCs/>
          <w:color w:val="auto"/>
        </w:rPr>
        <w:t>‰</w:t>
      </w:r>
      <w:r>
        <w:rPr>
          <w:rFonts w:hint="eastAsia" w:ascii="仿宋" w:hAnsi="仿宋" w:eastAsia="仿宋" w:cs="仿宋"/>
          <w:bCs/>
          <w:color w:val="auto"/>
          <w:lang w:val="en-US" w:eastAsia="zh-CN"/>
        </w:rPr>
        <w:t>比例的</w:t>
      </w:r>
      <w:r>
        <w:rPr>
          <w:rFonts w:hint="eastAsia" w:ascii="仿宋" w:hAnsi="仿宋" w:eastAsia="仿宋" w:cs="仿宋"/>
          <w:color w:val="auto"/>
          <w:lang w:val="en-US" w:eastAsia="zh-CN"/>
        </w:rPr>
        <w:t>违约</w:t>
      </w:r>
      <w:r>
        <w:rPr>
          <w:rFonts w:hint="eastAsia" w:ascii="仿宋" w:hAnsi="仿宋" w:eastAsia="仿宋" w:cs="仿宋"/>
          <w:color w:val="auto"/>
        </w:rPr>
        <w:t>金。</w:t>
      </w:r>
      <w:r>
        <w:rPr>
          <w:rFonts w:hint="eastAsia" w:ascii="仿宋" w:hAnsi="仿宋" w:eastAsia="仿宋" w:cs="仿宋"/>
          <w:color w:val="auto"/>
          <w:lang w:val="en-US" w:eastAsia="zh-CN"/>
        </w:rPr>
        <w:t>违约金不超过本合同总金额的5%。</w:t>
      </w:r>
    </w:p>
    <w:p w14:paraId="6A8178CF">
      <w:pPr>
        <w:adjustRightInd w:val="0"/>
        <w:snapToGrid w:val="0"/>
        <w:spacing w:line="360" w:lineRule="auto"/>
        <w:ind w:firstLine="420"/>
        <w:rPr>
          <w:rFonts w:hint="default" w:ascii="仿宋" w:hAnsi="仿宋" w:eastAsia="仿宋" w:cs="仿宋"/>
          <w:color w:val="auto"/>
          <w:lang w:val="en-US" w:eastAsia="zh-CN"/>
        </w:rPr>
      </w:pPr>
      <w:r>
        <w:rPr>
          <w:rFonts w:hint="eastAsia" w:ascii="仿宋" w:hAnsi="仿宋" w:eastAsia="仿宋" w:cs="仿宋"/>
          <w:color w:val="auto"/>
          <w:lang w:val="en-US" w:eastAsia="zh-CN"/>
        </w:rPr>
        <w:t>3.本合同项下乙方应付违约金或赔偿金的情形，均为甲方有权在未付款项中扣除，也可要求乙方另行支付。</w:t>
      </w:r>
    </w:p>
    <w:p w14:paraId="48198C20">
      <w:pPr>
        <w:pStyle w:val="20"/>
        <w:adjustRightInd w:val="0"/>
        <w:spacing w:before="163" w:beforeLines="50" w:after="163" w:afterLines="50" w:line="288" w:lineRule="auto"/>
        <w:ind w:firstLine="0" w:firstLineChars="0"/>
        <w:contextualSpacing/>
        <w:outlineLvl w:val="1"/>
        <w:rPr>
          <w:rFonts w:hint="eastAsia" w:ascii="仿宋" w:hAnsi="仿宋" w:eastAsia="仿宋" w:cs="仿宋"/>
          <w:b/>
          <w:bCs/>
          <w:color w:val="auto"/>
        </w:rPr>
      </w:pPr>
      <w:r>
        <w:rPr>
          <w:rFonts w:hint="eastAsia" w:ascii="仿宋" w:hAnsi="仿宋" w:eastAsia="仿宋" w:cs="仿宋"/>
          <w:b/>
          <w:bCs/>
          <w:color w:val="auto"/>
        </w:rPr>
        <w:t>第九条 争议的解决</w:t>
      </w:r>
    </w:p>
    <w:p w14:paraId="1765AF76">
      <w:pPr>
        <w:adjustRightInd w:val="0"/>
        <w:snapToGrid w:val="0"/>
        <w:spacing w:line="360" w:lineRule="auto"/>
        <w:ind w:firstLine="420"/>
        <w:rPr>
          <w:rFonts w:hint="eastAsia" w:ascii="仿宋" w:hAnsi="仿宋" w:eastAsia="仿宋" w:cs="仿宋"/>
          <w:bCs/>
          <w:color w:val="auto"/>
        </w:rPr>
      </w:pPr>
      <w:r>
        <w:rPr>
          <w:rFonts w:hint="eastAsia" w:ascii="仿宋" w:hAnsi="仿宋" w:eastAsia="仿宋" w:cs="仿宋"/>
          <w:bCs/>
          <w:color w:val="auto"/>
        </w:rPr>
        <w:t>1、合同履行过程中发生的任何争议，如双方未能通过友好协商解决，应向</w:t>
      </w:r>
      <w:r>
        <w:rPr>
          <w:rFonts w:hint="eastAsia" w:ascii="仿宋" w:hAnsi="仿宋" w:eastAsia="仿宋" w:cs="仿宋"/>
          <w:bCs/>
          <w:color w:val="auto"/>
          <w:lang w:val="en-US" w:eastAsia="zh-CN"/>
        </w:rPr>
        <w:t>甲方所在地</w:t>
      </w:r>
      <w:r>
        <w:rPr>
          <w:rFonts w:hint="eastAsia" w:ascii="仿宋" w:hAnsi="仿宋" w:eastAsia="仿宋" w:cs="仿宋"/>
          <w:bCs/>
          <w:color w:val="auto"/>
        </w:rPr>
        <w:t>人民法院提起诉讼</w:t>
      </w:r>
      <w:r>
        <w:rPr>
          <w:rFonts w:hint="eastAsia" w:ascii="仿宋" w:hAnsi="仿宋" w:eastAsia="仿宋" w:cs="仿宋"/>
          <w:bCs/>
          <w:color w:val="auto"/>
          <w:lang w:eastAsia="zh-CN"/>
        </w:rPr>
        <w:t>。</w:t>
      </w:r>
      <w:r>
        <w:rPr>
          <w:rFonts w:hint="eastAsia" w:ascii="仿宋" w:hAnsi="仿宋" w:eastAsia="仿宋" w:cs="仿宋"/>
          <w:bCs/>
          <w:color w:val="auto"/>
        </w:rPr>
        <w:t>守约方为解决纠纷、争议而产生的维权费用，包括且不限于律师费、诉讼费、保全费、担保费、鉴定费、交通费等合理维权费用，均由违约方承担。</w:t>
      </w:r>
    </w:p>
    <w:p w14:paraId="76A729B6">
      <w:pPr>
        <w:adjustRightInd w:val="0"/>
        <w:snapToGrid w:val="0"/>
        <w:spacing w:line="360" w:lineRule="auto"/>
        <w:ind w:firstLine="420"/>
        <w:rPr>
          <w:rFonts w:hint="eastAsia" w:ascii="仿宋" w:hAnsi="仿宋" w:eastAsia="仿宋" w:cs="仿宋"/>
          <w:color w:val="auto"/>
        </w:rPr>
      </w:pPr>
      <w:r>
        <w:rPr>
          <w:rFonts w:hint="eastAsia" w:ascii="仿宋" w:hAnsi="仿宋" w:eastAsia="仿宋" w:cs="仿宋"/>
          <w:color w:val="auto"/>
        </w:rPr>
        <w:t>2、法院审理期间，除提交法院审理的事项外，其它无争议的事项和条款仍应继续履行。</w:t>
      </w:r>
      <w:bookmarkStart w:id="14" w:name="_Toc78604613"/>
    </w:p>
    <w:p w14:paraId="71B38AEB">
      <w:pPr>
        <w:pStyle w:val="20"/>
        <w:adjustRightInd w:val="0"/>
        <w:spacing w:before="163" w:beforeLines="50" w:after="163" w:afterLines="50" w:line="288" w:lineRule="auto"/>
        <w:ind w:firstLine="0" w:firstLineChars="0"/>
        <w:contextualSpacing/>
        <w:outlineLvl w:val="1"/>
        <w:rPr>
          <w:rFonts w:hint="eastAsia" w:ascii="仿宋" w:hAnsi="仿宋" w:eastAsia="仿宋" w:cs="仿宋"/>
          <w:b/>
          <w:bCs/>
          <w:color w:val="auto"/>
        </w:rPr>
      </w:pPr>
      <w:r>
        <w:rPr>
          <w:rFonts w:hint="eastAsia" w:ascii="仿宋" w:hAnsi="仿宋" w:eastAsia="仿宋" w:cs="仿宋"/>
          <w:b/>
          <w:bCs/>
          <w:color w:val="auto"/>
        </w:rPr>
        <w:t>第十条 保密条款</w:t>
      </w:r>
    </w:p>
    <w:p w14:paraId="5A0649A8">
      <w:pPr>
        <w:adjustRightInd w:val="0"/>
        <w:snapToGrid w:val="0"/>
        <w:spacing w:line="360" w:lineRule="auto"/>
        <w:ind w:firstLine="420" w:firstLineChars="200"/>
        <w:rPr>
          <w:rFonts w:hint="eastAsia" w:ascii="仿宋" w:hAnsi="仿宋" w:eastAsia="仿宋" w:cs="仿宋"/>
          <w:color w:val="auto"/>
        </w:rPr>
      </w:pPr>
      <w:r>
        <w:rPr>
          <w:rFonts w:hint="eastAsia" w:ascii="仿宋" w:hAnsi="仿宋" w:eastAsia="仿宋" w:cs="仿宋"/>
          <w:color w:val="auto"/>
          <w:lang w:val="en-US" w:eastAsia="zh-CN"/>
        </w:rPr>
        <w:t>1、甲</w:t>
      </w:r>
      <w:r>
        <w:rPr>
          <w:rFonts w:hint="eastAsia" w:ascii="仿宋" w:hAnsi="仿宋" w:eastAsia="仿宋" w:cs="仿宋"/>
          <w:color w:val="auto"/>
        </w:rPr>
        <w:t>乙方必须如约承担合同履行时所应该尽的一切保密义务。</w:t>
      </w:r>
      <w:r>
        <w:rPr>
          <w:rFonts w:hint="eastAsia" w:ascii="仿宋" w:hAnsi="仿宋" w:eastAsia="仿宋" w:cs="仿宋"/>
          <w:color w:val="auto"/>
          <w:lang w:val="en-US" w:eastAsia="zh-CN"/>
        </w:rPr>
        <w:t>双</w:t>
      </w:r>
      <w:r>
        <w:rPr>
          <w:rFonts w:hint="eastAsia" w:ascii="仿宋" w:hAnsi="仿宋" w:eastAsia="仿宋" w:cs="仿宋"/>
          <w:color w:val="auto"/>
        </w:rPr>
        <w:t>方对项目实施过程中的资料、数据进行保密，保密责任不因合同的中止或解除而失效。</w:t>
      </w:r>
    </w:p>
    <w:p w14:paraId="548D8E9F">
      <w:pPr>
        <w:adjustRightInd w:val="0"/>
        <w:snapToGrid w:val="0"/>
        <w:spacing w:line="360" w:lineRule="auto"/>
        <w:ind w:firstLine="420" w:firstLineChars="200"/>
        <w:rPr>
          <w:rFonts w:hint="default" w:ascii="仿宋" w:hAnsi="仿宋" w:eastAsia="仿宋" w:cs="仿宋"/>
          <w:color w:val="auto"/>
          <w:lang w:val="en-US" w:eastAsia="zh-CN"/>
        </w:rPr>
      </w:pPr>
      <w:r>
        <w:rPr>
          <w:rFonts w:hint="eastAsia" w:ascii="仿宋" w:hAnsi="仿宋" w:eastAsia="仿宋" w:cs="仿宋"/>
          <w:color w:val="auto"/>
          <w:lang w:val="en-US" w:eastAsia="zh-CN"/>
        </w:rPr>
        <w:t>2、如乙方未能遵守保密义务造成泄密的，甲方可依据有关规定追究乙方的责任。因乙方的泄密行为导致甲方被追究法律责任的，甲方在承担责任后有权向乙方追偿所产生的一切经济损失，同时乙方须向甲方支付合同总金额20%的违约金。</w:t>
      </w:r>
    </w:p>
    <w:bookmarkEnd w:id="14"/>
    <w:p w14:paraId="55754969">
      <w:pPr>
        <w:pStyle w:val="20"/>
        <w:adjustRightInd w:val="0"/>
        <w:spacing w:before="163" w:beforeLines="50" w:after="163" w:afterLines="50" w:line="288" w:lineRule="auto"/>
        <w:ind w:firstLine="0" w:firstLineChars="0"/>
        <w:contextualSpacing/>
        <w:outlineLvl w:val="1"/>
        <w:rPr>
          <w:rFonts w:hint="eastAsia" w:ascii="仿宋" w:hAnsi="仿宋" w:eastAsia="仿宋" w:cs="仿宋"/>
          <w:b/>
          <w:bCs/>
          <w:color w:val="auto"/>
        </w:rPr>
      </w:pPr>
      <w:bookmarkStart w:id="15" w:name="_Toc78604616"/>
      <w:r>
        <w:rPr>
          <w:rFonts w:hint="eastAsia" w:ascii="仿宋" w:hAnsi="仿宋" w:eastAsia="仿宋" w:cs="仿宋"/>
          <w:b/>
          <w:bCs/>
          <w:color w:val="auto"/>
        </w:rPr>
        <w:t>第十一条 不可抗力</w:t>
      </w:r>
      <w:bookmarkEnd w:id="15"/>
    </w:p>
    <w:p w14:paraId="18C0F1A3">
      <w:pPr>
        <w:adjustRightInd w:val="0"/>
        <w:snapToGrid w:val="0"/>
        <w:spacing w:line="360" w:lineRule="auto"/>
        <w:ind w:firstLine="420" w:firstLineChars="200"/>
        <w:rPr>
          <w:rFonts w:hint="eastAsia" w:ascii="仿宋" w:hAnsi="仿宋" w:eastAsia="仿宋" w:cs="仿宋"/>
          <w:bCs/>
          <w:color w:val="auto"/>
        </w:rPr>
      </w:pPr>
      <w:r>
        <w:rPr>
          <w:rFonts w:hint="eastAsia" w:ascii="仿宋" w:hAnsi="仿宋" w:eastAsia="仿宋" w:cs="仿宋"/>
          <w:bCs/>
          <w:color w:val="auto"/>
        </w:rPr>
        <w:t>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p>
    <w:p w14:paraId="112C38D4">
      <w:pPr>
        <w:pStyle w:val="20"/>
        <w:adjustRightInd w:val="0"/>
        <w:spacing w:before="163" w:beforeLines="50" w:after="163" w:afterLines="50" w:line="288" w:lineRule="auto"/>
        <w:ind w:firstLine="0" w:firstLineChars="0"/>
        <w:contextualSpacing/>
        <w:outlineLvl w:val="1"/>
        <w:rPr>
          <w:rFonts w:hint="eastAsia" w:ascii="仿宋" w:hAnsi="仿宋" w:eastAsia="仿宋" w:cs="仿宋"/>
          <w:b/>
          <w:bCs/>
          <w:color w:val="auto"/>
        </w:rPr>
      </w:pPr>
      <w:bookmarkStart w:id="16" w:name="_Toc78604618"/>
      <w:r>
        <w:rPr>
          <w:rFonts w:hint="eastAsia" w:ascii="仿宋" w:hAnsi="仿宋" w:eastAsia="仿宋" w:cs="仿宋"/>
          <w:b/>
          <w:bCs/>
          <w:color w:val="auto"/>
        </w:rPr>
        <w:t>第十二条 合同生效</w:t>
      </w:r>
      <w:bookmarkEnd w:id="16"/>
      <w:bookmarkStart w:id="17" w:name="_Toc78604619"/>
      <w:r>
        <w:rPr>
          <w:rFonts w:hint="eastAsia" w:ascii="仿宋" w:hAnsi="仿宋" w:eastAsia="仿宋" w:cs="仿宋"/>
          <w:b/>
          <w:bCs/>
          <w:color w:val="auto"/>
        </w:rPr>
        <w:t>、终止</w:t>
      </w:r>
    </w:p>
    <w:p w14:paraId="65EB9205">
      <w:pPr>
        <w:adjustRightInd w:val="0"/>
        <w:snapToGrid w:val="0"/>
        <w:spacing w:line="360" w:lineRule="auto"/>
        <w:ind w:firstLine="411" w:firstLineChars="196"/>
        <w:rPr>
          <w:rFonts w:hint="eastAsia" w:ascii="仿宋" w:hAnsi="仿宋" w:eastAsia="仿宋" w:cs="仿宋"/>
          <w:b/>
          <w:bCs/>
          <w:color w:val="auto"/>
        </w:rPr>
      </w:pPr>
      <w:r>
        <w:rPr>
          <w:rFonts w:hint="eastAsia" w:ascii="仿宋" w:hAnsi="仿宋" w:eastAsia="仿宋" w:cs="仿宋"/>
          <w:color w:val="auto"/>
        </w:rPr>
        <w:t>本合同在甲乙双方</w:t>
      </w:r>
      <w:r>
        <w:rPr>
          <w:rFonts w:hint="eastAsia" w:ascii="仿宋" w:hAnsi="仿宋" w:eastAsia="仿宋" w:cs="仿宋"/>
          <w:color w:val="auto"/>
          <w:lang w:val="en-US" w:eastAsia="zh-CN"/>
        </w:rPr>
        <w:t>法定</w:t>
      </w:r>
      <w:r>
        <w:rPr>
          <w:rFonts w:hint="eastAsia" w:ascii="仿宋" w:hAnsi="仿宋" w:eastAsia="仿宋" w:cs="仿宋"/>
          <w:color w:val="auto"/>
        </w:rPr>
        <w:t>代表</w:t>
      </w:r>
      <w:r>
        <w:rPr>
          <w:rFonts w:hint="eastAsia" w:ascii="仿宋" w:hAnsi="仿宋" w:eastAsia="仿宋" w:cs="仿宋"/>
          <w:color w:val="auto"/>
          <w:lang w:val="en-US" w:eastAsia="zh-CN"/>
        </w:rPr>
        <w:t>人或委托代理人</w:t>
      </w:r>
      <w:r>
        <w:rPr>
          <w:rFonts w:hint="eastAsia" w:ascii="仿宋" w:hAnsi="仿宋" w:eastAsia="仿宋" w:cs="仿宋"/>
          <w:color w:val="auto"/>
        </w:rPr>
        <w:t>签字</w:t>
      </w:r>
      <w:r>
        <w:rPr>
          <w:rFonts w:hint="eastAsia" w:ascii="仿宋" w:hAnsi="仿宋" w:eastAsia="仿宋" w:cs="仿宋"/>
          <w:color w:val="auto"/>
          <w:lang w:val="en-US" w:eastAsia="zh-CN"/>
        </w:rPr>
        <w:t>且</w:t>
      </w:r>
      <w:r>
        <w:rPr>
          <w:rFonts w:hint="eastAsia" w:ascii="仿宋" w:hAnsi="仿宋" w:eastAsia="仿宋" w:cs="仿宋"/>
          <w:color w:val="auto"/>
        </w:rPr>
        <w:t>盖章确认之日起生效，合同服务到期或在乙方完成本合同所有服务内容并收到甲方所有款项之日起本合同终止。</w:t>
      </w:r>
    </w:p>
    <w:p w14:paraId="5266CE39">
      <w:pPr>
        <w:pStyle w:val="20"/>
        <w:adjustRightInd w:val="0"/>
        <w:spacing w:before="163" w:beforeLines="50" w:after="163" w:afterLines="50" w:line="288" w:lineRule="auto"/>
        <w:ind w:firstLine="0" w:firstLineChars="0"/>
        <w:contextualSpacing/>
        <w:outlineLvl w:val="1"/>
        <w:rPr>
          <w:rFonts w:hint="eastAsia" w:ascii="仿宋" w:hAnsi="仿宋" w:eastAsia="仿宋" w:cs="仿宋"/>
          <w:b/>
          <w:bCs/>
          <w:color w:val="auto"/>
        </w:rPr>
      </w:pPr>
      <w:r>
        <w:rPr>
          <w:rFonts w:hint="eastAsia" w:ascii="仿宋" w:hAnsi="仿宋" w:eastAsia="仿宋" w:cs="仿宋"/>
          <w:b/>
          <w:bCs/>
          <w:color w:val="auto"/>
        </w:rPr>
        <w:t>第十三条 其他</w:t>
      </w:r>
    </w:p>
    <w:bookmarkEnd w:id="17"/>
    <w:p w14:paraId="46F09D7D">
      <w:pPr>
        <w:adjustRightInd w:val="0"/>
        <w:snapToGrid w:val="0"/>
        <w:spacing w:line="360" w:lineRule="auto"/>
        <w:ind w:firstLine="420"/>
        <w:rPr>
          <w:rFonts w:hint="eastAsia" w:ascii="仿宋" w:hAnsi="仿宋" w:eastAsia="仿宋" w:cs="仿宋"/>
          <w:color w:val="auto"/>
        </w:rPr>
      </w:pPr>
      <w:r>
        <w:rPr>
          <w:rFonts w:hint="eastAsia" w:ascii="仿宋" w:hAnsi="仿宋" w:eastAsia="仿宋" w:cs="仿宋"/>
          <w:color w:val="auto"/>
        </w:rPr>
        <w:t>1、本合同未尽事宜，合同各方另行商定，必要时签订补充合同协议。补充协议经合同各方签字盖章后作为本合同补充文件。</w:t>
      </w:r>
    </w:p>
    <w:p w14:paraId="6855056B">
      <w:pPr>
        <w:adjustRightInd w:val="0"/>
        <w:snapToGrid w:val="0"/>
        <w:spacing w:line="360" w:lineRule="auto"/>
        <w:ind w:firstLine="420"/>
        <w:rPr>
          <w:rFonts w:hint="eastAsia" w:ascii="仿宋" w:hAnsi="仿宋" w:eastAsia="仿宋" w:cs="仿宋"/>
          <w:color w:val="auto"/>
        </w:rPr>
      </w:pPr>
      <w:r>
        <w:rPr>
          <w:rFonts w:hint="eastAsia" w:ascii="仿宋" w:hAnsi="仿宋" w:eastAsia="仿宋" w:cs="仿宋"/>
          <w:color w:val="auto"/>
        </w:rPr>
        <w:t>2、本合同一式</w:t>
      </w:r>
      <w:r>
        <w:rPr>
          <w:rFonts w:hint="eastAsia" w:ascii="仿宋" w:hAnsi="仿宋" w:eastAsia="仿宋" w:cs="仿宋"/>
          <w:color w:val="auto"/>
          <w:lang w:val="en-US" w:eastAsia="zh-CN"/>
        </w:rPr>
        <w:t>三</w:t>
      </w:r>
      <w:r>
        <w:rPr>
          <w:rFonts w:hint="eastAsia" w:ascii="仿宋" w:hAnsi="仿宋" w:eastAsia="仿宋" w:cs="仿宋"/>
          <w:color w:val="auto"/>
        </w:rPr>
        <w:t>份，甲方执</w:t>
      </w:r>
      <w:r>
        <w:rPr>
          <w:rFonts w:hint="eastAsia" w:ascii="仿宋" w:hAnsi="仿宋" w:eastAsia="仿宋" w:cs="仿宋"/>
          <w:color w:val="auto"/>
          <w:lang w:val="en-US" w:eastAsia="zh-CN"/>
        </w:rPr>
        <w:t>两</w:t>
      </w:r>
      <w:r>
        <w:rPr>
          <w:rFonts w:hint="eastAsia" w:ascii="仿宋" w:hAnsi="仿宋" w:eastAsia="仿宋" w:cs="仿宋"/>
          <w:color w:val="auto"/>
        </w:rPr>
        <w:t>份、乙方执一份。传真件有效。</w:t>
      </w:r>
    </w:p>
    <w:p w14:paraId="3C6997BE">
      <w:pPr>
        <w:adjustRightInd w:val="0"/>
        <w:snapToGrid w:val="0"/>
        <w:spacing w:line="360" w:lineRule="auto"/>
        <w:ind w:firstLine="420"/>
        <w:rPr>
          <w:rFonts w:hint="eastAsia" w:ascii="仿宋" w:hAnsi="仿宋" w:eastAsia="仿宋" w:cs="仿宋"/>
          <w:color w:val="auto"/>
        </w:rPr>
      </w:pPr>
      <w:r>
        <w:rPr>
          <w:rFonts w:hint="eastAsia" w:ascii="仿宋" w:hAnsi="仿宋" w:eastAsia="仿宋" w:cs="仿宋"/>
          <w:color w:val="auto"/>
        </w:rPr>
        <w:t>3、双方确认本合同</w:t>
      </w:r>
      <w:r>
        <w:rPr>
          <w:rFonts w:hint="eastAsia" w:ascii="仿宋" w:hAnsi="仿宋" w:eastAsia="仿宋" w:cs="仿宋"/>
          <w:color w:val="auto"/>
          <w:lang w:val="en-US" w:eastAsia="zh-CN"/>
        </w:rPr>
        <w:t>签署页</w:t>
      </w:r>
      <w:r>
        <w:rPr>
          <w:rFonts w:hint="eastAsia" w:ascii="仿宋" w:hAnsi="仿宋" w:eastAsia="仿宋" w:cs="仿宋"/>
          <w:color w:val="auto"/>
        </w:rPr>
        <w:t>所提供的通讯地址、联系方式等通讯信息均有效，一方及有关单位（包括但不限于人民法院、仲裁委员会、公证处）按此地址发出信函、文书等材料即视为相对方收到。如一方地址、电话、传真号码有变更，应在变更当日内书面通知对方，否则应承担相应责任。</w:t>
      </w:r>
    </w:p>
    <w:p w14:paraId="6908C5A6">
      <w:pPr>
        <w:adjustRightInd w:val="0"/>
        <w:snapToGrid w:val="0"/>
        <w:spacing w:line="36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以下无正文：</w:t>
      </w:r>
    </w:p>
    <w:p w14:paraId="09C01066">
      <w:pPr>
        <w:bidi w:val="0"/>
        <w:rPr>
          <w:rFonts w:hint="eastAsia"/>
        </w:rPr>
      </w:pPr>
    </w:p>
    <w:tbl>
      <w:tblPr>
        <w:tblStyle w:val="14"/>
        <w:tblW w:w="9202" w:type="dxa"/>
        <w:jc w:val="center"/>
        <w:tblLayout w:type="fixed"/>
        <w:tblCellMar>
          <w:top w:w="0" w:type="dxa"/>
          <w:left w:w="108" w:type="dxa"/>
          <w:bottom w:w="0" w:type="dxa"/>
          <w:right w:w="108" w:type="dxa"/>
        </w:tblCellMar>
      </w:tblPr>
      <w:tblGrid>
        <w:gridCol w:w="4532"/>
        <w:gridCol w:w="4670"/>
      </w:tblGrid>
      <w:tr w14:paraId="3F6F3539">
        <w:tblPrEx>
          <w:tblCellMar>
            <w:top w:w="0" w:type="dxa"/>
            <w:left w:w="108" w:type="dxa"/>
            <w:bottom w:w="0" w:type="dxa"/>
            <w:right w:w="108" w:type="dxa"/>
          </w:tblCellMar>
        </w:tblPrEx>
        <w:trPr>
          <w:trHeight w:val="2451" w:hRule="atLeast"/>
          <w:jc w:val="center"/>
        </w:trPr>
        <w:tc>
          <w:tcPr>
            <w:tcW w:w="4532" w:type="dxa"/>
            <w:noWrap w:val="0"/>
            <w:vAlign w:val="top"/>
          </w:tcPr>
          <w:p w14:paraId="49F0B5EA">
            <w:pPr>
              <w:adjustRightInd w:val="0"/>
              <w:snapToGrid w:val="0"/>
              <w:spacing w:line="480" w:lineRule="auto"/>
              <w:rPr>
                <w:rFonts w:hint="eastAsia" w:ascii="仿宋" w:hAnsi="仿宋" w:eastAsia="仿宋" w:cs="仿宋"/>
                <w:color w:val="auto"/>
                <w:highlight w:val="none"/>
              </w:rPr>
            </w:pPr>
            <w:r>
              <w:rPr>
                <w:rFonts w:hint="eastAsia" w:ascii="仿宋" w:hAnsi="仿宋" w:eastAsia="仿宋" w:cs="仿宋"/>
                <w:color w:val="auto"/>
                <w:highlight w:val="none"/>
              </w:rPr>
              <w:t>甲方(盖章)：</w:t>
            </w:r>
          </w:p>
          <w:p w14:paraId="6643BEBD">
            <w:pPr>
              <w:adjustRightInd w:val="0"/>
              <w:snapToGrid w:val="0"/>
              <w:spacing w:line="480" w:lineRule="auto"/>
              <w:rPr>
                <w:rFonts w:hint="eastAsia" w:ascii="仿宋" w:hAnsi="仿宋" w:eastAsia="仿宋" w:cs="仿宋"/>
                <w:color w:val="auto"/>
              </w:rPr>
            </w:pPr>
            <w:r>
              <w:rPr>
                <w:rFonts w:hint="eastAsia" w:ascii="仿宋" w:hAnsi="仿宋" w:eastAsia="仿宋" w:cs="仿宋"/>
                <w:color w:val="auto"/>
                <w:lang w:val="en-US" w:eastAsia="zh-CN"/>
              </w:rPr>
              <w:t>法定代表人或委托代理人</w:t>
            </w:r>
            <w:r>
              <w:rPr>
                <w:rFonts w:hint="eastAsia" w:ascii="仿宋" w:hAnsi="仿宋" w:eastAsia="仿宋" w:cs="仿宋"/>
                <w:color w:val="auto"/>
              </w:rPr>
              <w:t>：</w:t>
            </w:r>
          </w:p>
          <w:p w14:paraId="7DC287E3">
            <w:pPr>
              <w:adjustRightInd w:val="0"/>
              <w:snapToGrid w:val="0"/>
              <w:spacing w:line="480" w:lineRule="auto"/>
              <w:rPr>
                <w:rFonts w:hint="eastAsia" w:ascii="仿宋" w:hAnsi="仿宋" w:eastAsia="仿宋" w:cs="仿宋"/>
                <w:color w:val="auto"/>
                <w:highlight w:val="none"/>
              </w:rPr>
            </w:pPr>
            <w:r>
              <w:rPr>
                <w:rFonts w:hint="eastAsia" w:ascii="仿宋" w:hAnsi="仿宋" w:eastAsia="仿宋" w:cs="仿宋"/>
                <w:color w:val="auto"/>
              </w:rPr>
              <w:t>签约时间：  年   月   日</w:t>
            </w:r>
          </w:p>
          <w:p w14:paraId="04222C5C">
            <w:pPr>
              <w:adjustRightInd w:val="0"/>
              <w:snapToGrid w:val="0"/>
              <w:spacing w:line="480" w:lineRule="auto"/>
              <w:rPr>
                <w:rFonts w:hint="eastAsia" w:ascii="仿宋" w:hAnsi="仿宋" w:eastAsia="仿宋" w:cs="仿宋"/>
                <w:color w:val="auto"/>
                <w:highlight w:val="none"/>
              </w:rPr>
            </w:pPr>
            <w:r>
              <w:rPr>
                <w:rFonts w:hint="eastAsia" w:ascii="仿宋" w:hAnsi="仿宋" w:eastAsia="仿宋" w:cs="仿宋"/>
                <w:color w:val="auto"/>
                <w:highlight w:val="none"/>
              </w:rPr>
              <w:t>地址：</w:t>
            </w:r>
          </w:p>
          <w:p w14:paraId="7354313F">
            <w:pPr>
              <w:adjustRightInd w:val="0"/>
              <w:snapToGrid w:val="0"/>
              <w:spacing w:line="480" w:lineRule="auto"/>
              <w:rPr>
                <w:rFonts w:hint="eastAsia" w:ascii="仿宋" w:hAnsi="仿宋" w:eastAsia="仿宋" w:cs="仿宋"/>
                <w:color w:val="auto"/>
                <w:highlight w:val="none"/>
              </w:rPr>
            </w:pPr>
            <w:r>
              <w:rPr>
                <w:rFonts w:hint="eastAsia" w:ascii="仿宋" w:hAnsi="仿宋" w:eastAsia="仿宋" w:cs="仿宋"/>
                <w:color w:val="auto"/>
                <w:highlight w:val="none"/>
              </w:rPr>
              <w:t>电话：</w:t>
            </w:r>
          </w:p>
          <w:p w14:paraId="06703C93">
            <w:pPr>
              <w:adjustRightInd w:val="0"/>
              <w:snapToGrid w:val="0"/>
              <w:spacing w:line="480" w:lineRule="auto"/>
              <w:rPr>
                <w:rFonts w:hint="eastAsia" w:ascii="仿宋" w:hAnsi="仿宋" w:eastAsia="仿宋" w:cs="仿宋"/>
                <w:color w:val="auto"/>
              </w:rPr>
            </w:pPr>
            <w:r>
              <w:rPr>
                <w:rFonts w:hint="eastAsia" w:ascii="仿宋" w:hAnsi="仿宋" w:eastAsia="仿宋" w:cs="仿宋"/>
                <w:color w:val="auto"/>
                <w:highlight w:val="none"/>
              </w:rPr>
              <w:t>传真：</w:t>
            </w:r>
          </w:p>
        </w:tc>
        <w:tc>
          <w:tcPr>
            <w:tcW w:w="4670" w:type="dxa"/>
            <w:noWrap w:val="0"/>
            <w:vAlign w:val="top"/>
          </w:tcPr>
          <w:p w14:paraId="252BE0F9">
            <w:pPr>
              <w:adjustRightInd w:val="0"/>
              <w:snapToGrid w:val="0"/>
              <w:spacing w:line="480" w:lineRule="auto"/>
              <w:rPr>
                <w:rFonts w:hint="eastAsia" w:ascii="仿宋" w:hAnsi="仿宋" w:eastAsia="仿宋" w:cs="仿宋"/>
                <w:color w:val="auto"/>
              </w:rPr>
            </w:pPr>
            <w:r>
              <w:rPr>
                <w:rFonts w:hint="eastAsia" w:ascii="仿宋" w:hAnsi="仿宋" w:eastAsia="仿宋" w:cs="仿宋"/>
                <w:color w:val="auto"/>
              </w:rPr>
              <w:t>乙方(盖章)：</w:t>
            </w:r>
          </w:p>
          <w:p w14:paraId="0A11FC73">
            <w:pPr>
              <w:adjustRightInd w:val="0"/>
              <w:snapToGrid w:val="0"/>
              <w:spacing w:line="480" w:lineRule="auto"/>
              <w:rPr>
                <w:rFonts w:hint="eastAsia" w:ascii="仿宋" w:hAnsi="仿宋" w:eastAsia="仿宋" w:cs="仿宋"/>
                <w:color w:val="auto"/>
              </w:rPr>
            </w:pPr>
            <w:r>
              <w:rPr>
                <w:rFonts w:hint="eastAsia" w:ascii="仿宋" w:hAnsi="仿宋" w:eastAsia="仿宋" w:cs="仿宋"/>
                <w:color w:val="auto"/>
                <w:lang w:val="en-US" w:eastAsia="zh-CN"/>
              </w:rPr>
              <w:t>法定</w:t>
            </w:r>
            <w:r>
              <w:rPr>
                <w:rFonts w:hint="eastAsia" w:ascii="仿宋" w:hAnsi="仿宋" w:eastAsia="仿宋" w:cs="仿宋"/>
                <w:color w:val="auto"/>
              </w:rPr>
              <w:t>代表</w:t>
            </w:r>
            <w:r>
              <w:rPr>
                <w:rFonts w:hint="eastAsia" w:ascii="仿宋" w:hAnsi="仿宋" w:eastAsia="仿宋" w:cs="仿宋"/>
                <w:color w:val="auto"/>
                <w:lang w:val="en-US" w:eastAsia="zh-CN"/>
              </w:rPr>
              <w:t>人或委托代理人</w:t>
            </w:r>
            <w:r>
              <w:rPr>
                <w:rFonts w:hint="eastAsia" w:ascii="仿宋" w:hAnsi="仿宋" w:eastAsia="仿宋" w:cs="仿宋"/>
                <w:color w:val="auto"/>
              </w:rPr>
              <w:t>：</w:t>
            </w:r>
          </w:p>
          <w:p w14:paraId="4CD6A7EE">
            <w:pPr>
              <w:adjustRightInd w:val="0"/>
              <w:snapToGrid w:val="0"/>
              <w:spacing w:line="480" w:lineRule="auto"/>
              <w:rPr>
                <w:rFonts w:hint="eastAsia" w:ascii="仿宋" w:hAnsi="仿宋" w:eastAsia="仿宋" w:cs="仿宋"/>
                <w:color w:val="auto"/>
              </w:rPr>
            </w:pPr>
            <w:r>
              <w:rPr>
                <w:rFonts w:hint="eastAsia" w:ascii="仿宋" w:hAnsi="仿宋" w:eastAsia="仿宋" w:cs="仿宋"/>
                <w:color w:val="auto"/>
              </w:rPr>
              <w:t>签约时间：  年   月   日</w:t>
            </w:r>
          </w:p>
          <w:p w14:paraId="3ED93946">
            <w:pPr>
              <w:adjustRightInd w:val="0"/>
              <w:snapToGrid w:val="0"/>
              <w:spacing w:line="480" w:lineRule="auto"/>
              <w:rPr>
                <w:rFonts w:hint="eastAsia" w:ascii="仿宋" w:hAnsi="仿宋" w:eastAsia="仿宋" w:cs="仿宋"/>
                <w:color w:val="auto"/>
              </w:rPr>
            </w:pPr>
            <w:r>
              <w:rPr>
                <w:rFonts w:hint="eastAsia" w:ascii="仿宋" w:hAnsi="仿宋" w:eastAsia="仿宋" w:cs="仿宋"/>
                <w:color w:val="auto"/>
              </w:rPr>
              <w:t>地址：</w:t>
            </w:r>
          </w:p>
          <w:p w14:paraId="746E62CB">
            <w:pPr>
              <w:adjustRightInd w:val="0"/>
              <w:snapToGrid w:val="0"/>
              <w:spacing w:line="480" w:lineRule="auto"/>
              <w:rPr>
                <w:rFonts w:hint="eastAsia" w:ascii="仿宋" w:hAnsi="仿宋" w:eastAsia="仿宋" w:cs="仿宋"/>
                <w:color w:val="auto"/>
              </w:rPr>
            </w:pPr>
            <w:r>
              <w:rPr>
                <w:rFonts w:hint="eastAsia" w:ascii="仿宋" w:hAnsi="仿宋" w:eastAsia="仿宋" w:cs="仿宋"/>
                <w:color w:val="auto"/>
              </w:rPr>
              <w:t>电话：</w:t>
            </w:r>
          </w:p>
          <w:p w14:paraId="79EA66FA">
            <w:pPr>
              <w:adjustRightInd w:val="0"/>
              <w:snapToGrid w:val="0"/>
              <w:spacing w:line="480" w:lineRule="auto"/>
              <w:rPr>
                <w:rFonts w:hint="eastAsia" w:ascii="Calibri" w:hAnsi="Calibri" w:eastAsia="宋体" w:cs="宋体"/>
                <w:kern w:val="2"/>
                <w:sz w:val="21"/>
                <w:szCs w:val="24"/>
                <w:lang w:val="en-US" w:eastAsia="zh-CN" w:bidi="ar-SA"/>
              </w:rPr>
            </w:pPr>
            <w:r>
              <w:rPr>
                <w:rFonts w:hint="eastAsia" w:ascii="仿宋" w:hAnsi="仿宋" w:eastAsia="仿宋" w:cs="仿宋"/>
                <w:color w:val="auto"/>
              </w:rPr>
              <w:t>传真：</w:t>
            </w:r>
          </w:p>
        </w:tc>
      </w:tr>
    </w:tbl>
    <w:p w14:paraId="2FA42822">
      <w:pPr>
        <w:pStyle w:val="1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210B1C9-370D-4DF5-B6CF-565230E07263}"/>
  </w:font>
  <w:font w:name="黑体">
    <w:panose1 w:val="02010609060101010101"/>
    <w:charset w:val="86"/>
    <w:family w:val="auto"/>
    <w:pitch w:val="default"/>
    <w:sig w:usb0="800002BF" w:usb1="38CF7CFA" w:usb2="00000016" w:usb3="00000000" w:csb0="00040001" w:csb1="00000000"/>
    <w:embedRegular r:id="rId2" w:fontKey="{8188A19D-FB3D-4A5A-BD2A-5ECE3F202B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2912F9C7-000D-4A44-814A-5560FAA694DB}"/>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4" w:fontKey="{DA0D47D2-11FD-4451-94FA-424D9F728858}"/>
  </w:font>
  <w:font w:name="方正黑体_GBK">
    <w:panose1 w:val="03000509000000000000"/>
    <w:charset w:val="86"/>
    <w:family w:val="auto"/>
    <w:pitch w:val="default"/>
    <w:sig w:usb0="00000001" w:usb1="080E0000" w:usb2="00000000" w:usb3="00000000" w:csb0="00040000" w:csb1="00000000"/>
    <w:embedRegular r:id="rId5" w:fontKey="{C6D98C75-A337-4DC5-8A7A-97C67EA90B9D}"/>
  </w:font>
  <w:font w:name="仿宋_GB2312">
    <w:panose1 w:val="02010609030101010101"/>
    <w:charset w:val="86"/>
    <w:family w:val="auto"/>
    <w:pitch w:val="default"/>
    <w:sig w:usb0="00000001" w:usb1="080E0000" w:usb2="00000000" w:usb3="00000000" w:csb0="00040000" w:csb1="00000000"/>
    <w:embedRegular r:id="rId6" w:fontKey="{D48AF85A-D892-4397-8421-2146B95FC722}"/>
  </w:font>
  <w:font w:name="微软雅黑">
    <w:panose1 w:val="020B0503020204020204"/>
    <w:charset w:val="86"/>
    <w:family w:val="swiss"/>
    <w:pitch w:val="default"/>
    <w:sig w:usb0="80000287" w:usb1="2ACF3C50" w:usb2="00000016" w:usb3="00000000" w:csb0="0004001F" w:csb1="00000000"/>
    <w:embedRegular r:id="rId7" w:fontKey="{7D3CD794-586C-4E58-9F48-190EEA8A9F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DC01F">
    <w:pPr>
      <w:pStyle w:val="9"/>
      <w:tabs>
        <w:tab w:val="clear" w:pos="4153"/>
        <w:tab w:val="clear" w:pos="8306"/>
      </w:tabs>
      <w:ind w:left="-523" w:leftChars="-249" w:right="-868" w:firstLine="630" w:firstLineChars="300"/>
      <w:jc w:val="center"/>
      <w:rPr>
        <w:rFonts w:ascii="仿宋" w:hAnsi="仿宋" w:eastAsia="仿宋"/>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A9BC9">
    <w:pPr>
      <w:pStyle w:val="9"/>
      <w:tabs>
        <w:tab w:val="clear" w:pos="4153"/>
        <w:tab w:val="clear" w:pos="8306"/>
      </w:tabs>
      <w:ind w:left="-523" w:leftChars="-249" w:right="-868" w:firstLine="630" w:firstLineChars="300"/>
      <w:jc w:val="center"/>
      <w:rPr>
        <w:rFonts w:ascii="仿宋" w:hAnsi="仿宋" w:eastAsia="仿宋"/>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8FF21F4">
                          <w:pPr>
                            <w:pStyle w:val="9"/>
                            <w:rPr>
                              <w:rFonts w:ascii="宋体" w:hAnsi="宋体"/>
                              <w:sz w:val="15"/>
                              <w:szCs w:val="16"/>
                            </w:rPr>
                          </w:pPr>
                          <w:r>
                            <w:rPr>
                              <w:rFonts w:ascii="宋体" w:hAnsi="宋体"/>
                              <w:sz w:val="15"/>
                              <w:szCs w:val="16"/>
                            </w:rPr>
                            <w:t xml:space="preserve">第 </w:t>
                          </w:r>
                          <w:r>
                            <w:rPr>
                              <w:rFonts w:ascii="宋体" w:hAnsi="宋体"/>
                              <w:sz w:val="15"/>
                              <w:szCs w:val="16"/>
                            </w:rPr>
                            <w:fldChar w:fldCharType="begin"/>
                          </w:r>
                          <w:r>
                            <w:rPr>
                              <w:rFonts w:ascii="宋体" w:hAnsi="宋体"/>
                              <w:sz w:val="15"/>
                              <w:szCs w:val="16"/>
                            </w:rPr>
                            <w:instrText xml:space="preserve"> PAGE  \* MERGEFORMAT </w:instrText>
                          </w:r>
                          <w:r>
                            <w:rPr>
                              <w:rFonts w:ascii="宋体" w:hAnsi="宋体"/>
                              <w:sz w:val="15"/>
                              <w:szCs w:val="16"/>
                            </w:rPr>
                            <w:fldChar w:fldCharType="separate"/>
                          </w:r>
                          <w:r>
                            <w:rPr>
                              <w:rFonts w:ascii="宋体" w:hAnsi="宋体"/>
                              <w:sz w:val="15"/>
                              <w:szCs w:val="16"/>
                            </w:rPr>
                            <w:t>4</w:t>
                          </w:r>
                          <w:r>
                            <w:rPr>
                              <w:rFonts w:ascii="宋体" w:hAnsi="宋体"/>
                              <w:sz w:val="15"/>
                              <w:szCs w:val="16"/>
                            </w:rPr>
                            <w:fldChar w:fldCharType="end"/>
                          </w:r>
                          <w:r>
                            <w:rPr>
                              <w:rFonts w:ascii="宋体" w:hAnsi="宋体"/>
                              <w:sz w:val="15"/>
                              <w:szCs w:val="16"/>
                            </w:rPr>
                            <w:t xml:space="preserve"> 页 共 </w:t>
                          </w:r>
                          <w:r>
                            <w:rPr>
                              <w:rFonts w:hint="eastAsia" w:ascii="宋体" w:hAnsi="宋体"/>
                              <w:sz w:val="15"/>
                              <w:szCs w:val="16"/>
                              <w:lang w:val="en-US" w:eastAsia="zh-CN"/>
                            </w:rPr>
                            <w:t>18</w:t>
                          </w:r>
                          <w:r>
                            <w:rPr>
                              <w:rFonts w:ascii="宋体" w:hAnsi="宋体"/>
                              <w:sz w:val="15"/>
                              <w:szCs w:val="16"/>
                            </w:rPr>
                            <w:t xml:space="preserve"> 页</w:t>
                          </w:r>
                        </w:p>
                      </w:txbxContent>
                    </wps:txbx>
                    <wps:bodyPr wrap="none" lIns="0" tIns="0" rIns="0" bIns="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C9abzXxQEAAJQDAAAOAAAAAAAAAAEAIAAAAB8BAABkcnMvZTJvRG9jLnht&#10;bFBLBQYAAAAABgAGAFkBAABWBQAAAAA=&#10;">
              <v:fill on="f" focussize="0,0"/>
              <v:stroke on="f"/>
              <v:imagedata o:title=""/>
              <o:lock v:ext="edit" aspectratio="f"/>
              <v:textbox inset="0mm,0mm,0mm,0mm" style="mso-fit-shape-to-text:t;">
                <w:txbxContent>
                  <w:p w14:paraId="58FF21F4">
                    <w:pPr>
                      <w:pStyle w:val="9"/>
                      <w:rPr>
                        <w:rFonts w:ascii="宋体" w:hAnsi="宋体"/>
                        <w:sz w:val="15"/>
                        <w:szCs w:val="16"/>
                      </w:rPr>
                    </w:pPr>
                    <w:r>
                      <w:rPr>
                        <w:rFonts w:ascii="宋体" w:hAnsi="宋体"/>
                        <w:sz w:val="15"/>
                        <w:szCs w:val="16"/>
                      </w:rPr>
                      <w:t xml:space="preserve">第 </w:t>
                    </w:r>
                    <w:r>
                      <w:rPr>
                        <w:rFonts w:ascii="宋体" w:hAnsi="宋体"/>
                        <w:sz w:val="15"/>
                        <w:szCs w:val="16"/>
                      </w:rPr>
                      <w:fldChar w:fldCharType="begin"/>
                    </w:r>
                    <w:r>
                      <w:rPr>
                        <w:rFonts w:ascii="宋体" w:hAnsi="宋体"/>
                        <w:sz w:val="15"/>
                        <w:szCs w:val="16"/>
                      </w:rPr>
                      <w:instrText xml:space="preserve"> PAGE  \* MERGEFORMAT </w:instrText>
                    </w:r>
                    <w:r>
                      <w:rPr>
                        <w:rFonts w:ascii="宋体" w:hAnsi="宋体"/>
                        <w:sz w:val="15"/>
                        <w:szCs w:val="16"/>
                      </w:rPr>
                      <w:fldChar w:fldCharType="separate"/>
                    </w:r>
                    <w:r>
                      <w:rPr>
                        <w:rFonts w:ascii="宋体" w:hAnsi="宋体"/>
                        <w:sz w:val="15"/>
                        <w:szCs w:val="16"/>
                      </w:rPr>
                      <w:t>4</w:t>
                    </w:r>
                    <w:r>
                      <w:rPr>
                        <w:rFonts w:ascii="宋体" w:hAnsi="宋体"/>
                        <w:sz w:val="15"/>
                        <w:szCs w:val="16"/>
                      </w:rPr>
                      <w:fldChar w:fldCharType="end"/>
                    </w:r>
                    <w:r>
                      <w:rPr>
                        <w:rFonts w:ascii="宋体" w:hAnsi="宋体"/>
                        <w:sz w:val="15"/>
                        <w:szCs w:val="16"/>
                      </w:rPr>
                      <w:t xml:space="preserve"> 页 共 </w:t>
                    </w:r>
                    <w:r>
                      <w:rPr>
                        <w:rFonts w:hint="eastAsia" w:ascii="宋体" w:hAnsi="宋体"/>
                        <w:sz w:val="15"/>
                        <w:szCs w:val="16"/>
                        <w:lang w:val="en-US" w:eastAsia="zh-CN"/>
                      </w:rPr>
                      <w:t>18</w:t>
                    </w:r>
                    <w:r>
                      <w:rPr>
                        <w:rFonts w:ascii="宋体" w:hAnsi="宋体"/>
                        <w:sz w:val="15"/>
                        <w:szCs w:val="16"/>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BCF93">
    <w:pPr>
      <w:tabs>
        <w:tab w:val="left" w:pos="1707"/>
      </w:tabs>
      <w:spacing w:line="360" w:lineRule="auto"/>
      <w:rPr>
        <w:rFonts w:ascii="宋体" w:hAnsi="宋体"/>
        <w:color w:val="FF000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A93CD">
    <w:pPr>
      <w:tabs>
        <w:tab w:val="left" w:pos="1707"/>
      </w:tabs>
      <w:spacing w:line="360" w:lineRule="auto"/>
      <w:rPr>
        <w:rFonts w:ascii="宋体" w:hAnsi="宋体"/>
        <w:color w:val="FF000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900"/>
        </w:tabs>
        <w:ind w:left="900" w:hanging="720"/>
      </w:pPr>
    </w:lvl>
    <w:lvl w:ilvl="1" w:tentative="0">
      <w:start w:val="1"/>
      <w:numFmt w:val="decimal"/>
      <w:lvlText w:val="%2."/>
      <w:lvlJc w:val="left"/>
      <w:pPr>
        <w:tabs>
          <w:tab w:val="left" w:pos="1060"/>
        </w:tabs>
        <w:ind w:left="1060" w:hanging="360"/>
      </w:pPr>
    </w:lvl>
    <w:lvl w:ilvl="2" w:tentative="0">
      <w:start w:val="1"/>
      <w:numFmt w:val="decimal"/>
      <w:lvlText w:val="%3."/>
      <w:lvlJc w:val="left"/>
      <w:pPr>
        <w:tabs>
          <w:tab w:val="left" w:pos="1780"/>
        </w:tabs>
        <w:ind w:left="1780" w:hanging="360"/>
      </w:pPr>
    </w:lvl>
    <w:lvl w:ilvl="3" w:tentative="0">
      <w:start w:val="1"/>
      <w:numFmt w:val="decimal"/>
      <w:lvlText w:val="%4."/>
      <w:lvlJc w:val="left"/>
      <w:pPr>
        <w:tabs>
          <w:tab w:val="left" w:pos="2500"/>
        </w:tabs>
        <w:ind w:left="2500" w:hanging="360"/>
      </w:pPr>
    </w:lvl>
    <w:lvl w:ilvl="4" w:tentative="0">
      <w:start w:val="1"/>
      <w:numFmt w:val="decimal"/>
      <w:lvlText w:val="%5."/>
      <w:lvlJc w:val="left"/>
      <w:pPr>
        <w:tabs>
          <w:tab w:val="left" w:pos="3220"/>
        </w:tabs>
        <w:ind w:left="3220" w:hanging="360"/>
      </w:pPr>
    </w:lvl>
    <w:lvl w:ilvl="5" w:tentative="0">
      <w:start w:val="1"/>
      <w:numFmt w:val="decimal"/>
      <w:lvlText w:val="%6."/>
      <w:lvlJc w:val="left"/>
      <w:pPr>
        <w:tabs>
          <w:tab w:val="left" w:pos="3940"/>
        </w:tabs>
        <w:ind w:left="3940" w:hanging="360"/>
      </w:pPr>
    </w:lvl>
    <w:lvl w:ilvl="6" w:tentative="0">
      <w:start w:val="1"/>
      <w:numFmt w:val="decimal"/>
      <w:lvlText w:val="%7."/>
      <w:lvlJc w:val="left"/>
      <w:pPr>
        <w:tabs>
          <w:tab w:val="left" w:pos="4660"/>
        </w:tabs>
        <w:ind w:left="4660" w:hanging="360"/>
      </w:pPr>
    </w:lvl>
    <w:lvl w:ilvl="7" w:tentative="0">
      <w:start w:val="1"/>
      <w:numFmt w:val="decimal"/>
      <w:lvlText w:val="%8."/>
      <w:lvlJc w:val="left"/>
      <w:pPr>
        <w:tabs>
          <w:tab w:val="left" w:pos="5380"/>
        </w:tabs>
        <w:ind w:left="5380" w:hanging="360"/>
      </w:pPr>
    </w:lvl>
    <w:lvl w:ilvl="8" w:tentative="0">
      <w:start w:val="1"/>
      <w:numFmt w:val="decimal"/>
      <w:lvlText w:val="%9."/>
      <w:lvlJc w:val="left"/>
      <w:pPr>
        <w:tabs>
          <w:tab w:val="left" w:pos="6100"/>
        </w:tabs>
        <w:ind w:left="6100" w:hanging="360"/>
      </w:pPr>
    </w:lvl>
  </w:abstractNum>
  <w:abstractNum w:abstractNumId="1">
    <w:nsid w:val="00000002"/>
    <w:multiLevelType w:val="multilevel"/>
    <w:tmpl w:val="0000000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3"/>
    <w:multiLevelType w:val="singleLevel"/>
    <w:tmpl w:val="00000003"/>
    <w:lvl w:ilvl="0" w:tentative="0">
      <w:start w:val="1"/>
      <w:numFmt w:val="decimal"/>
      <w:suff w:val="nothing"/>
      <w:lvlText w:val="%1．"/>
      <w:lvlJc w:val="left"/>
      <w:pPr>
        <w:ind w:left="0" w:firstLine="400"/>
      </w:pPr>
      <w:rPr>
        <w:rFonts w:hint="default"/>
      </w:rPr>
    </w:lvl>
  </w:abstractNum>
  <w:abstractNum w:abstractNumId="3">
    <w:nsid w:val="00000004"/>
    <w:multiLevelType w:val="singleLevel"/>
    <w:tmpl w:val="00000004"/>
    <w:lvl w:ilvl="0" w:tentative="0">
      <w:start w:val="1"/>
      <w:numFmt w:val="decimal"/>
      <w:suff w:val="nothing"/>
      <w:lvlText w:val="%1．"/>
      <w:lvlJc w:val="left"/>
      <w:pPr>
        <w:ind w:left="0" w:firstLine="400"/>
      </w:pPr>
      <w:rPr>
        <w:rFonts w:hint="default"/>
      </w:rPr>
    </w:lvl>
  </w:abstractNum>
  <w:abstractNum w:abstractNumId="4">
    <w:nsid w:val="00000005"/>
    <w:multiLevelType w:val="singleLevel"/>
    <w:tmpl w:val="00000005"/>
    <w:lvl w:ilvl="0" w:tentative="0">
      <w:start w:val="1"/>
      <w:numFmt w:val="decimal"/>
      <w:suff w:val="nothing"/>
      <w:lvlText w:val="%1）"/>
      <w:lvlJc w:val="left"/>
      <w:pPr>
        <w:ind w:left="0" w:firstLine="420"/>
      </w:pPr>
      <w:rPr>
        <w:rFonts w:ascii="宋体" w:hAnsi="宋体" w:eastAsia="宋体" w:cs="宋体"/>
      </w:rPr>
    </w:lvl>
  </w:abstractNum>
  <w:abstractNum w:abstractNumId="5">
    <w:nsid w:val="00000006"/>
    <w:multiLevelType w:val="singleLevel"/>
    <w:tmpl w:val="00000006"/>
    <w:lvl w:ilvl="0" w:tentative="0">
      <w:start w:val="1"/>
      <w:numFmt w:val="decimal"/>
      <w:suff w:val="nothing"/>
      <w:lvlText w:val="%1）"/>
      <w:lvlJc w:val="left"/>
      <w:pPr>
        <w:ind w:left="0" w:firstLine="420"/>
      </w:pPr>
      <w:rPr>
        <w:rFonts w:ascii="宋体" w:hAnsi="宋体" w:eastAsia="宋体" w:cs="宋体"/>
      </w:rPr>
    </w:lvl>
  </w:abstractNum>
  <w:abstractNum w:abstractNumId="6">
    <w:nsid w:val="00000007"/>
    <w:multiLevelType w:val="singleLevel"/>
    <w:tmpl w:val="00000007"/>
    <w:lvl w:ilvl="0" w:tentative="0">
      <w:start w:val="1"/>
      <w:numFmt w:val="decimal"/>
      <w:suff w:val="nothing"/>
      <w:lvlText w:val="%1）"/>
      <w:lvlJc w:val="left"/>
      <w:pPr>
        <w:ind w:left="0" w:firstLine="420"/>
      </w:pPr>
      <w:rPr>
        <w:rFonts w:ascii="宋体" w:hAnsi="宋体" w:eastAsia="宋体" w:cs="宋体"/>
      </w:rPr>
    </w:lvl>
  </w:abstractNum>
  <w:abstractNum w:abstractNumId="7">
    <w:nsid w:val="04160D04"/>
    <w:multiLevelType w:val="singleLevel"/>
    <w:tmpl w:val="04160D04"/>
    <w:lvl w:ilvl="0" w:tentative="0">
      <w:start w:val="1"/>
      <w:numFmt w:val="decimal"/>
      <w:suff w:val="nothing"/>
      <w:lvlText w:val="%1、"/>
      <w:lvlJc w:val="left"/>
    </w:lvl>
  </w:abstractNum>
  <w:abstractNum w:abstractNumId="8">
    <w:nsid w:val="20BD39FF"/>
    <w:multiLevelType w:val="multilevel"/>
    <w:tmpl w:val="20BD39F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2AC15F97"/>
    <w:multiLevelType w:val="multilevel"/>
    <w:tmpl w:val="2AC15F97"/>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0">
    <w:nsid w:val="34850CEC"/>
    <w:multiLevelType w:val="multilevel"/>
    <w:tmpl w:val="34850CE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0"/>
    <w:lvlOverride w:ilvl="0">
      <w:startOverride w:val="1"/>
    </w:lvlOverride>
  </w:num>
  <w:num w:numId="8">
    <w:abstractNumId w:val="7"/>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3NmVjNmVmZGFlMjVlMDNlNDY5YTlkNWYyMmI5ZWYifQ=="/>
  </w:docVars>
  <w:rsids>
    <w:rsidRoot w:val="00000000"/>
    <w:rsid w:val="01FA0645"/>
    <w:rsid w:val="05F259B2"/>
    <w:rsid w:val="0F485AEE"/>
    <w:rsid w:val="13947CC5"/>
    <w:rsid w:val="1A040CE9"/>
    <w:rsid w:val="1A772A39"/>
    <w:rsid w:val="1AC075FF"/>
    <w:rsid w:val="1E5848E1"/>
    <w:rsid w:val="1ED80A75"/>
    <w:rsid w:val="21262B76"/>
    <w:rsid w:val="222C5A8A"/>
    <w:rsid w:val="23F02FE7"/>
    <w:rsid w:val="251D021C"/>
    <w:rsid w:val="25220E17"/>
    <w:rsid w:val="2A6134E6"/>
    <w:rsid w:val="2D5026E6"/>
    <w:rsid w:val="314A2094"/>
    <w:rsid w:val="31BD1649"/>
    <w:rsid w:val="32E52CC9"/>
    <w:rsid w:val="33515E67"/>
    <w:rsid w:val="39894E9A"/>
    <w:rsid w:val="3B317CC3"/>
    <w:rsid w:val="3BA5678A"/>
    <w:rsid w:val="3CDD18B3"/>
    <w:rsid w:val="3D3D52C6"/>
    <w:rsid w:val="3D446C7F"/>
    <w:rsid w:val="425B0B4F"/>
    <w:rsid w:val="43910E74"/>
    <w:rsid w:val="43D47AAF"/>
    <w:rsid w:val="45D23197"/>
    <w:rsid w:val="46881131"/>
    <w:rsid w:val="46C87FF5"/>
    <w:rsid w:val="47523D62"/>
    <w:rsid w:val="4CC02BDF"/>
    <w:rsid w:val="4DFB65A2"/>
    <w:rsid w:val="551408A9"/>
    <w:rsid w:val="5637134B"/>
    <w:rsid w:val="5B0D64DA"/>
    <w:rsid w:val="5BE90BC8"/>
    <w:rsid w:val="5CB84210"/>
    <w:rsid w:val="5E78080B"/>
    <w:rsid w:val="5FE227F9"/>
    <w:rsid w:val="60886E03"/>
    <w:rsid w:val="619451C8"/>
    <w:rsid w:val="63364E4F"/>
    <w:rsid w:val="6892496C"/>
    <w:rsid w:val="6A991E73"/>
    <w:rsid w:val="6C3C1BA2"/>
    <w:rsid w:val="6D5B1561"/>
    <w:rsid w:val="70DF6279"/>
    <w:rsid w:val="737722D7"/>
    <w:rsid w:val="78454283"/>
    <w:rsid w:val="78AC0583"/>
    <w:rsid w:val="7DCA457B"/>
    <w:rsid w:val="7FE447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rPr>
  </w:style>
  <w:style w:type="paragraph" w:styleId="3">
    <w:name w:val="heading 2"/>
    <w:basedOn w:val="1"/>
    <w:next w:val="1"/>
    <w:qFormat/>
    <w:uiPriority w:val="0"/>
    <w:pPr>
      <w:keepNext/>
      <w:keepLines/>
      <w:tabs>
        <w:tab w:val="left" w:pos="720"/>
        <w:tab w:val="left" w:pos="900"/>
      </w:tabs>
      <w:adjustRightInd w:val="0"/>
      <w:spacing w:line="360" w:lineRule="auto"/>
      <w:jc w:val="left"/>
      <w:outlineLvl w:val="1"/>
    </w:pPr>
    <w:rPr>
      <w:rFonts w:ascii="宋体" w:hAnsi="宋体"/>
      <w:b/>
      <w:bCs/>
      <w:kern w:val="0"/>
      <w:sz w:val="24"/>
      <w:szCs w:val="28"/>
    </w:rPr>
  </w:style>
  <w:style w:type="character" w:default="1" w:styleId="15">
    <w:name w:val="Default Paragraph Font"/>
    <w:qFormat/>
    <w:uiPriority w:val="0"/>
  </w:style>
  <w:style w:type="table" w:default="1" w:styleId="14">
    <w:name w:val="Normal Table"/>
    <w:qFormat/>
    <w:uiPriority w:val="0"/>
    <w:tblPr>
      <w:tblCellMar>
        <w:top w:w="0" w:type="dxa"/>
        <w:left w:w="108" w:type="dxa"/>
        <w:bottom w:w="0" w:type="dxa"/>
        <w:right w:w="108" w:type="dxa"/>
      </w:tblCellMar>
    </w:tblPr>
  </w:style>
  <w:style w:type="paragraph" w:styleId="4">
    <w:name w:val="Normal Indent"/>
    <w:basedOn w:val="1"/>
    <w:qFormat/>
    <w:uiPriority w:val="0"/>
    <w:pPr>
      <w:widowControl/>
      <w:spacing w:before="100" w:beforeAutospacing="1" w:after="100" w:afterAutospacing="1"/>
      <w:jc w:val="left"/>
    </w:pPr>
    <w:rPr>
      <w:rFonts w:ascii="宋体" w:hAnsi="宋体"/>
      <w:kern w:val="0"/>
      <w:sz w:val="24"/>
      <w:szCs w:val="24"/>
    </w:rPr>
  </w:style>
  <w:style w:type="paragraph" w:styleId="5">
    <w:name w:val="annotation text"/>
    <w:basedOn w:val="1"/>
    <w:qFormat/>
    <w:uiPriority w:val="0"/>
    <w:pPr>
      <w:jc w:val="left"/>
    </w:pPr>
  </w:style>
  <w:style w:type="paragraph" w:styleId="6">
    <w:name w:val="Body Text"/>
    <w:basedOn w:val="1"/>
    <w:qFormat/>
    <w:uiPriority w:val="0"/>
    <w:pPr>
      <w:spacing w:after="120"/>
    </w:pPr>
    <w:rPr>
      <w:szCs w:val="24"/>
    </w:rPr>
  </w:style>
  <w:style w:type="paragraph" w:styleId="7">
    <w:name w:val="Body Text Indent"/>
    <w:basedOn w:val="1"/>
    <w:qFormat/>
    <w:uiPriority w:val="0"/>
    <w:pPr>
      <w:autoSpaceDN w:val="0"/>
      <w:ind w:firstLine="560" w:firstLineChars="200"/>
    </w:pPr>
    <w:rPr>
      <w:sz w:val="28"/>
    </w:rPr>
  </w:style>
  <w:style w:type="paragraph" w:styleId="8">
    <w:name w:val="Plain Text"/>
    <w:basedOn w:val="1"/>
    <w:qFormat/>
    <w:uiPriority w:val="0"/>
    <w:rPr>
      <w:rFonts w:ascii="宋体" w:hAnsi="Courier New"/>
    </w:rPr>
  </w:style>
  <w:style w:type="paragraph" w:styleId="9">
    <w:name w:val="footer"/>
    <w:basedOn w:val="1"/>
    <w:qFormat/>
    <w:uiPriority w:val="0"/>
    <w:pPr>
      <w:tabs>
        <w:tab w:val="center" w:pos="4153"/>
        <w:tab w:val="right" w:pos="8306"/>
      </w:tabs>
      <w:snapToGrid w:val="0"/>
      <w:jc w:val="left"/>
    </w:pPr>
    <w:rPr>
      <w:sz w:val="18"/>
    </w:rPr>
  </w:style>
  <w:style w:type="paragraph" w:styleId="10">
    <w:name w:val="Body Text Indent 3"/>
    <w:basedOn w:val="1"/>
    <w:qFormat/>
    <w:uiPriority w:val="0"/>
    <w:pPr>
      <w:spacing w:after="120"/>
      <w:ind w:left="420" w:leftChars="200"/>
    </w:pPr>
    <w:rPr>
      <w:sz w:val="16"/>
      <w:szCs w:val="16"/>
    </w:rPr>
  </w:style>
  <w:style w:type="paragraph" w:styleId="11">
    <w:name w:val="Normal (Web)"/>
    <w:basedOn w:val="1"/>
    <w:qFormat/>
    <w:uiPriority w:val="0"/>
    <w:pPr>
      <w:spacing w:before="100" w:beforeAutospacing="1" w:after="100" w:afterAutospacing="1"/>
      <w:ind w:left="0" w:right="0"/>
      <w:jc w:val="left"/>
    </w:pPr>
    <w:rPr>
      <w:kern w:val="0"/>
      <w:sz w:val="24"/>
      <w:lang w:val="en-US" w:eastAsia="zh-CN"/>
    </w:rPr>
  </w:style>
  <w:style w:type="paragraph" w:styleId="12">
    <w:name w:val="Title"/>
    <w:basedOn w:val="1"/>
    <w:qFormat/>
    <w:uiPriority w:val="0"/>
    <w:pPr>
      <w:spacing w:before="1"/>
      <w:ind w:left="1329" w:right="1471"/>
      <w:jc w:val="center"/>
    </w:pPr>
    <w:rPr>
      <w:rFonts w:ascii="楷体" w:hAnsi="楷体" w:eastAsia="楷体"/>
      <w:b/>
      <w:bCs/>
      <w:sz w:val="70"/>
      <w:szCs w:val="70"/>
    </w:rPr>
  </w:style>
  <w:style w:type="paragraph" w:styleId="13">
    <w:name w:val="Body Text First Indent 2"/>
    <w:basedOn w:val="7"/>
    <w:qFormat/>
    <w:uiPriority w:val="0"/>
    <w:pPr>
      <w:spacing w:after="120"/>
      <w:ind w:left="420" w:leftChars="200" w:firstLine="420"/>
    </w:pPr>
    <w:rPr>
      <w:sz w:val="21"/>
      <w:szCs w:val="24"/>
    </w:rPr>
  </w:style>
  <w:style w:type="character" w:styleId="16">
    <w:name w:val="Strong"/>
    <w:basedOn w:val="15"/>
    <w:qFormat/>
    <w:uiPriority w:val="0"/>
    <w:rPr>
      <w:b/>
    </w:rPr>
  </w:style>
  <w:style w:type="paragraph" w:customStyle="1" w:styleId="17">
    <w:name w:val="_Style 3"/>
    <w:next w:val="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
    <w:name w:val="07正文"/>
    <w:qFormat/>
    <w:uiPriority w:val="0"/>
    <w:pPr>
      <w:widowControl w:val="0"/>
      <w:overflowPunct w:val="0"/>
      <w:autoSpaceDE w:val="0"/>
      <w:autoSpaceDN w:val="0"/>
      <w:adjustRightInd w:val="0"/>
      <w:snapToGrid w:val="0"/>
      <w:spacing w:line="336" w:lineRule="auto"/>
      <w:ind w:firstLine="200"/>
      <w:textAlignment w:val="center"/>
    </w:pPr>
    <w:rPr>
      <w:rFonts w:ascii="仿宋" w:hAnsi="仿宋" w:eastAsia="仿宋" w:cs="Times New Roman"/>
      <w:kern w:val="2"/>
      <w:sz w:val="32"/>
      <w:szCs w:val="32"/>
      <w:lang w:val="en-US" w:eastAsia="zh-CN" w:bidi="ar-SA"/>
    </w:rPr>
  </w:style>
  <w:style w:type="paragraph" w:customStyle="1" w:styleId="19">
    <w:name w:val="彩色列表1"/>
    <w:basedOn w:val="1"/>
    <w:qFormat/>
    <w:uiPriority w:val="34"/>
    <w:pPr>
      <w:ind w:firstLine="420" w:firstLineChars="200"/>
    </w:pPr>
    <w:rPr>
      <w:szCs w:val="24"/>
    </w:rPr>
  </w:style>
  <w:style w:type="paragraph" w:styleId="20">
    <w:name w:val="List Paragraph"/>
    <w:basedOn w:val="1"/>
    <w:qFormat/>
    <w:uiPriority w:val="99"/>
    <w:pPr>
      <w:ind w:firstLine="420" w:firstLineChars="200"/>
    </w:pPr>
  </w:style>
  <w:style w:type="paragraph" w:customStyle="1" w:styleId="21">
    <w:name w:val="正文 New"/>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22">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6693</Words>
  <Characters>6881</Characters>
  <Paragraphs>477</Paragraphs>
  <TotalTime>1</TotalTime>
  <ScaleCrop>false</ScaleCrop>
  <LinksUpToDate>false</LinksUpToDate>
  <CharactersWithSpaces>6953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2022-11-24T04:49:00Z</dcterms:created>
  <dc:creator>律师顾问团</dc:creator>
  <cp:lastModifiedBy>章小羽</cp:lastModifiedBy>
  <cp:lastPrinted>2024-11-27T11:16:00Z</cp:lastPrinted>
  <dcterms:modified xsi:type="dcterms:W3CDTF">2025-09-25T03:31:24Z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C5489B926EED4E5D9712439CEEDFADF5_13</vt:lpwstr>
  </property>
  <property fmtid="{D5CDD505-2E9C-101B-9397-08002B2CF9AE}" pid="4" name="KSOTemplateDocerSaveRecord">
    <vt:lpwstr>eyJoZGlkIjoiNjc3NmVjNmVmZGFlMjVlMDNlNDY5YTlkNWYyMmI5ZWYiLCJ1c2VySWQiOiIzNzU5NTc2MjQifQ==</vt:lpwstr>
  </property>
</Properties>
</file>