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 w:type="dxa"/>
          <w:bottom w:w="0" w:type="dxa"/>
          <w:right w:w="10" w:type="dxa"/>
        </w:tblCellMar>
      </w:tblPr>
      <w:tblGrid>
        <w:gridCol w:w="725"/>
        <w:gridCol w:w="7392"/>
        <w:gridCol w:w="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ind w:left="180"/>
              <w:jc w:val="center"/>
              <w:rPr>
                <w:rFonts w:ascii="宋体" w:hAnsi="宋体" w:cs="宋体"/>
                <w:szCs w:val="21"/>
              </w:rPr>
            </w:pPr>
            <w:r>
              <w:rPr>
                <w:rFonts w:hint="eastAsia" w:ascii="宋体" w:hAnsi="宋体" w:eastAsia="宋体" w:cs="宋体"/>
                <w:b/>
                <w:color w:val="000000"/>
                <w:sz w:val="28"/>
                <w:szCs w:val="28"/>
              </w:rPr>
              <w:t>泡沫消防车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ind w:left="100"/>
              <w:jc w:val="left"/>
              <w:rPr>
                <w:rFonts w:ascii="宋体" w:hAnsi="宋体" w:cs="宋体"/>
                <w:sz w:val="28"/>
                <w:szCs w:val="28"/>
              </w:rPr>
            </w:pPr>
            <w:r>
              <w:rPr>
                <w:rStyle w:val="13"/>
                <w:rFonts w:hint="default" w:ascii="宋体" w:hAnsi="宋体" w:eastAsia="宋体" w:cs="宋体"/>
                <w:bCs/>
                <w:sz w:val="28"/>
                <w:szCs w:val="28"/>
              </w:rPr>
              <w:t>数量：1辆，</w:t>
            </w:r>
            <w:r>
              <w:rPr>
                <w:rStyle w:val="13"/>
                <w:rFonts w:hint="default" w:ascii="宋体" w:hAnsi="宋体" w:cs="宋体"/>
                <w:bCs/>
                <w:sz w:val="28"/>
                <w:szCs w:val="28"/>
              </w:rPr>
              <w:t>单价：</w:t>
            </w:r>
            <w:r>
              <w:rPr>
                <w:rStyle w:val="13"/>
                <w:rFonts w:hint="default" w:ascii="宋体" w:hAnsi="宋体" w:eastAsia="等线" w:cs="宋体"/>
                <w:bCs/>
                <w:sz w:val="28"/>
                <w:szCs w:val="28"/>
              </w:rPr>
              <w:t>1</w:t>
            </w:r>
            <w:r>
              <w:rPr>
                <w:rStyle w:val="13"/>
                <w:rFonts w:hint="default" w:ascii="宋体" w:hAnsi="宋体" w:eastAsia="等线" w:cs="宋体"/>
                <w:bCs/>
                <w:sz w:val="28"/>
                <w:szCs w:val="28"/>
                <w:lang w:val="en-US"/>
              </w:rPr>
              <w:t>7</w:t>
            </w:r>
            <w:r>
              <w:rPr>
                <w:rStyle w:val="13"/>
                <w:rFonts w:hint="default" w:ascii="宋体" w:hAnsi="宋体" w:eastAsia="等线" w:cs="宋体"/>
                <w:bCs/>
                <w:sz w:val="28"/>
                <w:szCs w:val="28"/>
              </w:rPr>
              <w:t>5</w:t>
            </w:r>
            <w:r>
              <w:rPr>
                <w:rStyle w:val="13"/>
                <w:rFonts w:hint="default" w:ascii="宋体" w:hAnsi="宋体" w:cs="宋体"/>
                <w:bCs/>
                <w:sz w:val="28"/>
                <w:szCs w:val="28"/>
              </w:rPr>
              <w:t>万元</w:t>
            </w:r>
            <w:r>
              <w:rPr>
                <w:rStyle w:val="13"/>
                <w:rFonts w:hint="default" w:ascii="宋体" w:hAnsi="宋体" w:eastAsia="宋体" w:cs="宋体"/>
                <w:bCs/>
                <w:sz w:val="28"/>
                <w:szCs w:val="28"/>
              </w:rPr>
              <w:t xml:space="preserve"> </w:t>
            </w:r>
            <w:r>
              <w:rPr>
                <w:rStyle w:val="13"/>
                <w:rFonts w:hint="default" w:ascii="宋体" w:hAnsi="宋体" w:cs="宋体"/>
                <w:bCs/>
                <w:sz w:val="28"/>
                <w:szCs w:val="28"/>
              </w:rPr>
              <w:t>小计：</w:t>
            </w:r>
            <w:r>
              <w:rPr>
                <w:rStyle w:val="13"/>
                <w:rFonts w:hint="default" w:ascii="宋体" w:hAnsi="宋体" w:eastAsia="等线" w:cs="宋体"/>
                <w:bCs/>
                <w:sz w:val="28"/>
                <w:szCs w:val="28"/>
              </w:rPr>
              <w:t>1</w:t>
            </w:r>
            <w:r>
              <w:rPr>
                <w:rStyle w:val="13"/>
                <w:rFonts w:hint="default" w:ascii="宋体" w:hAnsi="宋体" w:eastAsia="等线" w:cs="宋体"/>
                <w:bCs/>
                <w:sz w:val="28"/>
                <w:szCs w:val="28"/>
                <w:lang w:val="en-US"/>
              </w:rPr>
              <w:t>7</w:t>
            </w:r>
            <w:r>
              <w:rPr>
                <w:rStyle w:val="13"/>
                <w:rFonts w:hint="default" w:ascii="宋体" w:hAnsi="宋体" w:eastAsia="等线" w:cs="宋体"/>
                <w:bCs/>
                <w:sz w:val="28"/>
                <w:szCs w:val="28"/>
              </w:rPr>
              <w:t>5</w:t>
            </w:r>
            <w:r>
              <w:rPr>
                <w:rStyle w:val="13"/>
                <w:rFonts w:hint="default" w:ascii="宋体" w:hAnsi="宋体" w:eastAsia="宋体" w:cs="宋体"/>
                <w:bCs/>
                <w:sz w:val="28"/>
                <w:szCs w:val="28"/>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Fonts w:ascii="宋体" w:hAnsi="宋体" w:cs="宋体"/>
                <w:sz w:val="24"/>
                <w:szCs w:val="24"/>
              </w:rPr>
            </w:pPr>
            <w:r>
              <w:rPr>
                <w:rStyle w:val="13"/>
                <w:rFonts w:hint="default" w:ascii="宋体" w:hAnsi="宋体" w:eastAsia="宋体" w:cs="宋体"/>
                <w:b/>
                <w:bCs/>
                <w:sz w:val="24"/>
                <w:szCs w:val="24"/>
              </w:rPr>
              <w:t>（一）整车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1</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w:t>
            </w:r>
            <w:r>
              <w:rPr>
                <w:rStyle w:val="13"/>
                <w:rFonts w:hint="default" w:ascii="宋体" w:hAnsi="宋体" w:eastAsia="宋体" w:cs="宋体"/>
                <w:bCs/>
                <w:sz w:val="24"/>
                <w:szCs w:val="24"/>
              </w:rPr>
              <w:t>满载质量</w:t>
            </w:r>
            <w:r>
              <w:rPr>
                <w:rFonts w:hint="eastAsia" w:ascii="宋体" w:hAnsi="宋体" w:cs="宋体"/>
                <w:sz w:val="24"/>
              </w:rPr>
              <w:t>：≤18000kg。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ascii="宋体" w:hAnsi="宋体" w:eastAsia="宋体" w:cs="宋体"/>
                <w:sz w:val="24"/>
                <w:szCs w:val="24"/>
              </w:rPr>
              <w:t>2</w:t>
            </w:r>
          </w:p>
        </w:tc>
        <w:tc>
          <w:tcPr>
            <w:tcW w:w="7392" w:type="dxa"/>
            <w:shd w:val="clear" w:color="auto" w:fill="FFFFFF"/>
            <w:vAlign w:val="center"/>
          </w:tcPr>
          <w:p>
            <w:pPr>
              <w:spacing w:before="20" w:after="20"/>
              <w:ind w:left="57"/>
              <w:rPr>
                <w:rFonts w:ascii="宋体" w:hAnsi="宋体" w:cs="宋体"/>
                <w:sz w:val="24"/>
              </w:rPr>
            </w:pPr>
            <w:r>
              <w:rPr>
                <w:rFonts w:hint="eastAsia" w:ascii="黑体" w:hAnsi="黑体" w:eastAsia="黑体" w:cs="仿宋"/>
                <w:bCs/>
                <w:snapToGrid w:val="0"/>
                <w:color w:val="000000" w:themeColor="text1"/>
                <w:sz w:val="24"/>
                <w14:textFill>
                  <w14:solidFill>
                    <w14:schemeClr w14:val="tx1"/>
                  </w14:solidFill>
                </w14:textFill>
              </w:rPr>
              <w:t>▲</w:t>
            </w:r>
            <w:r>
              <w:rPr>
                <w:rFonts w:hint="eastAsia" w:ascii="宋体" w:hAnsi="宋体" w:cs="宋体"/>
                <w:kern w:val="0"/>
                <w:sz w:val="24"/>
                <w:lang w:bidi="ar"/>
              </w:rPr>
              <w:t>外廓尺寸</w:t>
            </w:r>
            <w:r>
              <w:rPr>
                <w:rFonts w:hint="eastAsia" w:ascii="宋体" w:hAnsi="宋体" w:cs="宋体"/>
                <w:sz w:val="24"/>
              </w:rPr>
              <w:t>：≤9100mm×2550mm×3700mm。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Style w:val="13"/>
                <w:rFonts w:hint="default" w:ascii="宋体" w:hAnsi="宋体" w:eastAsia="宋体" w:cs="宋体"/>
                <w:b/>
                <w:bCs/>
                <w:szCs w:val="21"/>
              </w:rPr>
            </w:pPr>
            <w:r>
              <w:rPr>
                <w:rStyle w:val="13"/>
                <w:rFonts w:hint="default" w:ascii="宋体" w:hAnsi="宋体" w:eastAsia="宋体" w:cs="宋体"/>
                <w:b/>
                <w:bCs/>
                <w:sz w:val="24"/>
                <w:szCs w:val="24"/>
              </w:rPr>
              <w:t>（二）底盘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1</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▲额定功率：≥250kW。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Style w:val="13"/>
                <w:rFonts w:hint="default" w:ascii="宋体" w:hAnsi="宋体" w:eastAsia="宋体" w:cs="宋体"/>
                <w:sz w:val="24"/>
                <w:szCs w:val="24"/>
              </w:rPr>
              <w:t>2</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排放标准</w:t>
            </w:r>
            <w:r>
              <w:rPr>
                <w:rFonts w:hint="eastAsia" w:ascii="宋体" w:hAnsi="宋体" w:cs="宋体"/>
                <w:kern w:val="0"/>
                <w:sz w:val="24"/>
              </w:rPr>
              <w:t>：</w:t>
            </w:r>
            <w:r>
              <w:rPr>
                <w:rFonts w:hint="eastAsia" w:ascii="宋体" w:hAnsi="宋体" w:cs="宋体"/>
                <w:sz w:val="24"/>
              </w:rPr>
              <w:t>符合国Ⅵ排放标准；驱动形式：4×2。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3</w:t>
            </w:r>
          </w:p>
        </w:tc>
        <w:tc>
          <w:tcPr>
            <w:tcW w:w="7392" w:type="dxa"/>
            <w:shd w:val="clear" w:color="auto" w:fill="FFFFFF"/>
            <w:vAlign w:val="center"/>
          </w:tcPr>
          <w:p>
            <w:pPr>
              <w:pStyle w:val="4"/>
              <w:spacing w:before="20" w:after="20"/>
              <w:rPr>
                <w:rFonts w:ascii="宋体" w:hAnsi="宋体" w:cs="宋体"/>
                <w:sz w:val="24"/>
              </w:rPr>
            </w:pPr>
            <w:r>
              <w:rPr>
                <w:rFonts w:hint="eastAsia" w:ascii="宋体" w:hAnsi="宋体" w:cs="宋体"/>
                <w:sz w:val="24"/>
              </w:rPr>
              <w:t>▲座位设置：</w:t>
            </w:r>
            <w:r>
              <w:rPr>
                <w:rFonts w:hint="eastAsia" w:ascii="宋体" w:hAnsi="宋体" w:cs="宋体"/>
                <w:sz w:val="24"/>
                <w:lang w:bidi="ar"/>
              </w:rPr>
              <w:t>驾乘员人数</w:t>
            </w:r>
            <w:r>
              <w:rPr>
                <w:rFonts w:hint="eastAsia" w:ascii="宋体" w:hAnsi="宋体" w:cs="宋体"/>
                <w:sz w:val="24"/>
              </w:rPr>
              <w:t>≥6人。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4</w:t>
            </w:r>
          </w:p>
        </w:tc>
        <w:tc>
          <w:tcPr>
            <w:tcW w:w="7392" w:type="dxa"/>
            <w:shd w:val="clear" w:color="auto" w:fill="FFFFFF"/>
            <w:vAlign w:val="center"/>
          </w:tcPr>
          <w:p>
            <w:pPr>
              <w:pStyle w:val="4"/>
              <w:spacing w:before="20" w:after="20"/>
              <w:rPr>
                <w:rFonts w:ascii="宋体" w:hAnsi="宋体" w:cs="宋体"/>
                <w:sz w:val="24"/>
              </w:rPr>
            </w:pPr>
            <w:r>
              <w:rPr>
                <w:rFonts w:hint="eastAsia" w:ascii="宋体" w:hAnsi="宋体" w:cs="宋体"/>
                <w:sz w:val="24"/>
              </w:rPr>
              <w:t>后排加装4具空气呼吸器支架，座椅均配备安全</w:t>
            </w:r>
            <w:bookmarkStart w:id="0" w:name="_GoBack"/>
            <w:bookmarkEnd w:id="0"/>
            <w:r>
              <w:rPr>
                <w:rFonts w:hint="eastAsia" w:ascii="宋体" w:hAnsi="宋体" w:cs="宋体"/>
                <w:sz w:val="24"/>
              </w:rPr>
              <w:t>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5</w:t>
            </w:r>
          </w:p>
        </w:tc>
        <w:tc>
          <w:tcPr>
            <w:tcW w:w="7392" w:type="dxa"/>
            <w:shd w:val="clear" w:color="auto" w:fill="FFFFFF"/>
            <w:vAlign w:val="center"/>
          </w:tcPr>
          <w:p>
            <w:pPr>
              <w:pStyle w:val="4"/>
              <w:spacing w:before="20" w:after="20"/>
              <w:rPr>
                <w:rFonts w:ascii="宋体" w:hAnsi="宋体" w:cs="宋体"/>
                <w:sz w:val="24"/>
              </w:rPr>
            </w:pPr>
            <w:r>
              <w:rPr>
                <w:rFonts w:hint="eastAsia" w:ascii="宋体" w:hAnsi="宋体" w:cs="宋体"/>
                <w:sz w:val="24"/>
              </w:rPr>
              <w:t>所有车桥采用盘式制动器。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6</w:t>
            </w:r>
          </w:p>
        </w:tc>
        <w:tc>
          <w:tcPr>
            <w:tcW w:w="7392" w:type="dxa"/>
            <w:shd w:val="clear" w:color="auto" w:fill="FFFFFF"/>
            <w:vAlign w:val="center"/>
          </w:tcPr>
          <w:p>
            <w:pPr>
              <w:pStyle w:val="4"/>
              <w:spacing w:before="20" w:after="20"/>
              <w:rPr>
                <w:rFonts w:ascii="宋体" w:hAnsi="宋体" w:cs="宋体"/>
                <w:sz w:val="24"/>
              </w:rPr>
            </w:pPr>
            <w:r>
              <w:rPr>
                <w:rFonts w:hint="eastAsia" w:ascii="宋体" w:hAnsi="宋体" w:cs="宋体"/>
                <w:sz w:val="24"/>
              </w:rPr>
              <w:t>▲最小转弯直径：左转：≤1</w:t>
            </w:r>
            <w:r>
              <w:rPr>
                <w:rFonts w:ascii="宋体" w:hAnsi="宋体" w:cs="宋体"/>
                <w:sz w:val="24"/>
              </w:rPr>
              <w:t>9</w:t>
            </w:r>
            <w:r>
              <w:rPr>
                <w:rFonts w:hint="eastAsia" w:ascii="宋体" w:hAnsi="宋体" w:cs="宋体"/>
                <w:sz w:val="24"/>
              </w:rPr>
              <w:t>m 、右转：≤1</w:t>
            </w:r>
            <w:r>
              <w:rPr>
                <w:rFonts w:ascii="宋体" w:hAnsi="宋体" w:cs="宋体"/>
                <w:sz w:val="24"/>
              </w:rPr>
              <w:t>9</w:t>
            </w:r>
            <w:r>
              <w:rPr>
                <w:rFonts w:hint="eastAsia" w:ascii="宋体" w:hAnsi="宋体" w:cs="宋体"/>
                <w:sz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eastAsia="宋体" w:cs="宋体"/>
                <w:sz w:val="24"/>
                <w:szCs w:val="24"/>
              </w:rPr>
            </w:pPr>
            <w:r>
              <w:rPr>
                <w:rFonts w:hint="eastAsia" w:ascii="宋体" w:hAnsi="宋体" w:eastAsia="宋体" w:cs="宋体"/>
                <w:sz w:val="24"/>
                <w:szCs w:val="24"/>
              </w:rPr>
              <w:t>7</w:t>
            </w:r>
          </w:p>
        </w:tc>
        <w:tc>
          <w:tcPr>
            <w:tcW w:w="7392" w:type="dxa"/>
            <w:shd w:val="clear" w:color="auto" w:fill="FFFFFF"/>
            <w:vAlign w:val="center"/>
          </w:tcPr>
          <w:p>
            <w:pPr>
              <w:pStyle w:val="4"/>
              <w:spacing w:before="20" w:after="20"/>
              <w:rPr>
                <w:rFonts w:ascii="宋体" w:hAnsi="宋体" w:cs="宋体"/>
                <w:sz w:val="24"/>
              </w:rPr>
            </w:pPr>
            <w:r>
              <w:rPr>
                <w:rFonts w:hint="eastAsia" w:ascii="宋体" w:hAnsi="宋体" w:cs="宋体"/>
                <w:sz w:val="24"/>
              </w:rPr>
              <w:t>▲</w:t>
            </w:r>
            <w:r>
              <w:rPr>
                <w:rFonts w:hint="eastAsia" w:ascii="宋体" w:hAnsi="宋体" w:cs="宋体"/>
                <w:bCs/>
                <w:snapToGrid w:val="0"/>
                <w:color w:val="000000" w:themeColor="text1"/>
                <w:sz w:val="24"/>
                <w14:textFill>
                  <w14:solidFill>
                    <w14:schemeClr w14:val="tx1"/>
                  </w14:solidFill>
                </w14:textFill>
              </w:rPr>
              <w:t>接近角/离去角：</w:t>
            </w:r>
            <w:r>
              <w:rPr>
                <w:rFonts w:hint="eastAsia" w:ascii="宋体" w:hAnsi="宋体" w:cs="宋体"/>
                <w:sz w:val="24"/>
              </w:rPr>
              <w:t>≥</w:t>
            </w:r>
            <w:r>
              <w:rPr>
                <w:rFonts w:hint="eastAsia" w:ascii="宋体" w:hAnsi="宋体" w:cs="宋体"/>
                <w:bCs/>
                <w:snapToGrid w:val="0"/>
                <w:color w:val="000000" w:themeColor="text1"/>
                <w:sz w:val="24"/>
                <w14:textFill>
                  <w14:solidFill>
                    <w14:schemeClr w14:val="tx1"/>
                  </w14:solidFill>
                </w14:textFill>
              </w:rPr>
              <w:t>13°/11°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（三）上装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jc w:val="center"/>
              <w:rPr>
                <w:rFonts w:ascii="宋体" w:hAnsi="宋体" w:cs="宋体"/>
                <w:szCs w:val="21"/>
              </w:rPr>
            </w:pPr>
            <w:r>
              <w:rPr>
                <w:rFonts w:hint="eastAsia" w:ascii="宋体" w:hAnsi="宋体" w:cs="宋体"/>
                <w:szCs w:val="21"/>
              </w:rPr>
              <w:t>1</w:t>
            </w:r>
          </w:p>
        </w:tc>
        <w:tc>
          <w:tcPr>
            <w:tcW w:w="7392" w:type="dxa"/>
            <w:shd w:val="clear" w:color="auto" w:fill="FFFFFF"/>
          </w:tcPr>
          <w:p>
            <w:pPr>
              <w:rPr>
                <w:rFonts w:ascii="宋体" w:hAnsi="宋体" w:cs="宋体"/>
                <w:szCs w:val="21"/>
              </w:rPr>
            </w:pPr>
            <w:r>
              <w:rPr>
                <w:rFonts w:hint="eastAsia" w:ascii="宋体" w:hAnsi="宋体"/>
                <w:sz w:val="24"/>
              </w:rPr>
              <w:t>材质:</w:t>
            </w:r>
            <w:r>
              <w:rPr>
                <w:rFonts w:hint="eastAsia" w:ascii="宋体" w:hAnsi="宋体"/>
                <w:sz w:val="24"/>
                <w:szCs w:val="28"/>
              </w:rPr>
              <w:t>车厢（器材箱、泵室及内骨架）全部采用高强度铝合金型材，内饰板采用光面拉丝氧化铝板.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jc w:val="center"/>
              <w:rPr>
                <w:rFonts w:ascii="宋体" w:hAnsi="宋体" w:cs="宋体"/>
                <w:szCs w:val="21"/>
              </w:rPr>
            </w:pPr>
            <w:r>
              <w:rPr>
                <w:rFonts w:ascii="宋体" w:hAnsi="宋体" w:cs="宋体"/>
                <w:szCs w:val="21"/>
              </w:rPr>
              <w:t>2</w:t>
            </w:r>
          </w:p>
        </w:tc>
        <w:tc>
          <w:tcPr>
            <w:tcW w:w="7392" w:type="dxa"/>
            <w:shd w:val="clear" w:color="auto" w:fill="FFFFFF"/>
          </w:tcPr>
          <w:p>
            <w:pPr>
              <w:rPr>
                <w:rFonts w:ascii="宋体" w:hAnsi="宋体" w:cs="宋体"/>
                <w:szCs w:val="21"/>
              </w:rPr>
            </w:pPr>
            <w:r>
              <w:rPr>
                <w:rFonts w:hint="eastAsia" w:ascii="宋体" w:hAnsi="宋体"/>
                <w:sz w:val="24"/>
              </w:rPr>
              <w:t>结构:</w:t>
            </w:r>
            <w:r>
              <w:rPr>
                <w:rFonts w:hint="eastAsia" w:ascii="宋体" w:hAnsi="宋体"/>
                <w:sz w:val="24"/>
                <w:szCs w:val="28"/>
              </w:rPr>
              <w:t>车厢的骨架为全铝合金框架焊接式结构，外蒙皮为铝合金板粘接技术；车厢内器材骨架采用铝合金型材搭接结构，能根据客户要求灵活布局器材箱结构最大限度地提高空间利用率，在器材箱内可选用新型滑动托架、拖板或高强度的塑料存放盒等存放结构，充分利用车厢内部有限空间；内饰板和底板均为光面拉丝铝合金板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jc w:val="center"/>
              <w:rPr>
                <w:rFonts w:ascii="宋体" w:hAnsi="宋体" w:cs="宋体"/>
                <w:szCs w:val="21"/>
              </w:rPr>
            </w:pPr>
            <w:r>
              <w:rPr>
                <w:rFonts w:hint="eastAsia" w:ascii="宋体" w:hAnsi="宋体" w:cs="宋体"/>
                <w:szCs w:val="21"/>
              </w:rPr>
              <w:t>3</w:t>
            </w:r>
          </w:p>
        </w:tc>
        <w:tc>
          <w:tcPr>
            <w:tcW w:w="7392" w:type="dxa"/>
            <w:shd w:val="clear" w:color="auto" w:fill="FFFFFF"/>
          </w:tcPr>
          <w:p>
            <w:pPr>
              <w:rPr>
                <w:rFonts w:ascii="宋体" w:hAnsi="宋体"/>
                <w:sz w:val="24"/>
              </w:rPr>
            </w:pPr>
            <w:r>
              <w:rPr>
                <w:rFonts w:hint="eastAsia" w:ascii="宋体" w:hAnsi="宋体"/>
                <w:sz w:val="24"/>
              </w:rPr>
              <w:t>车顶护围：采用铝合金整体拉制成型，外侧安装频闪警灯及车外照明灯，内侧安装LED车顶照明灯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jc w:val="center"/>
              <w:rPr>
                <w:rFonts w:ascii="宋体" w:hAnsi="宋体" w:cs="宋体"/>
                <w:szCs w:val="21"/>
              </w:rPr>
            </w:pPr>
            <w:r>
              <w:rPr>
                <w:rFonts w:hint="eastAsia" w:ascii="宋体" w:hAnsi="宋体" w:cs="宋体"/>
                <w:szCs w:val="21"/>
              </w:rPr>
              <w:t>4</w:t>
            </w:r>
          </w:p>
        </w:tc>
        <w:tc>
          <w:tcPr>
            <w:tcW w:w="7392" w:type="dxa"/>
            <w:shd w:val="clear" w:color="auto" w:fill="FFFFFF"/>
          </w:tcPr>
          <w:p>
            <w:pPr>
              <w:rPr>
                <w:rFonts w:ascii="宋体" w:hAnsi="宋体"/>
                <w:sz w:val="24"/>
              </w:rPr>
            </w:pPr>
            <w:r>
              <w:rPr>
                <w:rFonts w:hint="eastAsia" w:ascii="宋体" w:hAnsi="宋体"/>
                <w:sz w:val="24"/>
              </w:rPr>
              <w:t>梯架：</w:t>
            </w:r>
            <w:r>
              <w:rPr>
                <w:rFonts w:hint="eastAsia" w:ascii="宋体" w:hAnsi="宋体"/>
                <w:sz w:val="24"/>
                <w:szCs w:val="28"/>
              </w:rPr>
              <w:t>车厢顶部设置一套多功能二节拉梯架，可放置二节拉梯、单杠梯、挂钩梯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jc w:val="center"/>
              <w:rPr>
                <w:rFonts w:ascii="宋体" w:hAnsi="宋体" w:cs="宋体"/>
                <w:szCs w:val="21"/>
              </w:rPr>
            </w:pPr>
            <w:r>
              <w:rPr>
                <w:rFonts w:hint="eastAsia" w:ascii="宋体" w:hAnsi="宋体" w:cs="宋体"/>
                <w:szCs w:val="21"/>
              </w:rPr>
              <w:t>5</w:t>
            </w:r>
          </w:p>
        </w:tc>
        <w:tc>
          <w:tcPr>
            <w:tcW w:w="7392" w:type="dxa"/>
            <w:shd w:val="clear" w:color="auto" w:fill="FFFFFF"/>
          </w:tcPr>
          <w:p>
            <w:pPr>
              <w:spacing w:line="310" w:lineRule="exact"/>
              <w:rPr>
                <w:rFonts w:ascii="宋体" w:hAnsi="宋体"/>
                <w:sz w:val="24"/>
              </w:rPr>
            </w:pPr>
            <w:r>
              <w:rPr>
                <w:rFonts w:hint="eastAsia" w:ascii="宋体" w:hAnsi="宋体"/>
                <w:sz w:val="24"/>
              </w:rPr>
              <w:t>后爬梯：</w:t>
            </w:r>
            <w:r>
              <w:rPr>
                <w:rFonts w:hint="eastAsia" w:ascii="宋体" w:hAnsi="宋体"/>
                <w:sz w:val="24"/>
                <w:szCs w:val="28"/>
              </w:rPr>
              <w:t>车厢后部右侧设置一架通往车顶的铝合金安全爬梯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0" w:hRule="atLeast"/>
          <w:jc w:val="center"/>
        </w:trPr>
        <w:tc>
          <w:tcPr>
            <w:tcW w:w="725" w:type="dxa"/>
            <w:shd w:val="clear" w:color="auto" w:fill="FFFFFF"/>
            <w:vAlign w:val="center"/>
          </w:tcPr>
          <w:p>
            <w:pPr>
              <w:jc w:val="center"/>
              <w:rPr>
                <w:rFonts w:ascii="宋体" w:hAnsi="宋体" w:cs="宋体"/>
                <w:szCs w:val="21"/>
              </w:rPr>
            </w:pPr>
            <w:r>
              <w:rPr>
                <w:rFonts w:hint="eastAsia" w:ascii="宋体" w:hAnsi="宋体" w:cs="宋体"/>
                <w:szCs w:val="21"/>
              </w:rPr>
              <w:t>6</w:t>
            </w:r>
          </w:p>
        </w:tc>
        <w:tc>
          <w:tcPr>
            <w:tcW w:w="7392" w:type="dxa"/>
            <w:shd w:val="clear" w:color="auto" w:fill="FFFFFF"/>
          </w:tcPr>
          <w:p>
            <w:pPr>
              <w:spacing w:line="310" w:lineRule="exact"/>
              <w:rPr>
                <w:rFonts w:ascii="宋体" w:hAnsi="宋体"/>
                <w:sz w:val="24"/>
              </w:rPr>
            </w:pPr>
            <w:r>
              <w:rPr>
                <w:rFonts w:hint="eastAsia" w:ascii="宋体" w:hAnsi="宋体"/>
                <w:sz w:val="24"/>
              </w:rPr>
              <w:t>电动绞盘：设置于车头前下部，额定拉力≥50kN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（四）罐体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Cs w:val="21"/>
              </w:rPr>
            </w:pPr>
            <w:r>
              <w:rPr>
                <w:rFonts w:hint="eastAsia" w:ascii="宋体" w:hAnsi="宋体" w:cs="宋体"/>
                <w:szCs w:val="21"/>
              </w:rPr>
              <w:t>1</w:t>
            </w:r>
          </w:p>
        </w:tc>
        <w:tc>
          <w:tcPr>
            <w:tcW w:w="7392" w:type="dxa"/>
            <w:shd w:val="clear" w:color="auto" w:fill="FFFFFF"/>
            <w:vAlign w:val="center"/>
          </w:tcPr>
          <w:p>
            <w:pPr>
              <w:spacing w:before="20" w:after="20"/>
              <w:ind w:left="57"/>
              <w:rPr>
                <w:rFonts w:ascii="宋体" w:hAnsi="宋体" w:cs="宋体"/>
                <w:szCs w:val="21"/>
              </w:rPr>
            </w:pPr>
            <w:r>
              <w:rPr>
                <w:rFonts w:hint="eastAsia" w:ascii="宋体" w:hAnsi="宋体"/>
                <w:sz w:val="24"/>
              </w:rPr>
              <w:t>▲水</w:t>
            </w:r>
            <w:r>
              <w:rPr>
                <w:rFonts w:hint="eastAsia" w:ascii="宋体" w:hAnsi="宋体" w:cs="宋体"/>
                <w:szCs w:val="21"/>
              </w:rPr>
              <w:t>罐容积</w:t>
            </w:r>
            <w:r>
              <w:rPr>
                <w:rFonts w:hint="eastAsia" w:ascii="宋体" w:hAnsi="宋体"/>
                <w:sz w:val="24"/>
              </w:rPr>
              <w:t>：≥40</w:t>
            </w:r>
            <w:r>
              <w:rPr>
                <w:rFonts w:ascii="宋体" w:hAnsi="宋体"/>
                <w:sz w:val="24"/>
              </w:rPr>
              <w:t>0</w:t>
            </w:r>
            <w:r>
              <w:rPr>
                <w:rFonts w:hint="eastAsia" w:ascii="宋体" w:hAnsi="宋体"/>
                <w:sz w:val="24"/>
              </w:rPr>
              <w:t>0L，泡沫</w:t>
            </w:r>
            <w:r>
              <w:rPr>
                <w:rFonts w:hint="eastAsia" w:ascii="宋体" w:hAnsi="宋体" w:cs="宋体"/>
                <w:szCs w:val="21"/>
              </w:rPr>
              <w:t>罐容积</w:t>
            </w:r>
            <w:r>
              <w:rPr>
                <w:rFonts w:hint="eastAsia" w:ascii="宋体" w:hAnsi="宋体"/>
                <w:sz w:val="24"/>
              </w:rPr>
              <w:t>：≥20</w:t>
            </w:r>
            <w:r>
              <w:rPr>
                <w:rFonts w:ascii="宋体" w:hAnsi="宋体"/>
                <w:sz w:val="24"/>
              </w:rPr>
              <w:t>0</w:t>
            </w:r>
            <w:r>
              <w:rPr>
                <w:rFonts w:hint="eastAsia" w:ascii="宋体" w:hAnsi="宋体"/>
                <w:sz w:val="24"/>
              </w:rPr>
              <w:t>0L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398" w:hRule="atLeast"/>
          <w:jc w:val="center"/>
        </w:trPr>
        <w:tc>
          <w:tcPr>
            <w:tcW w:w="725" w:type="dxa"/>
            <w:shd w:val="clear" w:color="auto" w:fill="FFFFFF"/>
            <w:vAlign w:val="center"/>
          </w:tcPr>
          <w:p>
            <w:pPr>
              <w:pStyle w:val="15"/>
              <w:shd w:val="clear" w:color="auto" w:fill="auto"/>
              <w:spacing w:before="20" w:after="20"/>
              <w:jc w:val="center"/>
              <w:rPr>
                <w:rFonts w:ascii="宋体" w:hAnsi="宋体" w:cs="宋体"/>
                <w:szCs w:val="21"/>
              </w:rPr>
            </w:pPr>
            <w:r>
              <w:rPr>
                <w:rFonts w:hint="eastAsia" w:ascii="宋体" w:hAnsi="宋体" w:cs="宋体"/>
                <w:szCs w:val="21"/>
              </w:rPr>
              <w:t>2</w:t>
            </w:r>
          </w:p>
        </w:tc>
        <w:tc>
          <w:tcPr>
            <w:tcW w:w="7392" w:type="dxa"/>
            <w:shd w:val="clear" w:color="auto" w:fill="FFFFFF"/>
            <w:vAlign w:val="center"/>
          </w:tcPr>
          <w:p>
            <w:pPr>
              <w:spacing w:before="20" w:after="20"/>
              <w:ind w:left="57"/>
              <w:rPr>
                <w:rFonts w:ascii="宋体" w:hAnsi="宋体" w:cs="宋体"/>
                <w:szCs w:val="21"/>
              </w:rPr>
            </w:pPr>
            <w:r>
              <w:rPr>
                <w:rFonts w:hint="eastAsia" w:ascii="黑体" w:hAnsi="黑体" w:eastAsia="黑体" w:cs="仿宋"/>
                <w:bCs/>
                <w:snapToGrid w:val="0"/>
                <w:color w:val="000000" w:themeColor="text1"/>
                <w:sz w:val="24"/>
                <w14:textFill>
                  <w14:solidFill>
                    <w14:schemeClr w14:val="tx1"/>
                  </w14:solidFill>
                </w14:textFill>
              </w:rPr>
              <w:t>▲</w:t>
            </w:r>
            <w:r>
              <w:rPr>
                <w:rFonts w:hint="eastAsia" w:ascii="宋体" w:hAnsi="宋体"/>
                <w:sz w:val="24"/>
              </w:rPr>
              <w:t>材质：复合材料制造而成的板材或采用不锈钢罐体材质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90" w:hRule="atLeast"/>
          <w:jc w:val="center"/>
        </w:trPr>
        <w:tc>
          <w:tcPr>
            <w:tcW w:w="725" w:type="dxa"/>
            <w:shd w:val="clear" w:color="auto" w:fill="FFFFFF"/>
            <w:vAlign w:val="center"/>
          </w:tcPr>
          <w:p>
            <w:pPr>
              <w:pStyle w:val="15"/>
              <w:shd w:val="clear" w:color="auto" w:fill="auto"/>
              <w:spacing w:before="20" w:after="20"/>
              <w:jc w:val="center"/>
              <w:rPr>
                <w:rFonts w:ascii="宋体" w:hAnsi="宋体" w:cs="宋体"/>
                <w:szCs w:val="21"/>
              </w:rPr>
            </w:pPr>
            <w:r>
              <w:rPr>
                <w:rFonts w:ascii="宋体" w:hAnsi="宋体" w:cs="宋体"/>
                <w:szCs w:val="21"/>
              </w:rPr>
              <w:t>3</w:t>
            </w:r>
          </w:p>
        </w:tc>
        <w:tc>
          <w:tcPr>
            <w:tcW w:w="7392"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泡沫管路：具备泡沫液自动冲洗和外吸泡沫液功能。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（五）消防泵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Cs w:val="21"/>
              </w:rPr>
            </w:pPr>
            <w:r>
              <w:rPr>
                <w:rFonts w:hint="eastAsia" w:ascii="宋体" w:hAnsi="宋体" w:cs="宋体"/>
                <w:szCs w:val="21"/>
              </w:rPr>
              <w:t>1</w:t>
            </w:r>
          </w:p>
        </w:tc>
        <w:tc>
          <w:tcPr>
            <w:tcW w:w="7392" w:type="dxa"/>
            <w:shd w:val="clear" w:color="auto" w:fill="FFFFFF"/>
            <w:vAlign w:val="center"/>
          </w:tcPr>
          <w:p>
            <w:pPr>
              <w:spacing w:before="20" w:after="20"/>
              <w:ind w:left="57"/>
              <w:rPr>
                <w:rFonts w:ascii="宋体" w:hAnsi="宋体" w:cs="宋体"/>
                <w:szCs w:val="21"/>
              </w:rPr>
            </w:pPr>
            <w:r>
              <w:rPr>
                <w:rFonts w:hint="eastAsia" w:ascii="宋体" w:hAnsi="宋体" w:cs="宋体"/>
                <w:szCs w:val="21"/>
              </w:rPr>
              <w:t>▲消防泵连续运转试验出口压力、试验流量≥80L/s@1.0MPa。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sz w:val="24"/>
                <w:szCs w:val="24"/>
              </w:rPr>
              <w:t>2</w:t>
            </w:r>
          </w:p>
        </w:tc>
        <w:tc>
          <w:tcPr>
            <w:tcW w:w="7392" w:type="dxa"/>
            <w:shd w:val="clear" w:color="auto" w:fill="FFFFFF"/>
            <w:vAlign w:val="center"/>
          </w:tcPr>
          <w:p>
            <w:pPr>
              <w:spacing w:before="20" w:after="20"/>
              <w:ind w:left="57"/>
              <w:rPr>
                <w:rFonts w:ascii="宋体" w:hAnsi="宋体" w:cs="宋体"/>
                <w:szCs w:val="21"/>
              </w:rPr>
            </w:pPr>
            <w:r>
              <w:rPr>
                <w:rFonts w:hint="eastAsia" w:ascii="宋体" w:hAnsi="宋体"/>
                <w:sz w:val="24"/>
              </w:rPr>
              <w:t>真空泵引水时间≤ 60s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（六）消防炮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rFonts w:hint="eastAsia" w:ascii="宋体" w:hAnsi="宋体" w:cs="宋体"/>
                <w:sz w:val="24"/>
                <w:szCs w:val="24"/>
              </w:rPr>
              <w:t>1</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功能：水、泡沫两用炮；控制方式：无线遥控。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rFonts w:hint="eastAsia" w:ascii="宋体" w:hAnsi="宋体" w:cs="宋体"/>
                <w:sz w:val="24"/>
                <w:szCs w:val="24"/>
              </w:rPr>
              <w:t>2</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▲流量：≥64L/s@≤1.0MPa。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rFonts w:ascii="宋体" w:hAnsi="宋体" w:cs="宋体"/>
                <w:sz w:val="24"/>
                <w:szCs w:val="24"/>
              </w:rPr>
              <w:t>3</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▲射程：水≥</w:t>
            </w:r>
            <w:r>
              <w:rPr>
                <w:rFonts w:ascii="宋体" w:hAnsi="宋体" w:cs="宋体"/>
                <w:sz w:val="24"/>
              </w:rPr>
              <w:t>75</w:t>
            </w:r>
            <w:r>
              <w:rPr>
                <w:rFonts w:hint="eastAsia" w:ascii="宋体" w:hAnsi="宋体" w:cs="宋体"/>
                <w:sz w:val="24"/>
              </w:rPr>
              <w:t>m、 泡沫≥7</w:t>
            </w:r>
            <w:r>
              <w:rPr>
                <w:rFonts w:ascii="宋体" w:hAnsi="宋体" w:cs="宋体"/>
                <w:sz w:val="24"/>
              </w:rPr>
              <w:t>0</w:t>
            </w:r>
            <w:r>
              <w:rPr>
                <w:rFonts w:hint="eastAsia" w:ascii="宋体" w:hAnsi="宋体" w:cs="宋体"/>
                <w:sz w:val="24"/>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rFonts w:ascii="宋体" w:hAnsi="宋体" w:cs="宋体"/>
                <w:sz w:val="24"/>
                <w:szCs w:val="24"/>
              </w:rPr>
              <w:t>4</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▲水平回转角：≥360°。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90" w:hRule="atLeast"/>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rFonts w:ascii="宋体" w:hAnsi="宋体" w:cs="宋体"/>
                <w:sz w:val="24"/>
                <w:szCs w:val="24"/>
              </w:rPr>
              <w:t>5</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kern w:val="0"/>
                <w:sz w:val="24"/>
                <w:lang w:bidi="ar"/>
              </w:rPr>
              <w:t xml:space="preserve">俯仰回转角 </w:t>
            </w:r>
            <w:r>
              <w:rPr>
                <w:rFonts w:hint="eastAsia" w:ascii="宋体" w:hAnsi="宋体" w:cs="宋体"/>
                <w:sz w:val="24"/>
              </w:rPr>
              <w:t>：最大仰角≥65°、最小俯角≤-15°。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725" w:type="dxa"/>
            <w:shd w:val="clear" w:color="auto" w:fill="FFFFFF"/>
            <w:vAlign w:val="center"/>
          </w:tcPr>
          <w:p>
            <w:pPr>
              <w:pStyle w:val="15"/>
              <w:shd w:val="clear" w:color="auto" w:fill="auto"/>
              <w:spacing w:before="20" w:after="20"/>
              <w:jc w:val="center"/>
              <w:rPr>
                <w:rFonts w:ascii="宋体" w:hAnsi="宋体" w:cs="宋体"/>
                <w:sz w:val="24"/>
                <w:szCs w:val="24"/>
              </w:rPr>
            </w:pPr>
            <w:r>
              <w:rPr>
                <w:rFonts w:ascii="宋体" w:hAnsi="宋体" w:cs="宋体"/>
                <w:sz w:val="24"/>
                <w:szCs w:val="24"/>
              </w:rPr>
              <w:t>6</w:t>
            </w:r>
          </w:p>
        </w:tc>
        <w:tc>
          <w:tcPr>
            <w:tcW w:w="7392" w:type="dxa"/>
            <w:shd w:val="clear" w:color="auto" w:fill="FFFFFF"/>
            <w:vAlign w:val="center"/>
          </w:tcPr>
          <w:p>
            <w:pPr>
              <w:spacing w:before="20" w:after="20"/>
              <w:ind w:left="57"/>
              <w:rPr>
                <w:rFonts w:ascii="宋体" w:hAnsi="宋体" w:cs="宋体"/>
                <w:sz w:val="24"/>
              </w:rPr>
            </w:pPr>
            <w:r>
              <w:rPr>
                <w:rFonts w:hint="eastAsia" w:ascii="宋体" w:hAnsi="宋体" w:cs="宋体"/>
                <w:sz w:val="24"/>
              </w:rPr>
              <w:t>遥控距离≥100m。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jc w:val="center"/>
        </w:trPr>
        <w:tc>
          <w:tcPr>
            <w:tcW w:w="8117" w:type="dxa"/>
            <w:gridSpan w:val="2"/>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（七）副大梁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gridAfter w:val="1"/>
          <w:wAfter w:w="18" w:type="dxa"/>
          <w:trHeight w:val="718" w:hRule="atLeast"/>
          <w:jc w:val="center"/>
        </w:trPr>
        <w:tc>
          <w:tcPr>
            <w:tcW w:w="725" w:type="dxa"/>
            <w:shd w:val="clear" w:color="auto" w:fill="FFFFFF"/>
            <w:vAlign w:val="center"/>
          </w:tcPr>
          <w:p>
            <w:pPr>
              <w:pStyle w:val="15"/>
              <w:shd w:val="clear" w:color="auto" w:fill="auto"/>
              <w:spacing w:before="20" w:after="20"/>
              <w:ind w:left="320"/>
              <w:rPr>
                <w:rFonts w:ascii="宋体" w:hAnsi="宋体" w:cs="宋体"/>
                <w:sz w:val="24"/>
                <w:szCs w:val="24"/>
              </w:rPr>
            </w:pPr>
            <w:r>
              <w:rPr>
                <w:rFonts w:hint="eastAsia" w:ascii="宋体" w:hAnsi="宋体" w:cs="宋体"/>
                <w:sz w:val="24"/>
                <w:szCs w:val="24"/>
              </w:rPr>
              <w:t>1</w:t>
            </w:r>
          </w:p>
        </w:tc>
        <w:tc>
          <w:tcPr>
            <w:tcW w:w="7392" w:type="dxa"/>
            <w:shd w:val="clear" w:color="auto" w:fill="FFFFFF"/>
            <w:vAlign w:val="center"/>
          </w:tcPr>
          <w:p>
            <w:pPr>
              <w:rPr>
                <w:sz w:val="24"/>
              </w:rPr>
            </w:pPr>
            <w:r>
              <w:rPr>
                <w:rFonts w:hint="eastAsia" w:ascii="宋体" w:hAnsi="宋体"/>
                <w:sz w:val="24"/>
              </w:rPr>
              <w:t>材质：采用专用钢材制造而成的高强度矩管,性能：</w:t>
            </w:r>
            <w:r>
              <w:rPr>
                <w:rFonts w:hint="eastAsia" w:ascii="宋体" w:hAnsi="宋体"/>
                <w:sz w:val="24"/>
                <w:lang w:bidi="ar"/>
              </w:rPr>
              <w:t>采用全金属气体保护焊接技术，进行喷砂处理，耐腐蚀性处理。副车架与罐体采用高强度复合连接，增加上装车厢强度，充分发挥底盘性能，同时标准化副车架实现上装部件的灵活装配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3"/>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（八）其他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ascii="宋体" w:hAnsi="宋体" w:cs="宋体"/>
                <w:sz w:val="24"/>
              </w:rPr>
            </w:pPr>
            <w:r>
              <w:rPr>
                <w:rFonts w:hint="eastAsia" w:ascii="宋体" w:hAnsi="宋体" w:cs="宋体"/>
                <w:sz w:val="24"/>
              </w:rPr>
              <w:t>1</w:t>
            </w:r>
          </w:p>
        </w:tc>
        <w:tc>
          <w:tcPr>
            <w:tcW w:w="7410" w:type="dxa"/>
            <w:gridSpan w:val="2"/>
            <w:shd w:val="clear" w:color="auto" w:fill="FFFFFF"/>
          </w:tcPr>
          <w:p>
            <w:pPr>
              <w:rPr>
                <w:rFonts w:ascii="宋体" w:hAnsi="宋体" w:cs="宋体"/>
                <w:sz w:val="24"/>
              </w:rPr>
            </w:pPr>
            <w:r>
              <w:rPr>
                <w:rFonts w:hint="eastAsia" w:ascii="宋体" w:hAnsi="宋体" w:cs="宋体"/>
                <w:sz w:val="24"/>
              </w:rPr>
              <w:t>交车时应符合国家综合性消防救援车辆悬挂应急救援专用号牌的有关要求；按照应急管理部消防局最新车辆喷涂标识规定对车身进行喷涂。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jc w:val="center"/>
              <w:rPr>
                <w:rFonts w:ascii="宋体" w:hAnsi="宋体" w:cs="宋体"/>
                <w:sz w:val="24"/>
              </w:rPr>
            </w:pPr>
            <w:r>
              <w:rPr>
                <w:rFonts w:ascii="宋体" w:hAnsi="宋体" w:cs="宋体"/>
                <w:sz w:val="24"/>
              </w:rPr>
              <w:t>2</w:t>
            </w:r>
          </w:p>
        </w:tc>
        <w:tc>
          <w:tcPr>
            <w:tcW w:w="7410" w:type="dxa"/>
            <w:gridSpan w:val="2"/>
            <w:shd w:val="clear" w:color="auto" w:fill="FFFFFF"/>
          </w:tcPr>
          <w:p>
            <w:pPr>
              <w:rPr>
                <w:rFonts w:ascii="宋体" w:hAnsi="宋体" w:cs="宋体"/>
                <w:sz w:val="24"/>
              </w:rPr>
            </w:pPr>
            <w:r>
              <w:rPr>
                <w:rFonts w:hint="eastAsia" w:ascii="宋体" w:hAnsi="宋体" w:cs="宋体"/>
                <w:sz w:val="24"/>
              </w:rPr>
              <w:t>随车器材满足GB7956.3-2014标准中表4《器材配备表》（不含1</w:t>
            </w:r>
            <w:r>
              <w:rPr>
                <w:rFonts w:ascii="宋体" w:hAnsi="宋体" w:cs="宋体"/>
                <w:sz w:val="24"/>
              </w:rPr>
              <w:t>8</w:t>
            </w:r>
            <w:r>
              <w:rPr>
                <w:rFonts w:hint="eastAsia" w:ascii="宋体" w:hAnsi="宋体" w:cs="宋体"/>
                <w:sz w:val="24"/>
              </w:rPr>
              <w:t>至2</w:t>
            </w:r>
            <w:r>
              <w:rPr>
                <w:rFonts w:ascii="宋体" w:hAnsi="宋体" w:cs="宋体"/>
                <w:sz w:val="24"/>
              </w:rPr>
              <w:t>1</w:t>
            </w:r>
            <w:r>
              <w:rPr>
                <w:rFonts w:hint="eastAsia" w:ascii="宋体" w:hAnsi="宋体" w:cs="宋体"/>
                <w:sz w:val="24"/>
              </w:rPr>
              <w:t>项）要求。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8135" w:type="dxa"/>
            <w:gridSpan w:val="3"/>
            <w:shd w:val="clear" w:color="auto" w:fill="FFFFFF"/>
            <w:vAlign w:val="center"/>
          </w:tcPr>
          <w:p>
            <w:pPr>
              <w:pStyle w:val="15"/>
              <w:shd w:val="clear" w:color="auto" w:fill="auto"/>
              <w:spacing w:before="20" w:after="20"/>
              <w:rPr>
                <w:rFonts w:ascii="宋体" w:hAnsi="宋体" w:cs="宋体"/>
                <w:szCs w:val="21"/>
              </w:rPr>
            </w:pPr>
            <w:r>
              <w:rPr>
                <w:rStyle w:val="13"/>
                <w:rFonts w:hint="default" w:ascii="宋体" w:hAnsi="宋体" w:eastAsia="宋体" w:cs="宋体"/>
                <w:b/>
                <w:bCs/>
                <w:sz w:val="24"/>
                <w:szCs w:val="24"/>
              </w:rPr>
              <w:t>（九）随车文件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jc w:val="center"/>
        </w:trPr>
        <w:tc>
          <w:tcPr>
            <w:tcW w:w="725" w:type="dxa"/>
            <w:shd w:val="clear" w:color="auto" w:fill="FFFFFF"/>
            <w:vAlign w:val="center"/>
          </w:tcPr>
          <w:p>
            <w:pPr>
              <w:spacing w:before="20" w:after="20"/>
              <w:ind w:left="57"/>
              <w:jc w:val="center"/>
              <w:rPr>
                <w:rFonts w:ascii="宋体" w:hAnsi="宋体" w:cs="宋体"/>
                <w:sz w:val="24"/>
              </w:rPr>
            </w:pPr>
            <w:r>
              <w:rPr>
                <w:rFonts w:hint="eastAsia" w:ascii="宋体" w:hAnsi="宋体" w:cs="宋体"/>
                <w:sz w:val="24"/>
              </w:rPr>
              <w:t>1</w:t>
            </w:r>
          </w:p>
        </w:tc>
        <w:tc>
          <w:tcPr>
            <w:tcW w:w="7410" w:type="dxa"/>
            <w:gridSpan w:val="2"/>
            <w:shd w:val="clear" w:color="auto" w:fill="FFFFFF"/>
          </w:tcPr>
          <w:p>
            <w:pPr>
              <w:pStyle w:val="17"/>
              <w:spacing w:before="240" w:line="310" w:lineRule="exact"/>
              <w:ind w:firstLine="0" w:firstLineChars="0"/>
              <w:rPr>
                <w:rFonts w:ascii="宋体" w:hAnsi="宋体" w:cs="宋体"/>
                <w:sz w:val="24"/>
              </w:rPr>
            </w:pPr>
            <w:r>
              <w:rPr>
                <w:rFonts w:hint="eastAsia" w:ascii="宋体" w:hAnsi="宋体" w:cs="宋体"/>
                <w:sz w:val="24"/>
              </w:rPr>
              <w:t>（1）底盘使用说明书（2）底盘质量保修卡（3）底盘合格证（4）发动机号码拓印（5）底盘号码拓印件（6）消防车使用说明书（7）消防车消防器材清单（8）消防车合格证（9）消防车跟踪服务卡（10）消防车交接清单</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A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等线 Light">
    <w:altName w:val="华文仿宋"/>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PMingLiU">
    <w:altName w:val="Droid Sans Fallback"/>
    <w:panose1 w:val="02010601000101010101"/>
    <w:charset w:val="88"/>
    <w:family w:val="roman"/>
    <w:pitch w:val="default"/>
    <w:sig w:usb0="00000000" w:usb1="00000000" w:usb2="00000016" w:usb3="00000000" w:csb0="00100001" w:csb1="00000000"/>
  </w:font>
  <w:font w:name="Droid Sans Fallback">
    <w:panose1 w:val="020B0502000000000001"/>
    <w:charset w:val="86"/>
    <w:family w:val="auto"/>
    <w:pitch w:val="default"/>
    <w:sig w:usb0="910002FF" w:usb1="2BDFFCFB" w:usb2="00000036" w:usb3="00000000" w:csb0="203F01FF" w:csb1="D7FF0000"/>
  </w:font>
  <w:font w:name="仿宋">
    <w:altName w:val="微软雅黑"/>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等线 Light">
    <w:altName w:val="C059"/>
    <w:panose1 w:val="00000000000000000000"/>
    <w:charset w:val="00"/>
    <w:family w:val="auto"/>
    <w:pitch w:val="default"/>
    <w:sig w:usb0="00000000" w:usb1="00000000" w:usb2="00000000" w:usb3="00000000" w:csb0="00000000" w:csb1="00000000"/>
  </w:font>
  <w:font w:name="C059">
    <w:panose1 w:val="00000500000000000000"/>
    <w:charset w:val="00"/>
    <w:family w:val="auto"/>
    <w:pitch w:val="default"/>
    <w:sig w:usb0="00000287" w:usb1="00000800" w:usb2="00000000" w:usb3="00000000" w:csb0="6000009F" w:csb1="00000000"/>
  </w:font>
  <w:font w:name="MathJax_Vector">
    <w:panose1 w:val="02000603000000000000"/>
    <w:charset w:val="00"/>
    <w:family w:val="auto"/>
    <w:pitch w:val="default"/>
    <w:sig w:usb0="00000001" w:usb1="00000020" w:usb2="00000000" w:usb3="00000000" w:csb0="00000001"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3Njk3M2M5NzU2ZmMzMWQ1MzNiNWIwNDFhMmZlYmEifQ=="/>
  </w:docVars>
  <w:rsids>
    <w:rsidRoot w:val="00A13581"/>
    <w:rsid w:val="00197134"/>
    <w:rsid w:val="003B4228"/>
    <w:rsid w:val="00476DF7"/>
    <w:rsid w:val="00592112"/>
    <w:rsid w:val="00903215"/>
    <w:rsid w:val="00A13581"/>
    <w:rsid w:val="00D541A6"/>
    <w:rsid w:val="00DC4E8D"/>
    <w:rsid w:val="00EE0361"/>
    <w:rsid w:val="00F571C5"/>
    <w:rsid w:val="1F686D83"/>
    <w:rsid w:val="6ACE6728"/>
    <w:rsid w:val="79DF97CF"/>
    <w:rsid w:val="9FDEE925"/>
    <w:rsid w:val="EFA58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List 2"/>
    <w:basedOn w:val="1"/>
    <w:qFormat/>
    <w:uiPriority w:val="0"/>
    <w:pPr>
      <w:ind w:left="100" w:leftChars="200" w:hanging="200" w:hangingChars="200"/>
    </w:pPr>
  </w:style>
  <w:style w:type="paragraph" w:styleId="4">
    <w:name w:val="Body Text"/>
    <w:basedOn w:val="1"/>
    <w:next w:val="1"/>
    <w:link w:val="12"/>
    <w:unhideWhenUsed/>
    <w:qFormat/>
    <w:uiPriority w:val="99"/>
    <w:pPr>
      <w:spacing w:after="120"/>
    </w:pPr>
    <w:rPr>
      <w:kern w:val="0"/>
      <w:sz w:val="20"/>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字符"/>
    <w:basedOn w:val="8"/>
    <w:link w:val="6"/>
    <w:qFormat/>
    <w:uiPriority w:val="99"/>
    <w:rPr>
      <w:sz w:val="18"/>
      <w:szCs w:val="18"/>
    </w:rPr>
  </w:style>
  <w:style w:type="character" w:customStyle="1" w:styleId="10">
    <w:name w:val="页脚 字符"/>
    <w:basedOn w:val="8"/>
    <w:link w:val="5"/>
    <w:qFormat/>
    <w:uiPriority w:val="99"/>
    <w:rPr>
      <w:sz w:val="18"/>
      <w:szCs w:val="18"/>
    </w:rPr>
  </w:style>
  <w:style w:type="character" w:customStyle="1" w:styleId="11">
    <w:name w:val="正文文本 字符"/>
    <w:basedOn w:val="8"/>
    <w:semiHidden/>
    <w:uiPriority w:val="99"/>
    <w:rPr>
      <w:rFonts w:ascii="Times New Roman" w:hAnsi="Times New Roman" w:eastAsia="宋体" w:cs="Times New Roman"/>
      <w:szCs w:val="24"/>
    </w:rPr>
  </w:style>
  <w:style w:type="character" w:customStyle="1" w:styleId="12">
    <w:name w:val="正文文本 字符1"/>
    <w:link w:val="4"/>
    <w:qFormat/>
    <w:uiPriority w:val="99"/>
    <w:rPr>
      <w:rFonts w:ascii="Times New Roman" w:hAnsi="Times New Roman" w:eastAsia="宋体" w:cs="Times New Roman"/>
      <w:kern w:val="0"/>
      <w:sz w:val="20"/>
      <w:szCs w:val="24"/>
    </w:rPr>
  </w:style>
  <w:style w:type="character" w:customStyle="1" w:styleId="13">
    <w:name w:val="Body text|2 + PMingLiU"/>
    <w:qFormat/>
    <w:uiPriority w:val="0"/>
    <w:rPr>
      <w:rFonts w:hint="eastAsia" w:ascii="PMingLiU" w:hAnsi="PMingLiU" w:eastAsia="PMingLiU" w:cs="PMingLiU"/>
      <w:color w:val="000000"/>
      <w:spacing w:val="0"/>
      <w:w w:val="100"/>
      <w:position w:val="0"/>
      <w:sz w:val="36"/>
      <w:szCs w:val="36"/>
      <w:shd w:val="clear" w:color="auto" w:fill="FFFFFF"/>
      <w:lang w:val="zh-CN" w:eastAsia="zh-CN" w:bidi="zh-CN"/>
    </w:rPr>
  </w:style>
  <w:style w:type="character" w:customStyle="1" w:styleId="14">
    <w:name w:val="Body text|2_"/>
    <w:link w:val="15"/>
    <w:qFormat/>
    <w:uiPriority w:val="0"/>
    <w:rPr>
      <w:shd w:val="clear" w:color="auto" w:fill="FFFFFF"/>
    </w:rPr>
  </w:style>
  <w:style w:type="paragraph" w:customStyle="1" w:styleId="15">
    <w:name w:val="Body text|2"/>
    <w:basedOn w:val="1"/>
    <w:link w:val="14"/>
    <w:qFormat/>
    <w:uiPriority w:val="0"/>
    <w:pPr>
      <w:shd w:val="clear" w:color="auto" w:fill="FFFFFF"/>
    </w:pPr>
    <w:rPr>
      <w:rFonts w:asciiTheme="minorHAnsi" w:hAnsiTheme="minorHAnsi" w:eastAsiaTheme="minorEastAsia" w:cstheme="minorBidi"/>
      <w:szCs w:val="22"/>
    </w:rPr>
  </w:style>
  <w:style w:type="character" w:customStyle="1" w:styleId="16">
    <w:name w:val="标题 4 字符"/>
    <w:basedOn w:val="8"/>
    <w:link w:val="3"/>
    <w:semiHidden/>
    <w:qFormat/>
    <w:uiPriority w:val="9"/>
    <w:rPr>
      <w:rFonts w:asciiTheme="majorHAnsi" w:hAnsiTheme="majorHAnsi" w:eastAsiaTheme="majorEastAsia" w:cstheme="majorBidi"/>
      <w:b/>
      <w:bCs/>
      <w:sz w:val="28"/>
      <w:szCs w:val="28"/>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185</Words>
  <Characters>1060</Characters>
  <Lines>8</Lines>
  <Paragraphs>2</Paragraphs>
  <TotalTime>71</TotalTime>
  <ScaleCrop>false</ScaleCrop>
  <LinksUpToDate>false</LinksUpToDate>
  <CharactersWithSpaces>1243</CharactersWithSpaces>
  <Application>WPS Office_11.8.2.1116_F1E327BC-269C-435d-A152-05C5408002CA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2023-05-19T23:12:00Z</dcterms:created>
  <dc:creator>ASUS</dc:creator>
  <cp:lastModifiedBy>ht706</cp:lastModifiedBy>
  <dcterms:modified xsi:type="dcterms:W3CDTF">2023-05-30T20:22:50Z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2052-11.8.2.1116</vt:lpwstr>
  </property>
  <property fmtid="{D5CDD505-2E9C-101B-9397-08002B2CF9AE}" pid="3" name="ICV">
    <vt:lpwstr>16BC0B4D693A54C8EF066E641B57B6FC</vt:lpwstr>
  </property>
</Properties>
</file>