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540"/>
        </w:tabs>
        <w:snapToGrid w:val="0"/>
        <w:spacing w:line="360" w:lineRule="auto"/>
        <w:ind w:left="420"/>
        <w:rPr>
          <w:rFonts w:hAnsi="宋体"/>
          <w:b/>
          <w:sz w:val="24"/>
          <w:szCs w:val="24"/>
        </w:rPr>
      </w:pPr>
    </w:p>
    <w:tbl>
      <w:tblPr>
        <w:tblStyle w:val="8"/>
        <w:tblW w:w="96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654" w:type="dxa"/>
            <w:gridSpan w:val="2"/>
            <w:vAlign w:val="center"/>
          </w:tcPr>
          <w:p>
            <w:pPr>
              <w:jc w:val="center"/>
              <w:rPr>
                <w:rFonts w:ascii="宋体" w:hAnsi="宋体" w:cs="宋体"/>
                <w:sz w:val="24"/>
              </w:rPr>
            </w:pPr>
            <w:r>
              <w:rPr>
                <w:rFonts w:hint="eastAsia" w:ascii="宋体" w:hAnsi="宋体" w:cs="宋体"/>
                <w:sz w:val="24"/>
              </w:rPr>
              <w:t>压缩空气泡沫消防车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654" w:type="dxa"/>
            <w:gridSpan w:val="2"/>
            <w:vAlign w:val="center"/>
          </w:tcPr>
          <w:p>
            <w:pPr>
              <w:rPr>
                <w:rFonts w:ascii="宋体" w:hAnsi="宋体" w:cs="宋体"/>
                <w:sz w:val="24"/>
              </w:rPr>
            </w:pPr>
            <w:r>
              <w:rPr>
                <w:rFonts w:hint="eastAsia" w:ascii="宋体" w:hAnsi="宋体" w:cs="宋体"/>
                <w:sz w:val="24"/>
              </w:rPr>
              <w:t>数量：辆         单价：        小计：万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654" w:type="dxa"/>
            <w:gridSpan w:val="2"/>
          </w:tcPr>
          <w:p>
            <w:pPr>
              <w:spacing w:line="360" w:lineRule="auto"/>
              <w:ind w:right="-90" w:rightChars="-45"/>
              <w:rPr>
                <w:rFonts w:ascii="宋体" w:hAnsi="宋体" w:cs="宋体"/>
                <w:sz w:val="24"/>
              </w:rPr>
            </w:pPr>
            <w:r>
              <w:rPr>
                <w:rFonts w:hint="eastAsia" w:ascii="宋体" w:hAnsi="宋体" w:cs="宋体"/>
                <w:sz w:val="24"/>
              </w:rPr>
              <w:t>一：整车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vAlign w:val="center"/>
          </w:tcPr>
          <w:p>
            <w:pPr>
              <w:spacing w:before="20" w:after="20"/>
              <w:ind w:left="57"/>
              <w:rPr>
                <w:rFonts w:ascii="宋体" w:hAnsi="宋体" w:cs="宋体"/>
                <w:sz w:val="24"/>
              </w:rPr>
            </w:pPr>
            <w:r>
              <w:rPr>
                <w:rFonts w:hint="eastAsia" w:ascii="宋体" w:hAnsi="宋体" w:cs="宋体"/>
                <w:sz w:val="24"/>
              </w:rPr>
              <w:t>外形尺寸（mm）：≤8700×2500×3500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vAlign w:val="center"/>
          </w:tcPr>
          <w:p>
            <w:pPr>
              <w:spacing w:before="20" w:after="20"/>
              <w:ind w:left="57"/>
              <w:rPr>
                <w:rFonts w:ascii="宋体" w:hAnsi="宋体" w:cs="宋体"/>
                <w:sz w:val="24"/>
              </w:rPr>
            </w:pPr>
            <w:r>
              <w:rPr>
                <w:rFonts w:ascii="宋体" w:hAnsi="宋体" w:cs="宋体"/>
                <w:sz w:val="24"/>
              </w:rPr>
              <w:t>整车</w:t>
            </w:r>
            <w:r>
              <w:rPr>
                <w:rFonts w:hint="eastAsia" w:ascii="宋体" w:hAnsi="宋体" w:cs="宋体"/>
                <w:sz w:val="24"/>
              </w:rPr>
              <w:t>整备质量（kg）：</w:t>
            </w:r>
            <w:r>
              <w:rPr>
                <w:rFonts w:hint="eastAsia" w:hAnsi="宋体"/>
              </w:rPr>
              <w:t>≤</w:t>
            </w:r>
            <w:r>
              <w:rPr>
                <w:rFonts w:hint="eastAsia" w:ascii="宋体" w:hAnsi="宋体" w:cs="宋体"/>
                <w:sz w:val="24"/>
              </w:rPr>
              <w:t>11500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vAlign w:val="center"/>
          </w:tcPr>
          <w:p>
            <w:pPr>
              <w:spacing w:before="20" w:after="20"/>
              <w:ind w:left="57"/>
              <w:rPr>
                <w:rFonts w:ascii="宋体" w:hAnsi="宋体" w:cs="宋体"/>
                <w:sz w:val="24"/>
              </w:rPr>
            </w:pPr>
            <w:r>
              <w:rPr>
                <w:rFonts w:ascii="宋体" w:hAnsi="宋体" w:cs="宋体"/>
                <w:sz w:val="24"/>
              </w:rPr>
              <w:t>▲整车</w:t>
            </w:r>
            <w:r>
              <w:rPr>
                <w:rFonts w:hint="eastAsia" w:ascii="宋体" w:hAnsi="宋体" w:cs="宋体"/>
                <w:sz w:val="24"/>
              </w:rPr>
              <w:t>满载质量（kg）：≥16200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二：底盘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hint="eastAsia" w:ascii="Calibri" w:hAnsi="Calibri"/>
                <w:sz w:val="24"/>
              </w:rPr>
              <w:t>排放标准：符合国Ⅵ排放标准；驱动形式：4×2；座位设置：驾乘员人数≥6人；后排加装4具空气呼吸器支架，座椅均配备安全带。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额定功率(kW)：≥</w:t>
            </w:r>
            <w:r>
              <w:rPr>
                <w:rFonts w:ascii="宋体" w:hAnsi="宋体" w:cs="宋体"/>
                <w:sz w:val="24"/>
              </w:rPr>
              <w:t>2</w:t>
            </w:r>
            <w:r>
              <w:rPr>
                <w:rFonts w:hint="eastAsia" w:ascii="宋体" w:hAnsi="宋体" w:cs="宋体"/>
                <w:sz w:val="24"/>
              </w:rPr>
              <w:t>2</w:t>
            </w:r>
            <w:r>
              <w:rPr>
                <w:rFonts w:ascii="宋体" w:hAnsi="宋体" w:cs="宋体"/>
                <w:sz w:val="24"/>
              </w:rPr>
              <w:t>0</w:t>
            </w: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vAlign w:val="center"/>
          </w:tcPr>
          <w:p>
            <w:pPr>
              <w:pStyle w:val="22"/>
              <w:jc w:val="both"/>
              <w:rPr>
                <w:rFonts w:hAnsi="宋体"/>
                <w:color w:val="auto"/>
                <w:kern w:val="2"/>
              </w:rPr>
            </w:pPr>
            <w:r>
              <w:rPr>
                <w:rFonts w:hint="eastAsia" w:hAnsi="宋体"/>
                <w:color w:val="auto"/>
                <w:kern w:val="2"/>
              </w:rPr>
              <w:t>质心位置（满载）mm</w:t>
            </w:r>
            <w:r>
              <w:rPr>
                <w:rFonts w:hAnsi="宋体"/>
                <w:color w:val="auto"/>
                <w:kern w:val="2"/>
              </w:rPr>
              <w:t xml:space="preserve"> </w:t>
            </w:r>
            <w:r>
              <w:rPr>
                <w:rFonts w:hint="eastAsia" w:hAnsi="宋体"/>
                <w:color w:val="auto"/>
                <w:kern w:val="2"/>
              </w:rPr>
              <w:t>：</w:t>
            </w:r>
            <w:r>
              <w:rPr>
                <w:rFonts w:hint="eastAsia" w:hAnsi="宋体"/>
              </w:rPr>
              <w:t>≤1400</w:t>
            </w:r>
            <w:r>
              <w:rPr>
                <w:rFonts w:hint="eastAsia" w:hAnsi="宋体"/>
                <w:color w:val="auto"/>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4</w:t>
            </w:r>
          </w:p>
        </w:tc>
        <w:tc>
          <w:tcPr>
            <w:tcW w:w="8837" w:type="dxa"/>
            <w:vAlign w:val="center"/>
          </w:tcPr>
          <w:p>
            <w:pPr>
              <w:rPr>
                <w:rFonts w:ascii="宋体" w:hAnsi="宋体" w:cs="宋体"/>
                <w:sz w:val="24"/>
              </w:rPr>
            </w:pPr>
            <w:r>
              <w:rPr>
                <w:rFonts w:hint="eastAsia" w:ascii="宋体" w:hAnsi="宋体" w:cs="宋体"/>
                <w:sz w:val="24"/>
              </w:rPr>
              <w:t>接近角/离去角（°）：≥15.0/11.0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5</w:t>
            </w:r>
          </w:p>
        </w:tc>
        <w:tc>
          <w:tcPr>
            <w:tcW w:w="8837" w:type="dxa"/>
          </w:tcPr>
          <w:p>
            <w:pPr>
              <w:spacing w:line="360" w:lineRule="auto"/>
              <w:ind w:right="-90" w:rightChars="-45"/>
              <w:rPr>
                <w:rFonts w:ascii="Calibri" w:hAnsi="Calibri"/>
                <w:sz w:val="24"/>
              </w:rPr>
            </w:pPr>
            <w:r>
              <w:rPr>
                <w:rFonts w:hint="eastAsia" w:ascii="Calibri" w:hAnsi="Calibri"/>
                <w:sz w:val="24"/>
              </w:rPr>
              <w:t>最小转弯直</w:t>
            </w:r>
            <w:r>
              <w:rPr>
                <w:rFonts w:hint="eastAsia" w:ascii="宋体" w:hAnsi="宋体" w:cs="宋体"/>
                <w:kern w:val="2"/>
                <w:sz w:val="24"/>
              </w:rPr>
              <w:t>径（m）：≤16.5（左/右转）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6</w:t>
            </w:r>
          </w:p>
        </w:tc>
        <w:tc>
          <w:tcPr>
            <w:tcW w:w="8837" w:type="dxa"/>
          </w:tcPr>
          <w:p>
            <w:pPr>
              <w:spacing w:line="360" w:lineRule="auto"/>
              <w:ind w:right="-90" w:rightChars="-45"/>
              <w:rPr>
                <w:rFonts w:ascii="Calibri" w:hAnsi="Calibri"/>
                <w:sz w:val="24"/>
              </w:rPr>
            </w:pPr>
            <w:r>
              <w:rPr>
                <w:rFonts w:ascii="宋体" w:hAnsi="宋体" w:cs="宋体"/>
                <w:sz w:val="24"/>
              </w:rPr>
              <w:t>▲</w:t>
            </w:r>
            <w:r>
              <w:rPr>
                <w:rFonts w:hint="eastAsia" w:ascii="Calibri" w:hAnsi="Calibri"/>
                <w:sz w:val="24"/>
              </w:rPr>
              <w:t>最高车速（km/h）：</w:t>
            </w:r>
            <w:r>
              <w:rPr>
                <w:rFonts w:hint="eastAsia" w:ascii="宋体" w:hAnsi="宋体" w:cs="宋体"/>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tcPr>
          <w:p>
            <w:pPr>
              <w:spacing w:line="360" w:lineRule="auto"/>
              <w:ind w:right="-90" w:rightChars="-45"/>
              <w:rPr>
                <w:rFonts w:ascii="宋体" w:hAnsi="宋体" w:cs="宋体"/>
                <w:sz w:val="24"/>
              </w:rPr>
            </w:pPr>
            <w:r>
              <w:rPr>
                <w:rFonts w:hint="eastAsia" w:ascii="宋体" w:hAnsi="宋体" w:cs="宋体"/>
                <w:sz w:val="24"/>
              </w:rPr>
              <w:t>三：消防泵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消防泵流量：≥ 60( L/s@1.0MPa)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引水时间（s）：≤45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最大真空度（kpa）：≥85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四：消防炮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消防炮流量：  ≥50（</w:t>
            </w:r>
            <w:r>
              <w:rPr>
                <w:rFonts w:ascii="宋体" w:hAnsi="宋体" w:cs="宋体"/>
                <w:sz w:val="24"/>
              </w:rPr>
              <w:t>L/s@0.9MPa</w:t>
            </w: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消防炮射程：  ≥70m（水）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tcPr>
          <w:p>
            <w:pPr>
              <w:spacing w:line="360" w:lineRule="auto"/>
              <w:ind w:right="-90" w:rightChars="-45"/>
              <w:rPr>
                <w:rFonts w:ascii="宋体" w:hAnsi="宋体" w:cs="宋体"/>
                <w:sz w:val="24"/>
              </w:rPr>
            </w:pPr>
            <w:r>
              <w:rPr>
                <w:rFonts w:hint="eastAsia" w:ascii="宋体" w:hAnsi="宋体" w:cs="宋体"/>
                <w:sz w:val="24"/>
              </w:rPr>
              <w:t>水平回转角（°）：≥360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4</w:t>
            </w:r>
          </w:p>
        </w:tc>
        <w:tc>
          <w:tcPr>
            <w:tcW w:w="8837" w:type="dxa"/>
          </w:tcPr>
          <w:p>
            <w:pPr>
              <w:spacing w:line="360" w:lineRule="auto"/>
              <w:ind w:right="-90" w:rightChars="-45"/>
              <w:rPr>
                <w:rFonts w:ascii="宋体" w:hAnsi="宋体" w:cs="宋体"/>
                <w:sz w:val="24"/>
              </w:rPr>
            </w:pPr>
            <w:r>
              <w:rPr>
                <w:rFonts w:hint="eastAsia" w:ascii="宋体" w:hAnsi="宋体" w:cs="宋体"/>
                <w:sz w:val="24"/>
              </w:rPr>
              <w:t>俯仰回转角（°）：最小俯角：≥-10；最大仰角≥+90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五：罐体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hint="eastAsia" w:ascii="宋体" w:hAnsi="宋体" w:cs="宋体"/>
                <w:sz w:val="24"/>
              </w:rPr>
              <w:t>载液量(L)：≥4500：（水箱容量：≥ 3750；A类泡沫容量：≥250；B类泡沫容量≥500）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line="360" w:lineRule="auto"/>
              <w:ind w:right="-90" w:rightChars="-45"/>
              <w:rPr>
                <w:rFonts w:ascii="宋体" w:hAnsi="宋体" w:cs="宋体"/>
                <w:sz w:val="24"/>
              </w:rPr>
            </w:pPr>
            <w:r>
              <w:rPr>
                <w:rFonts w:hint="eastAsia" w:ascii="宋体" w:hAnsi="宋体" w:cs="宋体"/>
                <w:sz w:val="24"/>
              </w:rPr>
              <w:t>罐体材料：优质304不锈钢,底板厚度5mm，侧板厚度4mm，顶板3mm；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六：压缩空气泡沫系统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空压机额定供气量：≥100 （L/s @0.85MPa）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A类泡沫枪混合液流量( L/s）: ≥2.0（干泡沫）；≥4.5（湿泡沫）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tcPr>
          <w:p>
            <w:pPr>
              <w:spacing w:line="360" w:lineRule="auto"/>
              <w:ind w:right="-90" w:rightChars="-45"/>
              <w:rPr>
                <w:rFonts w:ascii="宋体" w:hAnsi="宋体" w:cs="宋体"/>
                <w:sz w:val="24"/>
              </w:rPr>
            </w:pPr>
            <w:r>
              <w:rPr>
                <w:rFonts w:hint="eastAsia" w:ascii="宋体" w:hAnsi="宋体" w:cs="宋体"/>
                <w:sz w:val="24"/>
              </w:rPr>
              <w:t>A类泡沫枪射程（m</w:t>
            </w:r>
            <w:r>
              <w:rPr>
                <w:rFonts w:ascii="宋体" w:hAnsi="宋体" w:cs="宋体"/>
                <w:sz w:val="24"/>
              </w:rPr>
              <w:t>）</w:t>
            </w:r>
            <w:r>
              <w:rPr>
                <w:rFonts w:hint="eastAsia" w:ascii="宋体" w:hAnsi="宋体" w:cs="宋体"/>
                <w:sz w:val="24"/>
              </w:rPr>
              <w:t>：≥25（干泡沫）；≥30（湿泡沫）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4</w:t>
            </w:r>
          </w:p>
        </w:tc>
        <w:tc>
          <w:tcPr>
            <w:tcW w:w="8837" w:type="dxa"/>
          </w:tcPr>
          <w:p>
            <w:pPr>
              <w:spacing w:line="360" w:lineRule="auto"/>
              <w:ind w:right="-90" w:rightChars="-45"/>
              <w:rPr>
                <w:rFonts w:ascii="宋体" w:hAnsi="宋体" w:cs="宋体"/>
                <w:sz w:val="24"/>
              </w:rPr>
            </w:pPr>
            <w:r>
              <w:rPr>
                <w:rFonts w:hint="eastAsia" w:ascii="宋体" w:hAnsi="宋体" w:cs="宋体"/>
                <w:sz w:val="24"/>
              </w:rPr>
              <w:t>发泡倍数：≥14（干泡沫）；≥11（湿泡沫）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七：照明系统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照明灯</w:t>
            </w:r>
            <w:r>
              <w:rPr>
                <w:rFonts w:ascii="宋体" w:hAnsi="宋体" w:cs="宋体"/>
                <w:sz w:val="24"/>
              </w:rPr>
              <w:t>50 m</w:t>
            </w:r>
            <w:r>
              <w:rPr>
                <w:rFonts w:hint="eastAsia" w:ascii="宋体" w:hAnsi="宋体" w:cs="宋体"/>
                <w:sz w:val="24"/>
              </w:rPr>
              <w:t>处各测试点最小照度（lx）：≥5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vAlign w:val="center"/>
          </w:tcPr>
          <w:p>
            <w:pPr>
              <w:spacing w:line="360" w:lineRule="auto"/>
              <w:ind w:right="-90" w:rightChars="-45"/>
              <w:rPr>
                <w:rFonts w:ascii="宋体" w:hAnsi="宋体" w:cs="宋体"/>
                <w:sz w:val="24"/>
              </w:rPr>
            </w:pPr>
            <w:r>
              <w:rPr>
                <w:rFonts w:hint="eastAsia" w:ascii="宋体" w:hAnsi="宋体" w:cs="宋体"/>
                <w:sz w:val="24"/>
              </w:rPr>
              <w:t>八：绞盘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line="360" w:lineRule="auto"/>
              <w:ind w:right="-90" w:rightChars="-45"/>
              <w:rPr>
                <w:rFonts w:ascii="宋体" w:hAnsi="宋体" w:cs="宋体"/>
                <w:sz w:val="24"/>
              </w:rPr>
            </w:pPr>
            <w:r>
              <w:rPr>
                <w:rFonts w:ascii="宋体" w:hAnsi="宋体" w:cs="宋体"/>
                <w:sz w:val="24"/>
              </w:rPr>
              <w:t>▲</w:t>
            </w:r>
            <w:r>
              <w:rPr>
                <w:rFonts w:hint="eastAsia" w:ascii="宋体" w:hAnsi="宋体" w:cs="宋体"/>
                <w:sz w:val="24"/>
              </w:rPr>
              <w:t>额定拉力（kN）：≥50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pStyle w:val="18"/>
              <w:spacing w:line="360" w:lineRule="auto"/>
              <w:ind w:left="480" w:right="-90" w:rightChars="-45" w:hanging="480"/>
              <w:rPr>
                <w:rFonts w:ascii="宋体" w:hAnsi="宋体" w:cs="宋体"/>
                <w:sz w:val="24"/>
              </w:rPr>
            </w:pPr>
            <w:r>
              <w:rPr>
                <w:rFonts w:hint="eastAsia" w:ascii="宋体" w:hAnsi="宋体" w:cs="宋体"/>
                <w:sz w:val="24"/>
              </w:rPr>
              <w:t>钢丝有效最短工作长度（m）：≥35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654" w:type="dxa"/>
            <w:gridSpan w:val="2"/>
          </w:tcPr>
          <w:p>
            <w:pPr>
              <w:spacing w:line="360" w:lineRule="auto"/>
              <w:ind w:right="-90" w:rightChars="-45"/>
              <w:rPr>
                <w:rFonts w:ascii="宋体" w:hAnsi="宋体" w:cs="宋体"/>
                <w:sz w:val="24"/>
              </w:rPr>
            </w:pPr>
            <w:r>
              <w:rPr>
                <w:rFonts w:hint="eastAsia" w:ascii="宋体" w:hAnsi="宋体" w:cs="宋体"/>
                <w:sz w:val="24"/>
              </w:rPr>
              <w:t>九：其他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1</w:t>
            </w:r>
          </w:p>
        </w:tc>
        <w:tc>
          <w:tcPr>
            <w:tcW w:w="8837" w:type="dxa"/>
          </w:tcPr>
          <w:p>
            <w:pPr>
              <w:spacing w:before="20" w:after="20"/>
              <w:ind w:left="57"/>
              <w:rPr>
                <w:rFonts w:ascii="宋体" w:hAnsi="宋体" w:cs="宋体"/>
                <w:szCs w:val="21"/>
              </w:rPr>
            </w:pPr>
            <w:r>
              <w:rPr>
                <w:rFonts w:hint="eastAsia" w:ascii="宋体" w:hAnsi="宋体" w:cs="宋体"/>
                <w:szCs w:val="21"/>
              </w:rPr>
              <w:t>交车时应符合国家综合性消防救援车辆悬挂应急救援专用号牌的有关要求。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2</w:t>
            </w:r>
          </w:p>
        </w:tc>
        <w:tc>
          <w:tcPr>
            <w:tcW w:w="8837" w:type="dxa"/>
          </w:tcPr>
          <w:p>
            <w:pPr>
              <w:spacing w:before="20" w:after="20"/>
              <w:ind w:left="57"/>
              <w:rPr>
                <w:rFonts w:ascii="宋体" w:hAnsi="宋体" w:cs="宋体"/>
                <w:szCs w:val="21"/>
              </w:rPr>
            </w:pPr>
            <w:r>
              <w:rPr>
                <w:rFonts w:hint="eastAsia" w:ascii="宋体" w:hAnsi="宋体" w:cs="宋体"/>
                <w:szCs w:val="21"/>
              </w:rPr>
              <w:t>按照应急管理部消防局最新车辆喷涂标识规定对车身进行喷涂。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3</w:t>
            </w:r>
          </w:p>
        </w:tc>
        <w:tc>
          <w:tcPr>
            <w:tcW w:w="8837" w:type="dxa"/>
          </w:tcPr>
          <w:p>
            <w:pPr>
              <w:spacing w:before="20" w:after="20"/>
              <w:ind w:left="57"/>
              <w:rPr>
                <w:rFonts w:ascii="宋体" w:hAnsi="宋体" w:cs="宋体"/>
                <w:szCs w:val="21"/>
              </w:rPr>
            </w:pPr>
            <w:r>
              <w:rPr>
                <w:rFonts w:hint="eastAsia" w:ascii="宋体" w:hAnsi="宋体" w:cs="宋体"/>
                <w:szCs w:val="21"/>
              </w:rPr>
              <w:t>轮胎配有原装、原尺寸备胎。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17" w:type="dxa"/>
            <w:vAlign w:val="center"/>
          </w:tcPr>
          <w:p>
            <w:pPr>
              <w:spacing w:line="360" w:lineRule="auto"/>
              <w:ind w:right="-90" w:rightChars="-45"/>
              <w:jc w:val="center"/>
              <w:rPr>
                <w:rFonts w:ascii="宋体" w:hAnsi="宋体" w:cs="宋体"/>
                <w:sz w:val="24"/>
              </w:rPr>
            </w:pPr>
            <w:r>
              <w:rPr>
                <w:rFonts w:hint="eastAsia" w:ascii="宋体" w:hAnsi="宋体" w:cs="宋体"/>
                <w:sz w:val="24"/>
              </w:rPr>
              <w:t>4</w:t>
            </w:r>
          </w:p>
        </w:tc>
        <w:tc>
          <w:tcPr>
            <w:tcW w:w="8837" w:type="dxa"/>
          </w:tcPr>
          <w:p>
            <w:pPr>
              <w:spacing w:before="20" w:after="20"/>
              <w:ind w:left="57"/>
              <w:rPr>
                <w:rFonts w:ascii="宋体" w:hAnsi="宋体" w:cs="宋体"/>
                <w:szCs w:val="21"/>
              </w:rPr>
            </w:pPr>
            <w:r>
              <w:rPr>
                <w:rFonts w:hint="eastAsia" w:ascii="宋体" w:hAnsi="宋体" w:cs="宋体"/>
                <w:szCs w:val="21"/>
              </w:rPr>
              <w:t>随车器材满足GB 7956.6-2015《消防车 第 6 部分：压缩空气泡沫消防车》中表5《器材配备表》（不含18和19项）的要求。</w:t>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324"/>
    <w:rsid w:val="00000E53"/>
    <w:rsid w:val="00014DEE"/>
    <w:rsid w:val="00067EC8"/>
    <w:rsid w:val="0007197C"/>
    <w:rsid w:val="000A4B8C"/>
    <w:rsid w:val="000A644C"/>
    <w:rsid w:val="000B6F6D"/>
    <w:rsid w:val="000C01DD"/>
    <w:rsid w:val="0015038B"/>
    <w:rsid w:val="0020440D"/>
    <w:rsid w:val="00204736"/>
    <w:rsid w:val="002331BD"/>
    <w:rsid w:val="00234DF3"/>
    <w:rsid w:val="00246BBF"/>
    <w:rsid w:val="00260E8C"/>
    <w:rsid w:val="002C15DC"/>
    <w:rsid w:val="0032263F"/>
    <w:rsid w:val="003667EE"/>
    <w:rsid w:val="00367F3E"/>
    <w:rsid w:val="003F5208"/>
    <w:rsid w:val="00410592"/>
    <w:rsid w:val="004334A8"/>
    <w:rsid w:val="00444CAF"/>
    <w:rsid w:val="004568FF"/>
    <w:rsid w:val="004B2363"/>
    <w:rsid w:val="004F3FA3"/>
    <w:rsid w:val="005016C3"/>
    <w:rsid w:val="00543B78"/>
    <w:rsid w:val="0056118D"/>
    <w:rsid w:val="00562D16"/>
    <w:rsid w:val="005B6491"/>
    <w:rsid w:val="005C7151"/>
    <w:rsid w:val="006055F4"/>
    <w:rsid w:val="006347D9"/>
    <w:rsid w:val="00657324"/>
    <w:rsid w:val="00671163"/>
    <w:rsid w:val="00682084"/>
    <w:rsid w:val="00683B85"/>
    <w:rsid w:val="006A17A5"/>
    <w:rsid w:val="00777E8E"/>
    <w:rsid w:val="007A2414"/>
    <w:rsid w:val="008178B9"/>
    <w:rsid w:val="00870E89"/>
    <w:rsid w:val="00885C51"/>
    <w:rsid w:val="008A343C"/>
    <w:rsid w:val="008C034B"/>
    <w:rsid w:val="008D005A"/>
    <w:rsid w:val="008D2FD0"/>
    <w:rsid w:val="0091380D"/>
    <w:rsid w:val="009339C0"/>
    <w:rsid w:val="0096281A"/>
    <w:rsid w:val="009D0917"/>
    <w:rsid w:val="009F133A"/>
    <w:rsid w:val="00A30996"/>
    <w:rsid w:val="00A54DE6"/>
    <w:rsid w:val="00A71D57"/>
    <w:rsid w:val="00A75423"/>
    <w:rsid w:val="00A8159D"/>
    <w:rsid w:val="00AA70AC"/>
    <w:rsid w:val="00AB1DD0"/>
    <w:rsid w:val="00AC267A"/>
    <w:rsid w:val="00AC40C2"/>
    <w:rsid w:val="00AE311D"/>
    <w:rsid w:val="00AE7C7F"/>
    <w:rsid w:val="00B35B68"/>
    <w:rsid w:val="00B57EB8"/>
    <w:rsid w:val="00B6656C"/>
    <w:rsid w:val="00B66B53"/>
    <w:rsid w:val="00B8646D"/>
    <w:rsid w:val="00BA3C79"/>
    <w:rsid w:val="00CC72B8"/>
    <w:rsid w:val="00CD041A"/>
    <w:rsid w:val="00CF18D8"/>
    <w:rsid w:val="00D1026C"/>
    <w:rsid w:val="00D5672F"/>
    <w:rsid w:val="00D71E85"/>
    <w:rsid w:val="00D75304"/>
    <w:rsid w:val="00D83340"/>
    <w:rsid w:val="00D83366"/>
    <w:rsid w:val="00E01B2D"/>
    <w:rsid w:val="00E52360"/>
    <w:rsid w:val="00E7422D"/>
    <w:rsid w:val="00EB4937"/>
    <w:rsid w:val="00F0230F"/>
    <w:rsid w:val="00F25ACC"/>
    <w:rsid w:val="00F31427"/>
    <w:rsid w:val="00F3429B"/>
    <w:rsid w:val="00F35511"/>
    <w:rsid w:val="00F36A19"/>
    <w:rsid w:val="00F4002C"/>
    <w:rsid w:val="00F431DB"/>
    <w:rsid w:val="00F51C65"/>
    <w:rsid w:val="00F859CB"/>
    <w:rsid w:val="00F864B7"/>
    <w:rsid w:val="00FD1CDB"/>
    <w:rsid w:val="00FD55DA"/>
    <w:rsid w:val="00FE0896"/>
    <w:rsid w:val="00FF7DE3"/>
    <w:rsid w:val="19FAF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0"/>
      <w:sz w:val="20"/>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ody Text"/>
    <w:basedOn w:val="1"/>
    <w:link w:val="13"/>
    <w:qFormat/>
    <w:uiPriority w:val="0"/>
    <w:pPr>
      <w:spacing w:after="120"/>
    </w:pPr>
  </w:style>
  <w:style w:type="paragraph" w:styleId="4">
    <w:name w:val="Balloon Text"/>
    <w:basedOn w:val="1"/>
    <w:link w:val="21"/>
    <w:semiHidden/>
    <w:unhideWhenUsed/>
    <w:uiPriority w:val="99"/>
    <w:pPr>
      <w:spacing w:line="240" w:lineRule="auto"/>
    </w:pPr>
    <w:rPr>
      <w:sz w:val="18"/>
      <w:szCs w:val="18"/>
    </w:rPr>
  </w:style>
  <w:style w:type="paragraph" w:styleId="5">
    <w:name w:val="footer"/>
    <w:basedOn w:val="1"/>
    <w:link w:val="12"/>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annotation subject"/>
    <w:basedOn w:val="2"/>
    <w:next w:val="2"/>
    <w:link w:val="20"/>
    <w:semiHidden/>
    <w:unhideWhenUsed/>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正文文本 字符"/>
    <w:basedOn w:val="9"/>
    <w:link w:val="3"/>
    <w:qFormat/>
    <w:uiPriority w:val="0"/>
    <w:rPr>
      <w:rFonts w:ascii="Times New Roman" w:hAnsi="Times New Roman" w:eastAsia="宋体" w:cs="Times New Roman"/>
      <w:kern w:val="0"/>
      <w:sz w:val="20"/>
      <w:szCs w:val="24"/>
    </w:rPr>
  </w:style>
  <w:style w:type="character" w:customStyle="1" w:styleId="14">
    <w:name w:val="正文首行缩进 Char"/>
    <w:basedOn w:val="13"/>
    <w:link w:val="15"/>
    <w:qFormat/>
    <w:uiPriority w:val="0"/>
    <w:rPr>
      <w:rFonts w:ascii="Times New Roman" w:hAnsi="Times New Roman" w:eastAsia="宋体" w:cs="Times New Roman"/>
      <w:kern w:val="0"/>
      <w:sz w:val="20"/>
      <w:szCs w:val="24"/>
    </w:rPr>
  </w:style>
  <w:style w:type="paragraph" w:customStyle="1" w:styleId="15">
    <w:name w:val="正文首行缩进1"/>
    <w:basedOn w:val="3"/>
    <w:link w:val="14"/>
    <w:qFormat/>
    <w:uiPriority w:val="0"/>
    <w:pPr>
      <w:ind w:firstLine="420" w:firstLineChars="100"/>
    </w:pPr>
  </w:style>
  <w:style w:type="character" w:customStyle="1" w:styleId="16">
    <w:name w:val="纯文本 Char"/>
    <w:link w:val="17"/>
    <w:qFormat/>
    <w:uiPriority w:val="0"/>
    <w:rPr>
      <w:rFonts w:ascii="宋体" w:hAnsi="Courier New" w:cs="Courier New"/>
      <w:szCs w:val="21"/>
    </w:rPr>
  </w:style>
  <w:style w:type="paragraph" w:customStyle="1" w:styleId="17">
    <w:name w:val="纯文本1"/>
    <w:basedOn w:val="1"/>
    <w:link w:val="16"/>
    <w:qFormat/>
    <w:uiPriority w:val="0"/>
    <w:rPr>
      <w:rFonts w:ascii="宋体" w:hAnsi="Courier New" w:cs="Courier New" w:eastAsiaTheme="minorEastAsia"/>
      <w:kern w:val="2"/>
      <w:sz w:val="21"/>
      <w:szCs w:val="21"/>
    </w:rPr>
  </w:style>
  <w:style w:type="paragraph" w:customStyle="1" w:styleId="18">
    <w:name w:val="列表1"/>
    <w:basedOn w:val="1"/>
    <w:qFormat/>
    <w:uiPriority w:val="0"/>
    <w:pPr>
      <w:ind w:left="200" w:hanging="200" w:hangingChars="200"/>
    </w:pPr>
  </w:style>
  <w:style w:type="character" w:customStyle="1" w:styleId="19">
    <w:name w:val="批注文字 字符"/>
    <w:basedOn w:val="9"/>
    <w:link w:val="2"/>
    <w:semiHidden/>
    <w:uiPriority w:val="99"/>
    <w:rPr>
      <w:rFonts w:ascii="Times New Roman" w:hAnsi="Times New Roman" w:eastAsia="宋体" w:cs="Times New Roman"/>
      <w:kern w:val="0"/>
      <w:sz w:val="20"/>
      <w:szCs w:val="24"/>
    </w:rPr>
  </w:style>
  <w:style w:type="character" w:customStyle="1" w:styleId="20">
    <w:name w:val="批注主题 字符"/>
    <w:basedOn w:val="19"/>
    <w:link w:val="7"/>
    <w:semiHidden/>
    <w:qFormat/>
    <w:uiPriority w:val="99"/>
    <w:rPr>
      <w:rFonts w:ascii="Times New Roman" w:hAnsi="Times New Roman" w:eastAsia="宋体" w:cs="Times New Roman"/>
      <w:b/>
      <w:bCs/>
      <w:kern w:val="0"/>
      <w:sz w:val="20"/>
      <w:szCs w:val="24"/>
    </w:rPr>
  </w:style>
  <w:style w:type="character" w:customStyle="1" w:styleId="21">
    <w:name w:val="批注框文本 字符"/>
    <w:basedOn w:val="9"/>
    <w:link w:val="4"/>
    <w:semiHidden/>
    <w:uiPriority w:val="99"/>
    <w:rPr>
      <w:rFonts w:ascii="Times New Roman" w:hAnsi="Times New Roman" w:eastAsia="宋体" w:cs="Times New Roman"/>
      <w:kern w:val="0"/>
      <w:sz w:val="18"/>
      <w:szCs w:val="18"/>
    </w:rPr>
  </w:style>
  <w:style w:type="paragraph" w:customStyle="1" w:styleId="22">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Words>
  <Characters>786</Characters>
  <Lines>6</Lines>
  <Paragraphs>1</Paragraphs>
  <TotalTime>0</TotalTime>
  <ScaleCrop>false</ScaleCrop>
  <LinksUpToDate>false</LinksUpToDate>
  <CharactersWithSpaces>922</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2023-06-06T21:09:00Z</dcterms:created>
  <dc:creator>oxp</dc:creator>
  <cp:lastModifiedBy>ht706</cp:lastModifiedBy>
  <dcterms:modified xsi:type="dcterms:W3CDTF">2023-06-09T17:43:34Z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740DB560F65DFFF446F48264E5735E58</vt:lpwstr>
  </property>
</Properties>
</file>