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8533"/>
      </w:tblGrid>
      <w:tr w:rsidR="00510444" w14:paraId="6A43E208"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4FF8952" w14:textId="77777777" w:rsidR="00510444" w:rsidRDefault="00000000">
            <w:pPr>
              <w:spacing w:line="276" w:lineRule="auto"/>
              <w:jc w:val="center"/>
              <w:rPr>
                <w:rFonts w:ascii="宋体" w:hAnsi="宋体" w:cs="宋体"/>
                <w:b/>
                <w:szCs w:val="21"/>
              </w:rPr>
            </w:pPr>
            <w:r>
              <w:rPr>
                <w:rFonts w:ascii="宋体" w:hAnsi="宋体" w:cs="宋体" w:hint="eastAsia"/>
                <w:b/>
                <w:bCs/>
                <w:szCs w:val="21"/>
              </w:rPr>
              <w:t>宣传消防车</w:t>
            </w:r>
          </w:p>
        </w:tc>
      </w:tr>
      <w:tr w:rsidR="00510444" w14:paraId="34CFA9E8"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4943458A" w14:textId="4D7BAB45" w:rsidR="00510444" w:rsidRDefault="00000000">
            <w:pPr>
              <w:spacing w:line="276" w:lineRule="auto"/>
              <w:jc w:val="left"/>
              <w:rPr>
                <w:rFonts w:ascii="宋体" w:hAnsi="宋体" w:cs="宋体"/>
                <w:b/>
                <w:bCs/>
                <w:szCs w:val="21"/>
              </w:rPr>
            </w:pPr>
            <w:r>
              <w:rPr>
                <w:rFonts w:ascii="宋体" w:hAnsi="宋体" w:cs="宋体" w:hint="eastAsia"/>
                <w:bCs/>
                <w:szCs w:val="21"/>
                <w:lang w:val="zh-CN"/>
              </w:rPr>
              <w:t>数量：辆；预算单价：万元/辆；</w:t>
            </w:r>
            <w:r>
              <w:rPr>
                <w:rFonts w:ascii="宋体" w:hAnsi="宋体" w:cs="宋体" w:hint="eastAsia"/>
                <w:bCs/>
                <w:szCs w:val="21"/>
                <w:lang w:val="zh-CN" w:eastAsia="zh-TW"/>
              </w:rPr>
              <w:t>小计：万元。</w:t>
            </w:r>
          </w:p>
        </w:tc>
      </w:tr>
      <w:tr w:rsidR="00510444" w14:paraId="69B3F8AA"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1DB5FCE7" w14:textId="77777777" w:rsidR="00510444" w:rsidRDefault="00000000">
            <w:pPr>
              <w:spacing w:line="276" w:lineRule="auto"/>
              <w:jc w:val="center"/>
              <w:rPr>
                <w:rFonts w:ascii="宋体" w:hAnsi="宋体" w:cs="宋体"/>
                <w:kern w:val="0"/>
                <w:szCs w:val="21"/>
              </w:rPr>
            </w:pPr>
            <w:r>
              <w:rPr>
                <w:rFonts w:ascii="宋体" w:hAnsi="宋体" w:cs="宋体" w:hint="eastAsia"/>
                <w:b/>
                <w:bCs/>
                <w:kern w:val="0"/>
                <w:szCs w:val="21"/>
              </w:rPr>
              <w:t>技术参数及要求</w:t>
            </w:r>
          </w:p>
        </w:tc>
      </w:tr>
      <w:tr w:rsidR="00510444" w14:paraId="11FA8261"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38578E4A" w14:textId="77777777" w:rsidR="00510444" w:rsidRDefault="00000000">
            <w:pPr>
              <w:spacing w:line="276" w:lineRule="auto"/>
              <w:rPr>
                <w:rFonts w:ascii="宋体" w:hAnsi="宋体" w:cs="宋体"/>
                <w:b/>
                <w:szCs w:val="21"/>
              </w:rPr>
            </w:pPr>
            <w:r>
              <w:rPr>
                <w:rFonts w:ascii="宋体" w:hAnsi="宋体" w:cs="宋体" w:hint="eastAsia"/>
                <w:b/>
                <w:szCs w:val="21"/>
              </w:rPr>
              <w:t>（一）整车</w:t>
            </w:r>
          </w:p>
        </w:tc>
      </w:tr>
      <w:tr w:rsidR="00510444" w14:paraId="60833974"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2688061" w14:textId="77777777" w:rsidR="00510444" w:rsidRDefault="00000000">
            <w:pPr>
              <w:spacing w:line="276" w:lineRule="auto"/>
              <w:jc w:val="center"/>
              <w:rPr>
                <w:rFonts w:ascii="宋体" w:hAnsi="宋体" w:cs="宋体"/>
                <w:b/>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E11EB79" w14:textId="77777777" w:rsidR="00510444" w:rsidRDefault="00000000">
            <w:pPr>
              <w:spacing w:line="276" w:lineRule="auto"/>
              <w:rPr>
                <w:rFonts w:ascii="宋体" w:hAnsi="宋体" w:cs="宋体"/>
                <w:szCs w:val="21"/>
              </w:rPr>
            </w:pPr>
            <w:r>
              <w:rPr>
                <w:rFonts w:ascii="宋体" w:hAnsi="宋体" w:cs="宋体" w:hint="eastAsia"/>
                <w:szCs w:val="21"/>
              </w:rPr>
              <w:t>▲外形尺寸：≤长12000×宽2500×高4000（mm）</w:t>
            </w:r>
          </w:p>
        </w:tc>
      </w:tr>
      <w:tr w:rsidR="00510444" w14:paraId="0229F75C"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53FEF55" w14:textId="77777777" w:rsidR="00510444" w:rsidRDefault="00000000">
            <w:pPr>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20CD61B4" w14:textId="77777777" w:rsidR="00510444" w:rsidRDefault="00000000">
            <w:pPr>
              <w:spacing w:line="276" w:lineRule="auto"/>
              <w:rPr>
                <w:rFonts w:ascii="宋体" w:hAnsi="宋体" w:cs="宋体"/>
                <w:szCs w:val="21"/>
              </w:rPr>
            </w:pPr>
            <w:r>
              <w:rPr>
                <w:rFonts w:ascii="宋体" w:hAnsi="宋体" w:cs="宋体" w:hint="eastAsia"/>
                <w:kern w:val="0"/>
                <w:szCs w:val="21"/>
              </w:rPr>
              <w:t>驾乘室内每个座位加装安全带，同时为每名乘员设置固定扶手，驾驶室设有安全气囊，随车配备导风罩</w:t>
            </w:r>
          </w:p>
        </w:tc>
      </w:tr>
      <w:tr w:rsidR="00510444" w14:paraId="1B56B871"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1F03240B" w14:textId="77777777" w:rsidR="00510444" w:rsidRDefault="00000000">
            <w:pPr>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568A8680" w14:textId="77777777" w:rsidR="00510444" w:rsidRDefault="00000000">
            <w:pPr>
              <w:spacing w:line="276" w:lineRule="auto"/>
              <w:rPr>
                <w:rFonts w:ascii="宋体" w:hAnsi="宋体" w:cs="宋体"/>
                <w:kern w:val="0"/>
                <w:szCs w:val="21"/>
              </w:rPr>
            </w:pPr>
            <w:r>
              <w:rPr>
                <w:rFonts w:ascii="宋体" w:hAnsi="宋体" w:cs="宋体" w:hint="eastAsia"/>
                <w:szCs w:val="21"/>
              </w:rPr>
              <w:t>▲配备举升屏及侧翻舞台液压系统、多媒体播放系统、消防自动喷淋演示系统、建筑火灾烟雾传播演示系统、厨房火灾灭火演示系统、红外模拟灭火体验系统、消防知识查询、测试及火灾隐患排查系统、电气火灾成因演示系统、消防装备认知系统、119模拟报警系统、VR火场逃生系统。</w:t>
            </w:r>
            <w:r>
              <w:rPr>
                <w:rFonts w:ascii="宋体" w:hAnsi="宋体" w:cs="宋体" w:hint="eastAsia"/>
                <w:b/>
                <w:bCs/>
                <w:szCs w:val="21"/>
              </w:rPr>
              <w:t>（通过技术规格书印证）</w:t>
            </w:r>
          </w:p>
        </w:tc>
      </w:tr>
      <w:tr w:rsidR="00510444" w14:paraId="1F248720"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8EE75A7" w14:textId="77777777" w:rsidR="00510444" w:rsidRDefault="00000000">
            <w:pPr>
              <w:spacing w:line="276" w:lineRule="auto"/>
              <w:rPr>
                <w:rFonts w:ascii="宋体" w:hAnsi="宋体" w:cs="宋体"/>
                <w:szCs w:val="21"/>
              </w:rPr>
            </w:pPr>
            <w:r>
              <w:rPr>
                <w:rFonts w:ascii="宋体" w:hAnsi="宋体" w:cs="宋体" w:hint="eastAsia"/>
                <w:b/>
                <w:szCs w:val="21"/>
              </w:rPr>
              <w:t>（二）底盘</w:t>
            </w:r>
          </w:p>
        </w:tc>
      </w:tr>
      <w:tr w:rsidR="00510444" w14:paraId="4BDBF8ED"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76088FA" w14:textId="77777777" w:rsidR="00510444" w:rsidRDefault="00510444">
            <w:pPr>
              <w:pStyle w:val="1"/>
              <w:widowControl/>
              <w:numPr>
                <w:ilvl w:val="0"/>
                <w:numId w:val="1"/>
              </w:numPr>
              <w:spacing w:before="156" w:after="156" w:line="276" w:lineRule="auto"/>
              <w:ind w:firstLineChars="0"/>
              <w:jc w:val="left"/>
              <w:rPr>
                <w:rFonts w:ascii="宋体" w:hAnsi="宋体" w:cs="宋体"/>
                <w:szCs w:val="21"/>
              </w:rPr>
            </w:pPr>
          </w:p>
        </w:tc>
        <w:tc>
          <w:tcPr>
            <w:tcW w:w="8533" w:type="dxa"/>
            <w:tcBorders>
              <w:top w:val="single" w:sz="4" w:space="0" w:color="auto"/>
              <w:left w:val="single" w:sz="4" w:space="0" w:color="auto"/>
              <w:bottom w:val="single" w:sz="4" w:space="0" w:color="auto"/>
              <w:right w:val="single" w:sz="4" w:space="0" w:color="auto"/>
            </w:tcBorders>
            <w:vAlign w:val="center"/>
          </w:tcPr>
          <w:p w14:paraId="2D73BB0F" w14:textId="77777777" w:rsidR="00510444" w:rsidRDefault="00000000">
            <w:pPr>
              <w:spacing w:line="276" w:lineRule="auto"/>
              <w:rPr>
                <w:rFonts w:ascii="宋体" w:hAnsi="宋体" w:cs="宋体"/>
                <w:bCs/>
                <w:szCs w:val="21"/>
              </w:rPr>
            </w:pPr>
            <w:r>
              <w:rPr>
                <w:rFonts w:ascii="宋体" w:hAnsi="宋体" w:cs="宋体" w:hint="eastAsia"/>
                <w:szCs w:val="21"/>
              </w:rPr>
              <w:t>▲发动机功率：≥170KW</w:t>
            </w:r>
          </w:p>
        </w:tc>
      </w:tr>
      <w:tr w:rsidR="00510444" w14:paraId="60D4FB7A" w14:textId="77777777">
        <w:trPr>
          <w:trHeight w:val="90"/>
          <w:jc w:val="center"/>
        </w:trPr>
        <w:tc>
          <w:tcPr>
            <w:tcW w:w="778" w:type="dxa"/>
            <w:tcBorders>
              <w:top w:val="single" w:sz="4" w:space="0" w:color="auto"/>
              <w:left w:val="single" w:sz="4" w:space="0" w:color="auto"/>
              <w:bottom w:val="single" w:sz="4" w:space="0" w:color="auto"/>
              <w:right w:val="single" w:sz="4" w:space="0" w:color="auto"/>
            </w:tcBorders>
            <w:vAlign w:val="center"/>
          </w:tcPr>
          <w:p w14:paraId="50E98B11" w14:textId="77777777" w:rsidR="00510444" w:rsidRDefault="00510444">
            <w:pPr>
              <w:pStyle w:val="1"/>
              <w:widowControl/>
              <w:numPr>
                <w:ilvl w:val="0"/>
                <w:numId w:val="1"/>
              </w:numPr>
              <w:spacing w:before="156" w:after="156" w:line="276" w:lineRule="auto"/>
              <w:ind w:firstLineChars="0"/>
              <w:jc w:val="center"/>
              <w:rPr>
                <w:rFonts w:ascii="宋体" w:hAnsi="宋体" w:cs="宋体"/>
                <w:szCs w:val="21"/>
              </w:rPr>
            </w:pPr>
          </w:p>
        </w:tc>
        <w:tc>
          <w:tcPr>
            <w:tcW w:w="8533" w:type="dxa"/>
            <w:tcBorders>
              <w:top w:val="single" w:sz="4" w:space="0" w:color="auto"/>
              <w:left w:val="single" w:sz="4" w:space="0" w:color="auto"/>
              <w:bottom w:val="single" w:sz="4" w:space="0" w:color="auto"/>
              <w:right w:val="single" w:sz="4" w:space="0" w:color="auto"/>
            </w:tcBorders>
            <w:vAlign w:val="center"/>
          </w:tcPr>
          <w:p w14:paraId="2A88E564" w14:textId="77777777" w:rsidR="00510444" w:rsidRDefault="00000000">
            <w:pPr>
              <w:spacing w:line="276" w:lineRule="auto"/>
              <w:rPr>
                <w:rFonts w:ascii="宋体" w:hAnsi="宋体" w:cs="宋体"/>
                <w:bCs/>
                <w:szCs w:val="21"/>
              </w:rPr>
            </w:pPr>
            <w:r>
              <w:rPr>
                <w:rFonts w:ascii="宋体" w:hAnsi="宋体" w:cs="宋体" w:hint="eastAsia"/>
                <w:szCs w:val="21"/>
              </w:rPr>
              <w:t>▲最大允许总质量≥15000kg</w:t>
            </w:r>
          </w:p>
        </w:tc>
      </w:tr>
      <w:tr w:rsidR="00510444" w14:paraId="11E017D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5C06277" w14:textId="77777777" w:rsidR="00510444" w:rsidRDefault="00510444">
            <w:pPr>
              <w:pStyle w:val="1"/>
              <w:widowControl/>
              <w:numPr>
                <w:ilvl w:val="0"/>
                <w:numId w:val="1"/>
              </w:numPr>
              <w:spacing w:before="156" w:after="156" w:line="276" w:lineRule="auto"/>
              <w:ind w:firstLineChars="0"/>
              <w:jc w:val="center"/>
              <w:rPr>
                <w:rFonts w:ascii="宋体" w:hAnsi="宋体" w:cs="宋体"/>
                <w:szCs w:val="21"/>
              </w:rPr>
            </w:pPr>
          </w:p>
        </w:tc>
        <w:tc>
          <w:tcPr>
            <w:tcW w:w="8533" w:type="dxa"/>
            <w:tcBorders>
              <w:top w:val="single" w:sz="4" w:space="0" w:color="auto"/>
              <w:left w:val="single" w:sz="4" w:space="0" w:color="auto"/>
              <w:bottom w:val="single" w:sz="4" w:space="0" w:color="auto"/>
              <w:right w:val="single" w:sz="4" w:space="0" w:color="auto"/>
            </w:tcBorders>
            <w:vAlign w:val="center"/>
          </w:tcPr>
          <w:p w14:paraId="208E65B2" w14:textId="77777777" w:rsidR="00510444" w:rsidRDefault="00000000">
            <w:pPr>
              <w:spacing w:line="276" w:lineRule="auto"/>
              <w:rPr>
                <w:rFonts w:ascii="宋体" w:hAnsi="宋体" w:cs="宋体"/>
                <w:szCs w:val="21"/>
              </w:rPr>
            </w:pPr>
            <w:r>
              <w:rPr>
                <w:rFonts w:ascii="宋体" w:hAnsi="宋体" w:cs="宋体" w:hint="eastAsia"/>
                <w:szCs w:val="21"/>
              </w:rPr>
              <w:t>时速≥90km/h，0-60km/h加速时间≤36S，比功率：≥10kw/t</w:t>
            </w:r>
          </w:p>
        </w:tc>
      </w:tr>
      <w:tr w:rsidR="00510444" w14:paraId="3325935A"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CFE383D" w14:textId="77777777" w:rsidR="00510444" w:rsidRDefault="00510444">
            <w:pPr>
              <w:pStyle w:val="1"/>
              <w:widowControl/>
              <w:numPr>
                <w:ilvl w:val="0"/>
                <w:numId w:val="1"/>
              </w:numPr>
              <w:spacing w:before="156" w:after="156" w:line="276" w:lineRule="auto"/>
              <w:ind w:firstLineChars="0"/>
              <w:jc w:val="center"/>
              <w:rPr>
                <w:rFonts w:ascii="宋体" w:hAnsi="宋体" w:cs="宋体"/>
                <w:szCs w:val="21"/>
              </w:rPr>
            </w:pPr>
          </w:p>
        </w:tc>
        <w:tc>
          <w:tcPr>
            <w:tcW w:w="8533" w:type="dxa"/>
            <w:tcBorders>
              <w:top w:val="single" w:sz="4" w:space="0" w:color="auto"/>
              <w:left w:val="single" w:sz="4" w:space="0" w:color="auto"/>
              <w:bottom w:val="single" w:sz="4" w:space="0" w:color="auto"/>
              <w:right w:val="single" w:sz="4" w:space="0" w:color="auto"/>
            </w:tcBorders>
            <w:vAlign w:val="center"/>
          </w:tcPr>
          <w:p w14:paraId="1FC06669" w14:textId="77777777" w:rsidR="00510444" w:rsidRDefault="00000000">
            <w:pPr>
              <w:spacing w:line="276" w:lineRule="auto"/>
              <w:rPr>
                <w:rFonts w:ascii="宋体" w:hAnsi="宋体" w:cs="宋体"/>
                <w:szCs w:val="21"/>
              </w:rPr>
            </w:pPr>
            <w:r>
              <w:rPr>
                <w:rFonts w:ascii="宋体" w:hAnsi="宋体" w:cs="宋体" w:hint="eastAsia"/>
                <w:szCs w:val="21"/>
              </w:rPr>
              <w:t>排放：国VI</w:t>
            </w:r>
          </w:p>
        </w:tc>
      </w:tr>
      <w:tr w:rsidR="00510444" w14:paraId="5A8CC282"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392A8EE" w14:textId="77777777" w:rsidR="00510444" w:rsidRDefault="00510444">
            <w:pPr>
              <w:pStyle w:val="1"/>
              <w:widowControl/>
              <w:numPr>
                <w:ilvl w:val="0"/>
                <w:numId w:val="1"/>
              </w:numPr>
              <w:spacing w:before="156" w:after="156" w:line="276" w:lineRule="auto"/>
              <w:ind w:firstLineChars="0"/>
              <w:jc w:val="center"/>
              <w:rPr>
                <w:rFonts w:ascii="宋体" w:hAnsi="宋体" w:cs="宋体"/>
                <w:szCs w:val="21"/>
              </w:rPr>
            </w:pPr>
          </w:p>
        </w:tc>
        <w:tc>
          <w:tcPr>
            <w:tcW w:w="8533" w:type="dxa"/>
            <w:tcBorders>
              <w:top w:val="single" w:sz="4" w:space="0" w:color="auto"/>
              <w:left w:val="single" w:sz="4" w:space="0" w:color="auto"/>
              <w:bottom w:val="single" w:sz="4" w:space="0" w:color="auto"/>
              <w:right w:val="single" w:sz="4" w:space="0" w:color="auto"/>
            </w:tcBorders>
            <w:vAlign w:val="center"/>
          </w:tcPr>
          <w:p w14:paraId="6C678601" w14:textId="77777777" w:rsidR="00510444" w:rsidRDefault="00000000">
            <w:pPr>
              <w:spacing w:line="276" w:lineRule="auto"/>
              <w:rPr>
                <w:rFonts w:ascii="宋体" w:hAnsi="宋体" w:cs="宋体"/>
                <w:szCs w:val="21"/>
              </w:rPr>
            </w:pPr>
            <w:r>
              <w:rPr>
                <w:rFonts w:ascii="宋体" w:hAnsi="宋体" w:cs="宋体" w:hint="eastAsia"/>
                <w:szCs w:val="21"/>
              </w:rPr>
              <w:t>▲轴距：≤6000mm</w:t>
            </w:r>
          </w:p>
        </w:tc>
      </w:tr>
      <w:tr w:rsidR="00510444" w14:paraId="04418FD1"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50ECFAA" w14:textId="77777777" w:rsidR="00510444" w:rsidRDefault="00000000">
            <w:pPr>
              <w:spacing w:line="276" w:lineRule="auto"/>
              <w:rPr>
                <w:rFonts w:ascii="宋体" w:hAnsi="宋体" w:cs="宋体"/>
                <w:kern w:val="0"/>
                <w:szCs w:val="21"/>
              </w:rPr>
            </w:pPr>
            <w:r>
              <w:rPr>
                <w:rFonts w:ascii="宋体" w:hAnsi="宋体" w:cs="宋体" w:hint="eastAsia"/>
                <w:b/>
                <w:szCs w:val="21"/>
              </w:rPr>
              <w:t>（三）厢体改装</w:t>
            </w:r>
          </w:p>
        </w:tc>
      </w:tr>
      <w:tr w:rsidR="00510444" w14:paraId="4E61ED87"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236FD58"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72A2108D" w14:textId="77777777" w:rsidR="00510444" w:rsidRDefault="00000000">
            <w:pPr>
              <w:spacing w:line="276" w:lineRule="auto"/>
              <w:rPr>
                <w:rFonts w:ascii="宋体" w:hAnsi="宋体" w:cs="宋体"/>
                <w:szCs w:val="21"/>
              </w:rPr>
            </w:pPr>
            <w:r>
              <w:rPr>
                <w:rFonts w:ascii="宋体" w:hAnsi="宋体" w:cs="宋体" w:hint="eastAsia"/>
                <w:szCs w:val="21"/>
              </w:rPr>
              <w:t>整体式框架结构，龙骨采用优质型材焊接，外蒙皮为冷轧板材焊接，厢体外廓采用铝型材包角；箱体配有前、后示廓灯；左右两侧上部有两盏全红的频闪灯，下裙边设计制作专用杂物舱；车门、舱门采用专用型材结构；厢体内采用塑胶地板；厢体四壁及顶部骨架填充隔音隔热材料，室内装饰采用复合板材，防火阻燃等级符合GB8624B1标准，内饰板材防水防潮。</w:t>
            </w:r>
          </w:p>
        </w:tc>
      </w:tr>
      <w:tr w:rsidR="00510444" w14:paraId="3E513A14"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1DE23B12"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0B00F204" w14:textId="77777777" w:rsidR="00510444" w:rsidRDefault="00000000">
            <w:pPr>
              <w:spacing w:line="276" w:lineRule="auto"/>
              <w:rPr>
                <w:rFonts w:ascii="宋体" w:hAnsi="宋体" w:cs="宋体"/>
                <w:kern w:val="0"/>
                <w:szCs w:val="21"/>
              </w:rPr>
            </w:pPr>
            <w:r>
              <w:rPr>
                <w:rFonts w:ascii="宋体" w:hAnsi="宋体" w:cs="宋体" w:hint="eastAsia"/>
                <w:szCs w:val="21"/>
              </w:rPr>
              <w:t>基本结构：车体右侧车体侧面安装户外全彩LED大屏，左右两侧分别布置电气火灾成因演示教育系统、消防装备认知系统、消防火灾隐患排查体验系统、模拟119报警等互动系统，左侧上部为单红LED滚动字幕宣传屏；尾部设计有隐藏式抽拉梯。</w:t>
            </w:r>
          </w:p>
        </w:tc>
      </w:tr>
      <w:tr w:rsidR="00510444" w14:paraId="795C66C3" w14:textId="77777777">
        <w:trPr>
          <w:trHeight w:val="90"/>
          <w:jc w:val="center"/>
        </w:trPr>
        <w:tc>
          <w:tcPr>
            <w:tcW w:w="778" w:type="dxa"/>
            <w:tcBorders>
              <w:top w:val="single" w:sz="4" w:space="0" w:color="auto"/>
              <w:left w:val="single" w:sz="4" w:space="0" w:color="auto"/>
              <w:bottom w:val="single" w:sz="4" w:space="0" w:color="auto"/>
              <w:right w:val="single" w:sz="4" w:space="0" w:color="auto"/>
            </w:tcBorders>
            <w:vAlign w:val="center"/>
          </w:tcPr>
          <w:p w14:paraId="4D2DD4B3"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7245C325" w14:textId="77777777" w:rsidR="00510444" w:rsidRDefault="00000000">
            <w:pPr>
              <w:spacing w:line="276" w:lineRule="auto"/>
              <w:rPr>
                <w:rFonts w:ascii="宋体" w:hAnsi="宋体" w:cs="宋体"/>
                <w:szCs w:val="21"/>
              </w:rPr>
            </w:pPr>
            <w:r>
              <w:rPr>
                <w:rFonts w:ascii="宋体" w:hAnsi="宋体" w:cs="宋体" w:hint="eastAsia"/>
                <w:szCs w:val="21"/>
              </w:rPr>
              <w:t>▲包含消防宣传系统数：≥10套（包含但不仅限于报警体验系统、厨房火灾演示系统、电气线路过载火灾演示系统、建筑烟雾传播演示系统、消防自动化喷淋演示系统等）</w:t>
            </w:r>
          </w:p>
        </w:tc>
      </w:tr>
      <w:tr w:rsidR="00510444" w14:paraId="7DFFFFA0" w14:textId="77777777">
        <w:trPr>
          <w:trHeight w:val="90"/>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F3EA6"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4</w:t>
            </w:r>
          </w:p>
        </w:tc>
        <w:tc>
          <w:tcPr>
            <w:tcW w:w="8533" w:type="dxa"/>
            <w:tcBorders>
              <w:top w:val="single" w:sz="4" w:space="0" w:color="auto"/>
              <w:left w:val="single" w:sz="4" w:space="0" w:color="auto"/>
              <w:bottom w:val="single" w:sz="4" w:space="0" w:color="auto"/>
              <w:right w:val="single" w:sz="4" w:space="0" w:color="auto"/>
            </w:tcBorders>
            <w:vAlign w:val="center"/>
          </w:tcPr>
          <w:p w14:paraId="5773513A" w14:textId="77777777" w:rsidR="00510444" w:rsidRDefault="00000000">
            <w:pPr>
              <w:spacing w:line="276" w:lineRule="auto"/>
              <w:rPr>
                <w:rFonts w:ascii="宋体" w:hAnsi="宋体" w:cs="宋体"/>
                <w:szCs w:val="21"/>
              </w:rPr>
            </w:pPr>
            <w:r>
              <w:rPr>
                <w:rFonts w:ascii="宋体" w:hAnsi="宋体" w:cs="宋体" w:hint="eastAsia"/>
                <w:szCs w:val="21"/>
              </w:rPr>
              <w:t>▲防雨密封性能：放置消防宣传设备及其他需防水器材的器材箱不应漏水，外装LED大屏、警灯和频闪灯不应进水</w:t>
            </w:r>
          </w:p>
        </w:tc>
      </w:tr>
      <w:tr w:rsidR="00510444" w14:paraId="5A9D3FE8" w14:textId="77777777">
        <w:trPr>
          <w:trHeight w:val="90"/>
          <w:jc w:val="center"/>
        </w:trPr>
        <w:tc>
          <w:tcPr>
            <w:tcW w:w="778" w:type="dxa"/>
            <w:tcBorders>
              <w:top w:val="single" w:sz="4" w:space="0" w:color="auto"/>
              <w:left w:val="single" w:sz="4" w:space="0" w:color="auto"/>
              <w:bottom w:val="single" w:sz="4" w:space="0" w:color="auto"/>
              <w:right w:val="single" w:sz="4" w:space="0" w:color="auto"/>
            </w:tcBorders>
            <w:vAlign w:val="center"/>
          </w:tcPr>
          <w:p w14:paraId="60FE89FE"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5</w:t>
            </w:r>
          </w:p>
        </w:tc>
        <w:tc>
          <w:tcPr>
            <w:tcW w:w="8533" w:type="dxa"/>
            <w:tcBorders>
              <w:top w:val="single" w:sz="4" w:space="0" w:color="auto"/>
              <w:left w:val="single" w:sz="4" w:space="0" w:color="auto"/>
              <w:bottom w:val="single" w:sz="4" w:space="0" w:color="auto"/>
              <w:right w:val="single" w:sz="4" w:space="0" w:color="auto"/>
            </w:tcBorders>
            <w:vAlign w:val="center"/>
          </w:tcPr>
          <w:p w14:paraId="2000D2A1" w14:textId="77777777" w:rsidR="00510444" w:rsidRDefault="00000000">
            <w:pPr>
              <w:spacing w:line="276" w:lineRule="auto"/>
              <w:rPr>
                <w:rFonts w:ascii="宋体" w:hAnsi="宋体" w:cs="宋体"/>
                <w:szCs w:val="21"/>
              </w:rPr>
            </w:pPr>
            <w:r>
              <w:rPr>
                <w:rFonts w:ascii="宋体" w:hAnsi="宋体" w:cs="宋体" w:hint="eastAsia"/>
                <w:szCs w:val="21"/>
              </w:rPr>
              <w:t>▲各宣教演示设备的位置应布置合理，在同时开启时应互不干扰</w:t>
            </w:r>
          </w:p>
        </w:tc>
      </w:tr>
      <w:tr w:rsidR="00510444" w14:paraId="7746B546" w14:textId="77777777">
        <w:trPr>
          <w:trHeight w:val="90"/>
          <w:jc w:val="center"/>
        </w:trPr>
        <w:tc>
          <w:tcPr>
            <w:tcW w:w="778" w:type="dxa"/>
            <w:tcBorders>
              <w:top w:val="single" w:sz="4" w:space="0" w:color="auto"/>
              <w:left w:val="single" w:sz="4" w:space="0" w:color="auto"/>
              <w:bottom w:val="single" w:sz="4" w:space="0" w:color="auto"/>
              <w:right w:val="single" w:sz="4" w:space="0" w:color="auto"/>
            </w:tcBorders>
            <w:vAlign w:val="center"/>
          </w:tcPr>
          <w:p w14:paraId="5DA983D1" w14:textId="77777777" w:rsidR="00510444" w:rsidRDefault="00000000">
            <w:pPr>
              <w:pStyle w:val="1"/>
              <w:widowControl/>
              <w:spacing w:before="156" w:after="156" w:line="276" w:lineRule="auto"/>
              <w:ind w:firstLineChars="0" w:firstLine="0"/>
              <w:jc w:val="center"/>
              <w:rPr>
                <w:rFonts w:ascii="宋体" w:hAnsi="宋体" w:cs="宋体"/>
                <w:szCs w:val="21"/>
              </w:rPr>
            </w:pPr>
            <w:r>
              <w:rPr>
                <w:rFonts w:ascii="宋体" w:hAnsi="宋体" w:cs="宋体" w:hint="eastAsia"/>
                <w:szCs w:val="21"/>
              </w:rPr>
              <w:t>6</w:t>
            </w:r>
          </w:p>
        </w:tc>
        <w:tc>
          <w:tcPr>
            <w:tcW w:w="8533" w:type="dxa"/>
            <w:tcBorders>
              <w:top w:val="single" w:sz="4" w:space="0" w:color="auto"/>
              <w:left w:val="single" w:sz="4" w:space="0" w:color="auto"/>
              <w:bottom w:val="single" w:sz="4" w:space="0" w:color="auto"/>
              <w:right w:val="single" w:sz="4" w:space="0" w:color="auto"/>
            </w:tcBorders>
            <w:vAlign w:val="center"/>
          </w:tcPr>
          <w:p w14:paraId="4B32CF47" w14:textId="77777777" w:rsidR="00510444" w:rsidRDefault="00000000">
            <w:pPr>
              <w:spacing w:line="276" w:lineRule="auto"/>
              <w:rPr>
                <w:rFonts w:ascii="宋体" w:hAnsi="宋体" w:cs="宋体"/>
                <w:szCs w:val="21"/>
              </w:rPr>
            </w:pPr>
            <w:r>
              <w:rPr>
                <w:rFonts w:ascii="宋体" w:hAnsi="宋体" w:cs="宋体" w:hint="eastAsia"/>
                <w:szCs w:val="21"/>
              </w:rPr>
              <w:t>▲宣传舞台平台展开后应支撑牢固可靠，承载能力≥200kg/㎡</w:t>
            </w:r>
          </w:p>
        </w:tc>
      </w:tr>
      <w:tr w:rsidR="00510444" w14:paraId="54A87B4A"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EA54081" w14:textId="77777777" w:rsidR="00510444" w:rsidRDefault="00000000">
            <w:pPr>
              <w:pStyle w:val="a3"/>
              <w:spacing w:line="276" w:lineRule="auto"/>
              <w:jc w:val="left"/>
              <w:rPr>
                <w:rFonts w:ascii="宋体" w:hAnsi="宋体"/>
                <w:bCs/>
                <w:color w:val="auto"/>
                <w:sz w:val="21"/>
                <w:szCs w:val="21"/>
              </w:rPr>
            </w:pPr>
            <w:r>
              <w:rPr>
                <w:rFonts w:ascii="宋体" w:hAnsi="宋体" w:hint="eastAsia"/>
                <w:b/>
                <w:color w:val="auto"/>
                <w:sz w:val="21"/>
                <w:szCs w:val="21"/>
              </w:rPr>
              <w:t>（四）举升屏及侧翻舞台液压系统</w:t>
            </w:r>
          </w:p>
        </w:tc>
      </w:tr>
      <w:tr w:rsidR="00510444" w14:paraId="5AAB1112"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E8EAB69" w14:textId="77777777" w:rsidR="00510444" w:rsidRDefault="00000000">
            <w:pPr>
              <w:widowControl/>
              <w:spacing w:line="276" w:lineRule="auto"/>
              <w:jc w:val="center"/>
              <w:rPr>
                <w:rFonts w:ascii="宋体" w:hAnsi="宋体" w:cs="宋体"/>
                <w:szCs w:val="21"/>
              </w:rPr>
            </w:pPr>
            <w:r>
              <w:rPr>
                <w:rFonts w:ascii="宋体" w:hAnsi="宋体" w:cs="宋体" w:hint="eastAsia"/>
                <w:szCs w:val="21"/>
              </w:rPr>
              <w:lastRenderedPageBreak/>
              <w:t>1</w:t>
            </w:r>
          </w:p>
        </w:tc>
        <w:tc>
          <w:tcPr>
            <w:tcW w:w="8533" w:type="dxa"/>
            <w:tcBorders>
              <w:top w:val="single" w:sz="4" w:space="0" w:color="auto"/>
              <w:left w:val="single" w:sz="4" w:space="0" w:color="auto"/>
              <w:bottom w:val="single" w:sz="4" w:space="0" w:color="auto"/>
              <w:right w:val="single" w:sz="4" w:space="0" w:color="auto"/>
            </w:tcBorders>
            <w:vAlign w:val="center"/>
          </w:tcPr>
          <w:p w14:paraId="2252B9B5"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液压系统配置有全彩LED大屏液压举升单元和侧拓展舞台翻转单元，均采用无线遥控操作，进口液压阀组原件，具备安全自锁功能。大屏举升单元配有配备有双重安全限位装置；折叠舞台液压翻转拓展和折叠收放，一键操控，整车液压系统收放可在3分钟内完成</w:t>
            </w:r>
          </w:p>
        </w:tc>
      </w:tr>
      <w:tr w:rsidR="00510444" w14:paraId="6AAB614B"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FBAC1D8" w14:textId="77777777" w:rsidR="00510444" w:rsidRDefault="00000000">
            <w:pPr>
              <w:pStyle w:val="a3"/>
              <w:spacing w:line="276" w:lineRule="auto"/>
              <w:rPr>
                <w:rFonts w:ascii="宋体" w:hAnsi="宋体"/>
                <w:b/>
                <w:color w:val="auto"/>
                <w:sz w:val="21"/>
                <w:szCs w:val="21"/>
              </w:rPr>
            </w:pPr>
            <w:r>
              <w:rPr>
                <w:rFonts w:ascii="宋体" w:hAnsi="宋体" w:hint="eastAsia"/>
                <w:b/>
                <w:color w:val="auto"/>
                <w:sz w:val="21"/>
                <w:szCs w:val="21"/>
              </w:rPr>
              <w:t>（五）多媒体播放系统</w:t>
            </w:r>
          </w:p>
        </w:tc>
      </w:tr>
      <w:tr w:rsidR="00510444" w14:paraId="4841287A"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BC074C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314BE947"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采用LED全彩屏（尺寸≥9平方米），搭配≥17寸车载显示器、工业控制机（内存≥2G，硬盘≥500G，键盘鼠标，带USB接口），200W功率放大器，无线话筒，车载专用高品质音响：2台,可以播放存储的典型案例、防火、初火扑救、地震逃生自救等消防宣传视频。配备户外LED滚动显示屏，滚动播放信息发布。系统可正转、反转和停顿。</w:t>
            </w:r>
          </w:p>
        </w:tc>
      </w:tr>
      <w:tr w:rsidR="00510444" w14:paraId="41DC9B8B"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06BAA871" w14:textId="77777777" w:rsidR="00510444" w:rsidRDefault="00000000">
            <w:pPr>
              <w:pStyle w:val="a3"/>
              <w:spacing w:line="276" w:lineRule="auto"/>
              <w:rPr>
                <w:rFonts w:ascii="宋体" w:hAnsi="宋体"/>
                <w:b/>
                <w:color w:val="auto"/>
                <w:sz w:val="21"/>
                <w:szCs w:val="21"/>
              </w:rPr>
            </w:pPr>
            <w:r>
              <w:rPr>
                <w:rFonts w:ascii="宋体" w:hAnsi="宋体" w:hint="eastAsia"/>
                <w:b/>
                <w:color w:val="auto"/>
                <w:sz w:val="21"/>
                <w:szCs w:val="21"/>
              </w:rPr>
              <w:t>（六）消防自动喷淋演示系统</w:t>
            </w:r>
          </w:p>
        </w:tc>
      </w:tr>
      <w:tr w:rsidR="00510444" w14:paraId="525C5FAF"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747E894"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CB261B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3D视频演示及联动功能；配备户外LED滚动显示屏。系统可正转、反转和停顿</w:t>
            </w:r>
          </w:p>
        </w:tc>
      </w:tr>
      <w:tr w:rsidR="00510444" w14:paraId="68DA4089"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CCF961D"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02BEB2B3"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车载式主板，CPU≥Intel i5；内存≥DDR3  4G；固态硬盘≥64G/工业电源；液晶触摸屏≥32寸；音箱及功放装置一套，楼宇广播音箱</w:t>
            </w:r>
          </w:p>
        </w:tc>
      </w:tr>
      <w:tr w:rsidR="00510444" w14:paraId="23E579D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17EABADD"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230F7AC4"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模拟火灾报警系统1 套(JTY-GD-G3点型光电感烟火灾探测器、JTW-ZCD-G3N点型感温火灾探测器、DZ-02通用底座、J-SAM-GST9121手动火灾报警按钮、HX-100B火灾声光警报器、JB-QB-GST100火灾报警控制器等）以及应急灯、电梯模型</w:t>
            </w:r>
          </w:p>
        </w:tc>
      </w:tr>
      <w:tr w:rsidR="00510444" w14:paraId="05CA7C2F"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57ED46A"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4</w:t>
            </w:r>
          </w:p>
        </w:tc>
        <w:tc>
          <w:tcPr>
            <w:tcW w:w="8533" w:type="dxa"/>
            <w:tcBorders>
              <w:top w:val="single" w:sz="4" w:space="0" w:color="auto"/>
              <w:left w:val="single" w:sz="4" w:space="0" w:color="auto"/>
              <w:bottom w:val="single" w:sz="4" w:space="0" w:color="auto"/>
              <w:right w:val="single" w:sz="4" w:space="0" w:color="auto"/>
            </w:tcBorders>
            <w:vAlign w:val="center"/>
          </w:tcPr>
          <w:p w14:paraId="5DA7B4A8"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全透明圆筒，模拟发烟设备:功率≥900w，卷帘门、卷帘门电机及控制机构，不锈钢喷水泵、喷头、储水箱回水管路</w:t>
            </w:r>
          </w:p>
        </w:tc>
      </w:tr>
      <w:tr w:rsidR="00510444" w14:paraId="1A48E8CC"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40AC0CF"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5</w:t>
            </w:r>
          </w:p>
        </w:tc>
        <w:tc>
          <w:tcPr>
            <w:tcW w:w="8533" w:type="dxa"/>
            <w:tcBorders>
              <w:top w:val="single" w:sz="4" w:space="0" w:color="auto"/>
              <w:left w:val="single" w:sz="4" w:space="0" w:color="auto"/>
              <w:bottom w:val="single" w:sz="4" w:space="0" w:color="auto"/>
              <w:right w:val="single" w:sz="4" w:space="0" w:color="auto"/>
            </w:tcBorders>
            <w:vAlign w:val="center"/>
          </w:tcPr>
          <w:p w14:paraId="6B93A5B4"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专用项目控制柜及电路系统，通过LED流水灯以及采集链路和控制器执行控制命令的链路，宾馆室内模型、商场模型、模型照明灯，消防自动化演示软件</w:t>
            </w:r>
          </w:p>
        </w:tc>
      </w:tr>
      <w:tr w:rsidR="00510444" w14:paraId="7717E8B6"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7A179E11" w14:textId="77777777" w:rsidR="00510444" w:rsidRDefault="00000000">
            <w:pPr>
              <w:pStyle w:val="a3"/>
              <w:spacing w:line="276" w:lineRule="auto"/>
              <w:rPr>
                <w:rFonts w:ascii="宋体" w:hAnsi="宋体"/>
                <w:b/>
                <w:color w:val="auto"/>
                <w:sz w:val="21"/>
                <w:szCs w:val="21"/>
              </w:rPr>
            </w:pPr>
            <w:r>
              <w:rPr>
                <w:rFonts w:ascii="宋体" w:hAnsi="宋体" w:hint="eastAsia"/>
                <w:b/>
                <w:color w:val="auto"/>
                <w:sz w:val="21"/>
                <w:szCs w:val="21"/>
              </w:rPr>
              <w:t>（七）建筑火灾烟雾传播演示系统</w:t>
            </w:r>
          </w:p>
        </w:tc>
      </w:tr>
      <w:tr w:rsidR="00510444" w14:paraId="640F091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B4775BE"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F7CDBF5"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模拟高楼着火时烟雾传播过程的演示。系统设置手动和自动两种操作模式。模拟大楼防火设施中的正压送风、新风系统、防火门、总排风等设备。系统设置两种演示案例，通过操作面板上的两个按钮进行选择。在案例一中着重演示防火门、正压送风装置、电梯前室等在火灾发生时对烟雾的阻断作用</w:t>
            </w:r>
          </w:p>
        </w:tc>
      </w:tr>
      <w:tr w:rsidR="00510444" w14:paraId="0FC25D2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FDB9A75"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16C146B5"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电源控制机柜外型尺寸：可编程序控制器PLC、功能控制系统1套</w:t>
            </w:r>
          </w:p>
        </w:tc>
      </w:tr>
      <w:tr w:rsidR="00510444" w14:paraId="3DC07563"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E7D75DE"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1E1F9C6B"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车载烟雾传播建筑模型1套，外型尺寸：≥宽1000mm*高1750mm*厚500mm</w:t>
            </w:r>
          </w:p>
        </w:tc>
      </w:tr>
      <w:tr w:rsidR="00510444" w14:paraId="47AE509F"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1B64198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4</w:t>
            </w:r>
          </w:p>
        </w:tc>
        <w:tc>
          <w:tcPr>
            <w:tcW w:w="8533" w:type="dxa"/>
            <w:tcBorders>
              <w:top w:val="single" w:sz="4" w:space="0" w:color="auto"/>
              <w:left w:val="single" w:sz="4" w:space="0" w:color="auto"/>
              <w:bottom w:val="single" w:sz="4" w:space="0" w:color="auto"/>
              <w:right w:val="single" w:sz="4" w:space="0" w:color="auto"/>
            </w:tcBorders>
            <w:vAlign w:val="center"/>
          </w:tcPr>
          <w:p w14:paraId="6A3328BA"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发烟、排烟、模拟气流系统1套，发烟机≥900w</w:t>
            </w:r>
          </w:p>
        </w:tc>
      </w:tr>
      <w:tr w:rsidR="00510444" w14:paraId="52BD23D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0557B09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5</w:t>
            </w:r>
          </w:p>
        </w:tc>
        <w:tc>
          <w:tcPr>
            <w:tcW w:w="8533" w:type="dxa"/>
            <w:tcBorders>
              <w:top w:val="single" w:sz="4" w:space="0" w:color="auto"/>
              <w:left w:val="single" w:sz="4" w:space="0" w:color="auto"/>
              <w:bottom w:val="single" w:sz="4" w:space="0" w:color="auto"/>
              <w:right w:val="single" w:sz="4" w:space="0" w:color="auto"/>
            </w:tcBorders>
            <w:vAlign w:val="center"/>
          </w:tcPr>
          <w:p w14:paraId="101D6520"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项目功能控制软件系统，模拟消防安全逃生指示标志，模拟楼层照明灯</w:t>
            </w:r>
          </w:p>
        </w:tc>
      </w:tr>
      <w:tr w:rsidR="00510444" w14:paraId="392CAD38"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3D13BC54" w14:textId="77777777" w:rsidR="00510444" w:rsidRDefault="00000000">
            <w:pPr>
              <w:pStyle w:val="a3"/>
              <w:spacing w:line="276" w:lineRule="auto"/>
              <w:rPr>
                <w:rFonts w:ascii="宋体" w:hAnsi="宋体"/>
                <w:b/>
                <w:color w:val="auto"/>
                <w:sz w:val="21"/>
                <w:szCs w:val="21"/>
              </w:rPr>
            </w:pPr>
            <w:r>
              <w:rPr>
                <w:rFonts w:ascii="宋体" w:hAnsi="宋体" w:hint="eastAsia"/>
                <w:b/>
                <w:color w:val="auto"/>
                <w:sz w:val="21"/>
                <w:szCs w:val="21"/>
              </w:rPr>
              <w:t>（八）厨房火灾灭火演示系统</w:t>
            </w:r>
          </w:p>
        </w:tc>
      </w:tr>
      <w:tr w:rsidR="00510444" w14:paraId="4FFDB86C"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01FE1ADC"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C59116A"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以实际的厨房模型为载体，配备有火灶、水壶、炒锅、锅盖、煤气管道、煤气罐、微波炉等厨房设备（装置上配有六个按钮：①灶台上方的毛巾；②微波炉；③杀虫剂；④燃气灶；⑤煤气罐；⑥热得快）</w:t>
            </w:r>
          </w:p>
        </w:tc>
      </w:tr>
      <w:tr w:rsidR="00510444" w14:paraId="0BC9D92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398D872"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29B47A70"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车载式主板，CPU≥Intel i5；内存≥DDR3  4G；固态硬盘≥64G/工业电源/红外触摸屏≥32寸/工业电源/防磁喇叭/功放/机柜</w:t>
            </w:r>
          </w:p>
        </w:tc>
      </w:tr>
      <w:tr w:rsidR="00510444" w14:paraId="039F203B"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99D7FEB"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0A413BC8"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采用专用机柜及车载计算机橡胶减震结构，配备有火灶、水壶、炒锅、锅盖、煤气管道、煤气罐、微波炉等厨房设备</w:t>
            </w:r>
          </w:p>
        </w:tc>
      </w:tr>
      <w:tr w:rsidR="00510444" w14:paraId="57DB1522"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0AA4303C"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（九）红外模拟灭火体验系统</w:t>
            </w:r>
          </w:p>
        </w:tc>
      </w:tr>
      <w:tr w:rsidR="00510444" w14:paraId="5DDAD11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0AC6A10E"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11D588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模拟灭火装置,集空间定位、红外提醒标识、灭火器电控、虚拟现实场景等技术，在大屏幕</w:t>
            </w:r>
            <w:r>
              <w:rPr>
                <w:rFonts w:ascii="宋体" w:hAnsi="宋体" w:hint="eastAsia"/>
                <w:color w:val="auto"/>
                <w:sz w:val="21"/>
                <w:szCs w:val="21"/>
              </w:rPr>
              <w:lastRenderedPageBreak/>
              <w:t>上，可以选择如下场景：教室、厨房、客厅火灾场景。</w:t>
            </w:r>
          </w:p>
        </w:tc>
      </w:tr>
      <w:tr w:rsidR="00510444" w14:paraId="7B365B45"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E955912" w14:textId="77777777" w:rsidR="00510444" w:rsidRDefault="00000000">
            <w:pPr>
              <w:widowControl/>
              <w:spacing w:line="276" w:lineRule="auto"/>
              <w:jc w:val="center"/>
              <w:rPr>
                <w:rFonts w:ascii="宋体" w:hAnsi="宋体" w:cs="宋体"/>
                <w:szCs w:val="21"/>
              </w:rPr>
            </w:pPr>
            <w:r>
              <w:rPr>
                <w:rFonts w:ascii="宋体" w:hAnsi="宋体" w:cs="宋体" w:hint="eastAsia"/>
                <w:szCs w:val="21"/>
              </w:rPr>
              <w:lastRenderedPageBreak/>
              <w:t>2</w:t>
            </w:r>
          </w:p>
        </w:tc>
        <w:tc>
          <w:tcPr>
            <w:tcW w:w="8533" w:type="dxa"/>
            <w:tcBorders>
              <w:top w:val="single" w:sz="4" w:space="0" w:color="auto"/>
              <w:left w:val="single" w:sz="4" w:space="0" w:color="auto"/>
              <w:bottom w:val="single" w:sz="4" w:space="0" w:color="auto"/>
              <w:right w:val="single" w:sz="4" w:space="0" w:color="auto"/>
            </w:tcBorders>
            <w:vAlign w:val="center"/>
          </w:tcPr>
          <w:p w14:paraId="3286DF6E"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载式主板；CPU≥Intel i5；内存≥DDR3  4G；固态硬盘≥64G/工业电源；≥50寸车载专用高清液晶屏，亮度≥300流明，分辨率≥1920*1080</w:t>
            </w:r>
          </w:p>
        </w:tc>
      </w:tr>
      <w:tr w:rsidR="00510444" w14:paraId="6D6D563D"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F585DE0"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2C16454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红外感应专用模板，智能感应屏幕100寸1 套，灭火器4个，安装有灭火器电子红外器、灭火器识别模块等，火灾扑救体验系统 </w:t>
            </w:r>
          </w:p>
        </w:tc>
      </w:tr>
      <w:tr w:rsidR="00510444" w14:paraId="06FA10F3"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16925601"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（十）消防知识查询、测试及火灾隐患排查系统</w:t>
            </w:r>
          </w:p>
        </w:tc>
      </w:tr>
      <w:tr w:rsidR="00510444" w14:paraId="6677D825"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268F0AD"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4EE5F1BE"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消防知识查询台系统。查询软件通用部分包括：法律法规、警钟常鸣、现代装备、消防救援、国际交流、消防影视、消防常识等</w:t>
            </w:r>
          </w:p>
        </w:tc>
      </w:tr>
      <w:tr w:rsidR="00510444" w14:paraId="08DBFE09"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1EABE048"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42C7DFA8"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消防知识测试系统。集成虚拟仿真技术、游戏引擎、摄像、身份识别等技术的高科技科普产品。</w:t>
            </w:r>
          </w:p>
        </w:tc>
      </w:tr>
      <w:tr w:rsidR="00510444" w14:paraId="77E324F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7AAD561D"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66CD953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火灾隐患排查系统。设有6种常见火灾隐患场景 </w:t>
            </w:r>
          </w:p>
        </w:tc>
      </w:tr>
      <w:tr w:rsidR="00510444" w14:paraId="32B3A69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00F0A53"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4</w:t>
            </w:r>
          </w:p>
        </w:tc>
        <w:tc>
          <w:tcPr>
            <w:tcW w:w="8533" w:type="dxa"/>
            <w:tcBorders>
              <w:top w:val="single" w:sz="4" w:space="0" w:color="auto"/>
              <w:left w:val="single" w:sz="4" w:space="0" w:color="auto"/>
              <w:bottom w:val="single" w:sz="4" w:space="0" w:color="auto"/>
              <w:right w:val="single" w:sz="4" w:space="0" w:color="auto"/>
            </w:tcBorders>
            <w:vAlign w:val="center"/>
          </w:tcPr>
          <w:p w14:paraId="3C0BFB47"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车载式主板，CPUIntel i5；内存DDR3  4G；固态硬盘≥64G/工业电源；22"液晶显示模块，分辨率：≥1050*1680，显示屏比例：16:10/场频：60～75HZ/亮度：350cd/m2/对比度：500:1/可视角度：140°/130°（水平/垂直） /响应时间≤8毫秒</w:t>
            </w:r>
          </w:p>
        </w:tc>
      </w:tr>
      <w:tr w:rsidR="00510444" w14:paraId="08EECA58"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109BF00"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5</w:t>
            </w:r>
          </w:p>
        </w:tc>
        <w:tc>
          <w:tcPr>
            <w:tcW w:w="8533" w:type="dxa"/>
            <w:tcBorders>
              <w:top w:val="single" w:sz="4" w:space="0" w:color="auto"/>
              <w:left w:val="single" w:sz="4" w:space="0" w:color="auto"/>
              <w:bottom w:val="single" w:sz="4" w:space="0" w:color="auto"/>
              <w:right w:val="single" w:sz="4" w:space="0" w:color="auto"/>
            </w:tcBorders>
            <w:vAlign w:val="center"/>
          </w:tcPr>
          <w:p w14:paraId="5DF130E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电源及功率：100～240VAC，50～60Hz，0.06kW，触摸屏：≥22寸红外触摸屏（透光率高，不怕油污，防灰尘）、多点触摸、无漂移、内嵌通讯控制器</w:t>
            </w:r>
          </w:p>
        </w:tc>
      </w:tr>
      <w:tr w:rsidR="00510444" w14:paraId="723BB78D"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BD5481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6</w:t>
            </w:r>
          </w:p>
        </w:tc>
        <w:tc>
          <w:tcPr>
            <w:tcW w:w="8533" w:type="dxa"/>
            <w:tcBorders>
              <w:top w:val="single" w:sz="4" w:space="0" w:color="auto"/>
              <w:left w:val="single" w:sz="4" w:space="0" w:color="auto"/>
              <w:bottom w:val="single" w:sz="4" w:space="0" w:color="auto"/>
              <w:right w:val="single" w:sz="4" w:space="0" w:color="auto"/>
            </w:tcBorders>
            <w:vAlign w:val="center"/>
          </w:tcPr>
          <w:p w14:paraId="503A938F"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配备防磁高保真喇叭、功放系统，配备二代身份证阅读器、摄像头、彩色打印机，配备高档体感式游戏手柄，消防知识查询软件、消防知识趣味测试系统、火灾隐患排查系统软件，采用专用机柜及橡胶悬浮减震结构</w:t>
            </w:r>
          </w:p>
        </w:tc>
      </w:tr>
      <w:tr w:rsidR="00510444" w14:paraId="57A050C2"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77FD9DEC"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（十一）电气火灾成因演示系统</w:t>
            </w:r>
          </w:p>
        </w:tc>
      </w:tr>
      <w:tr w:rsidR="00510444" w14:paraId="12946C2A"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C46FD37"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A6CFF8D"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用电器运行中常见的故障原因引起火灾的情况为基础进行实物实验演示，配备电路过载、老化、短路火灾隐患实验装置及机柜1套</w:t>
            </w:r>
          </w:p>
        </w:tc>
      </w:tr>
      <w:tr w:rsidR="00510444" w14:paraId="7FF6FC40"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306339D"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（十二）消防装备认知系统</w:t>
            </w:r>
          </w:p>
        </w:tc>
      </w:tr>
      <w:tr w:rsidR="00510444" w14:paraId="59E1B9D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1382ADF"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2D17E29"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消防栓、消防水带、灭火器、灭火毯、消防防护服、喷淋头、烟雾报警器等常见消防装备</w:t>
            </w:r>
          </w:p>
        </w:tc>
      </w:tr>
      <w:tr w:rsidR="00510444" w14:paraId="120385E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3A464B9"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14B8D657"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车载式主板，CPUIntel i5；内存DDR3  4G；固态硬盘≥64G/工业电源/≥32寸液晶屏/≥32寸红外触摸屏/工业电源/防磁喇叭/功放/机柜/感温探测器、感烟探测器、消火栓扳手、应急照明灯、声光报警器、手动报警按钮、消防电话、消防水带、闭式喷头、开放式喷头、消火栓接口及灭火器/无线键盘/绿色指示灯/电源系统/喇叭音响</w:t>
            </w:r>
          </w:p>
        </w:tc>
      </w:tr>
      <w:tr w:rsidR="00510444" w14:paraId="31A32836"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C3393AE"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51B5419E"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专用音箱、放大器1套，专用机柜及橡胶防震结构尺寸≤950mm*950mm*65mm</w:t>
            </w:r>
          </w:p>
        </w:tc>
      </w:tr>
      <w:tr w:rsidR="00510444" w14:paraId="4FC3F5F9"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B4A62FA"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（十三）119模拟报警系统</w:t>
            </w:r>
          </w:p>
        </w:tc>
      </w:tr>
      <w:tr w:rsidR="00510444" w14:paraId="3BA32785" w14:textId="77777777">
        <w:trPr>
          <w:trHeight w:val="343"/>
          <w:jc w:val="center"/>
        </w:trPr>
        <w:tc>
          <w:tcPr>
            <w:tcW w:w="778" w:type="dxa"/>
            <w:tcBorders>
              <w:top w:val="single" w:sz="4" w:space="0" w:color="auto"/>
              <w:left w:val="single" w:sz="4" w:space="0" w:color="auto"/>
              <w:bottom w:val="single" w:sz="4" w:space="0" w:color="auto"/>
              <w:right w:val="single" w:sz="4" w:space="0" w:color="auto"/>
            </w:tcBorders>
            <w:vAlign w:val="center"/>
          </w:tcPr>
          <w:p w14:paraId="2BC0338A"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786060F"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模拟119电话报警系统，模拟真实场景，结合语音交互技术 </w:t>
            </w:r>
          </w:p>
        </w:tc>
      </w:tr>
      <w:tr w:rsidR="00510444" w14:paraId="53A89A26"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7D2FEA63"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323FC656"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车载式主板，CPUIntel 1900k/内存DDR3，4G/固态硬盘≥64G/工业电源，触摸显示器：</w:t>
            </w:r>
            <w:r>
              <w:rPr>
                <w:rFonts w:ascii="宋体" w:hAnsi="宋体" w:hint="eastAsia"/>
                <w:bCs/>
                <w:color w:val="auto"/>
                <w:sz w:val="21"/>
                <w:szCs w:val="21"/>
              </w:rPr>
              <w:t>≥</w:t>
            </w:r>
            <w:r>
              <w:rPr>
                <w:rFonts w:ascii="宋体" w:hAnsi="宋体" w:hint="eastAsia"/>
                <w:color w:val="auto"/>
                <w:sz w:val="21"/>
                <w:szCs w:val="21"/>
              </w:rPr>
              <w:t>17英寸液晶触摸显示器，分辨率≥1027*768；119报警系统专用电话：金属链听筒、电话按键、模拟对话语音控制器、闪烁报警灯</w:t>
            </w:r>
          </w:p>
        </w:tc>
      </w:tr>
      <w:tr w:rsidR="00510444" w14:paraId="53112D2F"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062E7388"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3F12E613"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防磁高保真喇叭、功放系统，采用专用机柜及橡胶悬浮减震结构，119模拟报警体验系统软件</w:t>
            </w:r>
          </w:p>
        </w:tc>
      </w:tr>
      <w:tr w:rsidR="00510444" w14:paraId="6124B297"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4FF4C73"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（十四）VR火场逃生系统</w:t>
            </w:r>
          </w:p>
        </w:tc>
      </w:tr>
      <w:tr w:rsidR="00510444" w14:paraId="5EC23652"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7E42A63"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673B0881"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VR火场逃生系统-四场景分为家庭，图书馆，商场，宾馆 </w:t>
            </w:r>
          </w:p>
        </w:tc>
      </w:tr>
      <w:tr w:rsidR="00510444" w14:paraId="4359D210"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BAAD27C"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lastRenderedPageBreak/>
              <w:t>（十五）电气集中控制系统</w:t>
            </w:r>
          </w:p>
        </w:tc>
      </w:tr>
      <w:tr w:rsidR="00510444" w14:paraId="1AA1742A"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7DC82AE"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118E495F"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电气集中控制系统配备一台标准机柜，设计有避震措施。配电箱的防护等级不应低于GB/T 4208-2017规定的IP 22 的要求</w:t>
            </w:r>
          </w:p>
        </w:tc>
      </w:tr>
      <w:tr w:rsidR="00510444" w14:paraId="22F9BA50"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EF2410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6EB4A3B8"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▲配电箱应设有短路保护、过载保护及接地装置</w:t>
            </w:r>
          </w:p>
        </w:tc>
      </w:tr>
      <w:tr w:rsidR="00510444" w14:paraId="3B530F21"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616D5B43"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（十六）电源保障系统</w:t>
            </w:r>
          </w:p>
        </w:tc>
      </w:tr>
      <w:tr w:rsidR="00510444" w14:paraId="31E2C748"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7C782D24"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968BB36"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配备静音发电机组：额定功率≥13kw，发电机具备电压自动调节，能保证电压平稳输出，同时具有过载保护功能。发电机可以布置成独立的机舱结构，通过强排风机散热降温降噪。</w:t>
            </w:r>
          </w:p>
        </w:tc>
      </w:tr>
      <w:tr w:rsidR="00510444" w14:paraId="373CC1C2"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403E5A1"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2</w:t>
            </w:r>
          </w:p>
        </w:tc>
        <w:tc>
          <w:tcPr>
            <w:tcW w:w="8533" w:type="dxa"/>
            <w:tcBorders>
              <w:top w:val="single" w:sz="4" w:space="0" w:color="auto"/>
              <w:left w:val="single" w:sz="4" w:space="0" w:color="auto"/>
              <w:bottom w:val="single" w:sz="4" w:space="0" w:color="auto"/>
              <w:right w:val="single" w:sz="4" w:space="0" w:color="auto"/>
            </w:tcBorders>
            <w:vAlign w:val="center"/>
          </w:tcPr>
          <w:p w14:paraId="048D2E7A"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▲发电机连续运转可靠性：开启所有车载设备后，发电机可以至少连续运转8小时，且所有设备工作正常</w:t>
            </w:r>
          </w:p>
        </w:tc>
      </w:tr>
      <w:tr w:rsidR="00510444" w14:paraId="2EE6CFC6"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0E1F53C"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3</w:t>
            </w:r>
          </w:p>
        </w:tc>
        <w:tc>
          <w:tcPr>
            <w:tcW w:w="8533" w:type="dxa"/>
            <w:tcBorders>
              <w:top w:val="single" w:sz="4" w:space="0" w:color="auto"/>
              <w:left w:val="single" w:sz="4" w:space="0" w:color="auto"/>
              <w:bottom w:val="single" w:sz="4" w:space="0" w:color="auto"/>
              <w:right w:val="single" w:sz="4" w:space="0" w:color="auto"/>
            </w:tcBorders>
            <w:vAlign w:val="center"/>
          </w:tcPr>
          <w:p w14:paraId="6789DCC1"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▲发电机组功率应能满足宣传车所有设备同时开启的用电负荷需求</w:t>
            </w:r>
          </w:p>
        </w:tc>
      </w:tr>
      <w:tr w:rsidR="00510444" w14:paraId="38760611"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7BDBBD7"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4</w:t>
            </w:r>
          </w:p>
        </w:tc>
        <w:tc>
          <w:tcPr>
            <w:tcW w:w="8533" w:type="dxa"/>
            <w:tcBorders>
              <w:top w:val="single" w:sz="4" w:space="0" w:color="auto"/>
              <w:left w:val="single" w:sz="4" w:space="0" w:color="auto"/>
              <w:bottom w:val="single" w:sz="4" w:space="0" w:color="auto"/>
              <w:right w:val="single" w:sz="4" w:space="0" w:color="auto"/>
            </w:tcBorders>
            <w:vAlign w:val="center"/>
          </w:tcPr>
          <w:p w14:paraId="74DC09EF"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配备不间断电源UPS：≥3KVA，可市发电自动切换，可并兼顾直流配电。发电机组包含外接电源接口和长度≥30m的移动线盘。</w:t>
            </w:r>
          </w:p>
        </w:tc>
      </w:tr>
      <w:tr w:rsidR="00510444" w14:paraId="2A77A867"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22D397EA"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（十七）便携式扩音器</w:t>
            </w:r>
          </w:p>
        </w:tc>
      </w:tr>
      <w:tr w:rsidR="00510444" w14:paraId="6AC98126"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B843A54"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ABE8A39"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方便组织方在现场用于讲解的便携佩戴式扩音系统2套</w:t>
            </w:r>
          </w:p>
        </w:tc>
      </w:tr>
      <w:tr w:rsidR="00510444" w14:paraId="110AC4D2"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4F6C83D8"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（十八）A字形展板</w:t>
            </w:r>
          </w:p>
        </w:tc>
      </w:tr>
      <w:tr w:rsidR="00510444" w14:paraId="61BA23C1"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52D6D7A"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1ACDBC36"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A字形展板≥10套，≥20张图片，铝合金边框，尺寸≥600mm*800mm </w:t>
            </w:r>
          </w:p>
        </w:tc>
      </w:tr>
      <w:tr w:rsidR="00510444" w14:paraId="73614E3D"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3CFA8F89"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（十九）不锈钢护栏、梯台套装</w:t>
            </w:r>
          </w:p>
        </w:tc>
      </w:tr>
      <w:tr w:rsidR="00510444" w14:paraId="156E015C"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77036155"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57B9FEBA"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 xml:space="preserve">包含驾驶室两侧登顶爬梯、车顶装饰护栏组件、尾门隐藏式抽拉梯、舞台梯等设施，所有台全部为不锈钢材质 </w:t>
            </w:r>
          </w:p>
        </w:tc>
      </w:tr>
      <w:tr w:rsidR="00510444" w14:paraId="2E405C79"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3836ED74"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（二十）警灯、警号系统</w:t>
            </w:r>
          </w:p>
        </w:tc>
      </w:tr>
      <w:tr w:rsidR="00510444" w14:paraId="188350DB"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762865EB"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6DAF205"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车辆用爆闪灯≥8个、车外环境照明灯≥2个</w:t>
            </w:r>
          </w:p>
        </w:tc>
      </w:tr>
      <w:tr w:rsidR="00510444" w14:paraId="212581EA"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00C1AD64"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（二十一）倒车后视系统</w:t>
            </w:r>
          </w:p>
        </w:tc>
      </w:tr>
      <w:tr w:rsidR="00510444" w14:paraId="0AE04129"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36F5A468"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08B10A2E"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倒车专用设备:彩色液晶显示器+彩色摄像头</w:t>
            </w:r>
          </w:p>
        </w:tc>
      </w:tr>
      <w:tr w:rsidR="00510444" w14:paraId="543C2464"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8306915"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（二十二）资料箱</w:t>
            </w:r>
          </w:p>
        </w:tc>
      </w:tr>
      <w:tr w:rsidR="00510444" w14:paraId="237361B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224D0166"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7F3B5D33"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室内布置专用资料箱、杂物箱</w:t>
            </w:r>
          </w:p>
        </w:tc>
      </w:tr>
      <w:tr w:rsidR="00510444" w14:paraId="7CFE750F"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1C798560"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（二十三）消防逃生充气帐篷</w:t>
            </w:r>
          </w:p>
        </w:tc>
      </w:tr>
      <w:tr w:rsidR="00510444" w14:paraId="4AA1C556"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48DDC1B3"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7E5CD69A"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本系统以牛津布为制作材料，空间≥5*3*2米、包含但不限于烟雾机、遥控声光报警、鼓风机、各中光能逃生标识牌。</w:t>
            </w:r>
          </w:p>
        </w:tc>
      </w:tr>
      <w:tr w:rsidR="00510444" w14:paraId="4659DF68"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3B1C4398" w14:textId="77777777" w:rsidR="00510444" w:rsidRDefault="00000000">
            <w:pPr>
              <w:pStyle w:val="a3"/>
              <w:spacing w:line="276" w:lineRule="auto"/>
              <w:rPr>
                <w:rFonts w:ascii="宋体" w:hAnsi="宋体"/>
                <w:b/>
                <w:color w:val="auto"/>
                <w:sz w:val="21"/>
                <w:szCs w:val="21"/>
              </w:rPr>
            </w:pPr>
            <w:r>
              <w:rPr>
                <w:rFonts w:ascii="宋体" w:hAnsi="宋体" w:hint="eastAsia"/>
                <w:b/>
                <w:color w:val="auto"/>
                <w:sz w:val="21"/>
                <w:szCs w:val="21"/>
              </w:rPr>
              <w:t>（二十四）细水雾枪</w:t>
            </w:r>
          </w:p>
        </w:tc>
      </w:tr>
      <w:tr w:rsidR="00510444" w14:paraId="6B04B92F"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00DC73AC"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244E4DA0"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发动机型式：四冲程、单缸、风冷；高压泵的额定压力：≥4Mpa；喷雾枪细水雾额定工作压力≥3Mpa时，额定流量≥22L/min，喷射距离：≥8m；喷雾枪水雾额定工作压力≥3Mpa时，额定流量≥22L/min，喷射距离：≥15m；细水雾枪质量：≤2kg；细水雾雾滴粒径Dv0.5：≤150μm；细水雾雾滴粒径Dv0.99：≤350μm；储液罐总容积：≥65L；灭火性能：4A、144B（添加泡沫灭火剂）</w:t>
            </w:r>
          </w:p>
        </w:tc>
      </w:tr>
      <w:tr w:rsidR="00510444" w14:paraId="7050DEDB"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2F411F0C"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t>（二十五）随车文件</w:t>
            </w:r>
          </w:p>
        </w:tc>
      </w:tr>
      <w:tr w:rsidR="00510444" w14:paraId="0FD7659E"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69826D0B"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4B9E3801"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1）整车操作使用说明书及光盘（中文），（2）底盘操作使用说明书及光盘（中文），（3）整车操作维修手册（中文），（4）底盘操作维修手册（中文），（5）底盘质量保修卡，（6）底盘合格证，（7）发动机号码拓印件，（8）底盘号码拓印件，（9）随车器材清单，（10）</w:t>
            </w:r>
            <w:r>
              <w:rPr>
                <w:rFonts w:ascii="宋体" w:hAnsi="宋体" w:hint="eastAsia"/>
                <w:color w:val="auto"/>
                <w:sz w:val="21"/>
                <w:szCs w:val="21"/>
              </w:rPr>
              <w:lastRenderedPageBreak/>
              <w:t>消防车合格证，（11）消防车跟踪服务卡，（12）消防车交接清单，（13）车上阀门、开关、按钮等指示、铭牌应标注中文，（14）零部件目录、各类装置平面图、全图、水路图、电路图（各附中文），（15）其他：整车参考外形图、结构图、效果图。</w:t>
            </w:r>
          </w:p>
        </w:tc>
      </w:tr>
      <w:tr w:rsidR="00510444" w14:paraId="300F3C22" w14:textId="77777777">
        <w:trPr>
          <w:trHeight w:val="340"/>
          <w:jc w:val="center"/>
        </w:trPr>
        <w:tc>
          <w:tcPr>
            <w:tcW w:w="9311" w:type="dxa"/>
            <w:gridSpan w:val="2"/>
            <w:tcBorders>
              <w:top w:val="single" w:sz="4" w:space="0" w:color="auto"/>
              <w:left w:val="single" w:sz="4" w:space="0" w:color="auto"/>
              <w:bottom w:val="single" w:sz="4" w:space="0" w:color="auto"/>
              <w:right w:val="single" w:sz="4" w:space="0" w:color="auto"/>
            </w:tcBorders>
            <w:vAlign w:val="center"/>
          </w:tcPr>
          <w:p w14:paraId="55621D6A" w14:textId="77777777" w:rsidR="00510444" w:rsidRDefault="00000000">
            <w:pPr>
              <w:pStyle w:val="a3"/>
              <w:spacing w:line="276" w:lineRule="auto"/>
              <w:rPr>
                <w:rFonts w:ascii="宋体" w:hAnsi="宋体"/>
                <w:color w:val="auto"/>
                <w:sz w:val="21"/>
                <w:szCs w:val="21"/>
              </w:rPr>
            </w:pPr>
            <w:r>
              <w:rPr>
                <w:rFonts w:ascii="宋体" w:hAnsi="宋体" w:hint="eastAsia"/>
                <w:b/>
                <w:color w:val="auto"/>
                <w:sz w:val="21"/>
                <w:szCs w:val="21"/>
              </w:rPr>
              <w:lastRenderedPageBreak/>
              <w:t>（二十六）交车培训</w:t>
            </w:r>
          </w:p>
        </w:tc>
      </w:tr>
      <w:tr w:rsidR="00510444" w14:paraId="73579565" w14:textId="77777777">
        <w:trPr>
          <w:trHeight w:val="340"/>
          <w:jc w:val="center"/>
        </w:trPr>
        <w:tc>
          <w:tcPr>
            <w:tcW w:w="778" w:type="dxa"/>
            <w:tcBorders>
              <w:top w:val="single" w:sz="4" w:space="0" w:color="auto"/>
              <w:left w:val="single" w:sz="4" w:space="0" w:color="auto"/>
              <w:bottom w:val="single" w:sz="4" w:space="0" w:color="auto"/>
              <w:right w:val="single" w:sz="4" w:space="0" w:color="auto"/>
            </w:tcBorders>
            <w:vAlign w:val="center"/>
          </w:tcPr>
          <w:p w14:paraId="5382A8E9" w14:textId="77777777" w:rsidR="00510444" w:rsidRDefault="00000000">
            <w:pPr>
              <w:widowControl/>
              <w:spacing w:line="276" w:lineRule="auto"/>
              <w:jc w:val="center"/>
              <w:rPr>
                <w:rFonts w:ascii="宋体" w:hAnsi="宋体" w:cs="宋体"/>
                <w:szCs w:val="21"/>
              </w:rPr>
            </w:pPr>
            <w:r>
              <w:rPr>
                <w:rFonts w:ascii="宋体" w:hAnsi="宋体" w:cs="宋体" w:hint="eastAsia"/>
                <w:szCs w:val="21"/>
              </w:rPr>
              <w:t>1</w:t>
            </w:r>
          </w:p>
        </w:tc>
        <w:tc>
          <w:tcPr>
            <w:tcW w:w="8533" w:type="dxa"/>
            <w:tcBorders>
              <w:top w:val="single" w:sz="4" w:space="0" w:color="auto"/>
              <w:left w:val="single" w:sz="4" w:space="0" w:color="auto"/>
              <w:bottom w:val="single" w:sz="4" w:space="0" w:color="auto"/>
              <w:right w:val="single" w:sz="4" w:space="0" w:color="auto"/>
            </w:tcBorders>
            <w:vAlign w:val="center"/>
          </w:tcPr>
          <w:p w14:paraId="5696D433" w14:textId="77777777" w:rsidR="00510444" w:rsidRDefault="00000000">
            <w:pPr>
              <w:pStyle w:val="a3"/>
              <w:spacing w:line="276" w:lineRule="auto"/>
              <w:rPr>
                <w:rFonts w:ascii="宋体" w:hAnsi="宋体"/>
                <w:color w:val="auto"/>
                <w:sz w:val="21"/>
                <w:szCs w:val="21"/>
              </w:rPr>
            </w:pPr>
            <w:r>
              <w:rPr>
                <w:rFonts w:ascii="宋体" w:hAnsi="宋体" w:hint="eastAsia"/>
                <w:color w:val="auto"/>
                <w:sz w:val="21"/>
                <w:szCs w:val="21"/>
              </w:rPr>
              <w:t>消防车送达之日起十日内，中标人应邀请原厂工程师前来用户单位，免费进行调试；并于消防车送达之日起十五日内，由中标人组织采购人的工作人员到车辆生产厂家进行一次详细的培训，培训所产生的费用（包括来回交通及食宿费用）由中标人承担。培训内容包括：理论、战术、实际操作，以及货物的基本结构、性能、主要部件的构造及原理，日常使用操作、保养与管理，常见故障的排除，紧急情况的处理等，培训时间不少于5日，且根据实际情况延长培训时间，培训完成后工程师应对学员的学习情况进行考核并发证备案。交货验收合格之日起5年内，中标人应每年安排一次免费上门培训服务</w:t>
            </w:r>
          </w:p>
        </w:tc>
      </w:tr>
    </w:tbl>
    <w:p w14:paraId="020B40FA" w14:textId="77777777" w:rsidR="00510444" w:rsidRDefault="00510444"/>
    <w:sectPr w:rsidR="005104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97E5" w14:textId="77777777" w:rsidR="00C257C3" w:rsidRDefault="00C257C3" w:rsidP="00A71B49">
      <w:r>
        <w:separator/>
      </w:r>
    </w:p>
  </w:endnote>
  <w:endnote w:type="continuationSeparator" w:id="0">
    <w:p w14:paraId="4351F369" w14:textId="77777777" w:rsidR="00C257C3" w:rsidRDefault="00C257C3" w:rsidP="00A7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_GBK">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3763E" w14:textId="77777777" w:rsidR="00C257C3" w:rsidRDefault="00C257C3" w:rsidP="00A71B49">
      <w:r>
        <w:separator/>
      </w:r>
    </w:p>
  </w:footnote>
  <w:footnote w:type="continuationSeparator" w:id="0">
    <w:p w14:paraId="7B19B353" w14:textId="77777777" w:rsidR="00C257C3" w:rsidRDefault="00C257C3" w:rsidP="00A71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A0"/>
    <w:multiLevelType w:val="multilevel"/>
    <w:tmpl w:val="000000A0"/>
    <w:lvl w:ilvl="0">
      <w:start w:val="1"/>
      <w:numFmt w:val="decimal"/>
      <w:lvlText w:val="%1"/>
      <w:lvlJc w:val="left"/>
      <w:pPr>
        <w:tabs>
          <w:tab w:val="left" w:pos="0"/>
        </w:tabs>
        <w:ind w:left="630" w:hanging="420"/>
      </w:pPr>
      <w:rPr>
        <w:rFonts w:ascii="宋体" w:eastAsia="宋体" w:hAnsi="宋体" w:cs="宋体" w:hint="default"/>
        <w:sz w:val="21"/>
        <w:szCs w:val="21"/>
      </w:rPr>
    </w:lvl>
    <w:lvl w:ilvl="1">
      <w:start w:val="1"/>
      <w:numFmt w:val="lowerLetter"/>
      <w:lvlText w:val="%2)"/>
      <w:lvlJc w:val="left"/>
      <w:pPr>
        <w:tabs>
          <w:tab w:val="left" w:pos="0"/>
        </w:tabs>
        <w:ind w:left="1050" w:hanging="420"/>
      </w:pPr>
      <w:rPr>
        <w:rFonts w:cs="Times New Roman"/>
      </w:rPr>
    </w:lvl>
    <w:lvl w:ilvl="2">
      <w:start w:val="1"/>
      <w:numFmt w:val="lowerRoman"/>
      <w:lvlText w:val="%3."/>
      <w:lvlJc w:val="right"/>
      <w:pPr>
        <w:tabs>
          <w:tab w:val="left" w:pos="0"/>
        </w:tabs>
        <w:ind w:left="1470" w:hanging="420"/>
      </w:pPr>
      <w:rPr>
        <w:rFonts w:cs="Times New Roman"/>
      </w:rPr>
    </w:lvl>
    <w:lvl w:ilvl="3">
      <w:start w:val="1"/>
      <w:numFmt w:val="decimal"/>
      <w:lvlText w:val="%4."/>
      <w:lvlJc w:val="left"/>
      <w:pPr>
        <w:tabs>
          <w:tab w:val="left" w:pos="0"/>
        </w:tabs>
        <w:ind w:left="1890" w:hanging="420"/>
      </w:pPr>
      <w:rPr>
        <w:rFonts w:cs="Times New Roman"/>
      </w:rPr>
    </w:lvl>
    <w:lvl w:ilvl="4">
      <w:start w:val="1"/>
      <w:numFmt w:val="lowerLetter"/>
      <w:lvlText w:val="%5)"/>
      <w:lvlJc w:val="left"/>
      <w:pPr>
        <w:tabs>
          <w:tab w:val="left" w:pos="0"/>
        </w:tabs>
        <w:ind w:left="2310" w:hanging="420"/>
      </w:pPr>
      <w:rPr>
        <w:rFonts w:cs="Times New Roman"/>
      </w:rPr>
    </w:lvl>
    <w:lvl w:ilvl="5">
      <w:start w:val="1"/>
      <w:numFmt w:val="lowerRoman"/>
      <w:lvlText w:val="%6."/>
      <w:lvlJc w:val="right"/>
      <w:pPr>
        <w:tabs>
          <w:tab w:val="left" w:pos="0"/>
        </w:tabs>
        <w:ind w:left="2730" w:hanging="420"/>
      </w:pPr>
      <w:rPr>
        <w:rFonts w:cs="Times New Roman"/>
      </w:rPr>
    </w:lvl>
    <w:lvl w:ilvl="6">
      <w:start w:val="1"/>
      <w:numFmt w:val="decimal"/>
      <w:lvlText w:val="%7."/>
      <w:lvlJc w:val="left"/>
      <w:pPr>
        <w:tabs>
          <w:tab w:val="left" w:pos="0"/>
        </w:tabs>
        <w:ind w:left="3150" w:hanging="420"/>
      </w:pPr>
      <w:rPr>
        <w:rFonts w:cs="Times New Roman"/>
      </w:rPr>
    </w:lvl>
    <w:lvl w:ilvl="7">
      <w:start w:val="1"/>
      <w:numFmt w:val="lowerLetter"/>
      <w:lvlText w:val="%8)"/>
      <w:lvlJc w:val="left"/>
      <w:pPr>
        <w:tabs>
          <w:tab w:val="left" w:pos="0"/>
        </w:tabs>
        <w:ind w:left="3570" w:hanging="420"/>
      </w:pPr>
      <w:rPr>
        <w:rFonts w:cs="Times New Roman"/>
      </w:rPr>
    </w:lvl>
    <w:lvl w:ilvl="8">
      <w:start w:val="1"/>
      <w:numFmt w:val="lowerRoman"/>
      <w:lvlText w:val="%9."/>
      <w:lvlJc w:val="right"/>
      <w:pPr>
        <w:tabs>
          <w:tab w:val="left" w:pos="0"/>
        </w:tabs>
        <w:ind w:left="3990" w:hanging="420"/>
      </w:pPr>
      <w:rPr>
        <w:rFonts w:cs="Times New Roman"/>
      </w:rPr>
    </w:lvl>
  </w:abstractNum>
  <w:num w:numId="1" w16cid:durableId="746801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66D128F7"/>
    <w:rsid w:val="00510444"/>
    <w:rsid w:val="00A71B49"/>
    <w:rsid w:val="00C257C3"/>
    <w:rsid w:val="23242AA5"/>
    <w:rsid w:val="4373683C"/>
    <w:rsid w:val="66D1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49332"/>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3">
    <w:name w:val="Body Text Indent 3"/>
    <w:basedOn w:val="a"/>
    <w:qFormat/>
    <w:pPr>
      <w:spacing w:line="360" w:lineRule="auto"/>
      <w:ind w:firstLineChars="200" w:firstLine="420"/>
    </w:pPr>
    <w:rPr>
      <w:kern w:val="0"/>
      <w:sz w:val="20"/>
      <w:szCs w:val="20"/>
    </w:rPr>
  </w:style>
  <w:style w:type="paragraph" w:customStyle="1" w:styleId="1">
    <w:name w:val="列出段落1"/>
    <w:basedOn w:val="a"/>
    <w:qFormat/>
    <w:pPr>
      <w:ind w:firstLineChars="200" w:firstLine="420"/>
    </w:pPr>
  </w:style>
  <w:style w:type="paragraph" w:customStyle="1" w:styleId="a3">
    <w:name w:val="[基本段落]"/>
    <w:basedOn w:val="a"/>
    <w:qFormat/>
    <w:pPr>
      <w:widowControl/>
      <w:autoSpaceDE w:val="0"/>
      <w:autoSpaceDN w:val="0"/>
      <w:spacing w:line="288" w:lineRule="auto"/>
    </w:pPr>
    <w:rPr>
      <w:rFonts w:ascii="??????_GBK" w:hAnsi="??????_GBK" w:cs="宋体"/>
      <w:color w:val="000000"/>
      <w:kern w:val="0"/>
      <w:sz w:val="24"/>
    </w:rPr>
  </w:style>
  <w:style w:type="paragraph" w:styleId="a4">
    <w:name w:val="header"/>
    <w:basedOn w:val="a"/>
    <w:link w:val="a5"/>
    <w:rsid w:val="00A71B49"/>
    <w:pPr>
      <w:tabs>
        <w:tab w:val="center" w:pos="4153"/>
        <w:tab w:val="right" w:pos="8306"/>
      </w:tabs>
      <w:snapToGrid w:val="0"/>
      <w:jc w:val="center"/>
    </w:pPr>
    <w:rPr>
      <w:sz w:val="18"/>
      <w:szCs w:val="18"/>
    </w:rPr>
  </w:style>
  <w:style w:type="character" w:customStyle="1" w:styleId="a5">
    <w:name w:val="页眉 字符"/>
    <w:basedOn w:val="a0"/>
    <w:link w:val="a4"/>
    <w:rsid w:val="00A71B49"/>
    <w:rPr>
      <w:rFonts w:ascii="Times New Roman" w:eastAsia="宋体" w:hAnsi="Times New Roman" w:cs="Times New Roman"/>
      <w:kern w:val="2"/>
      <w:sz w:val="18"/>
      <w:szCs w:val="18"/>
    </w:rPr>
  </w:style>
  <w:style w:type="paragraph" w:styleId="a6">
    <w:name w:val="footer"/>
    <w:basedOn w:val="a"/>
    <w:link w:val="a7"/>
    <w:rsid w:val="00A71B49"/>
    <w:pPr>
      <w:tabs>
        <w:tab w:val="center" w:pos="4153"/>
        <w:tab w:val="right" w:pos="8306"/>
      </w:tabs>
      <w:snapToGrid w:val="0"/>
      <w:jc w:val="left"/>
    </w:pPr>
    <w:rPr>
      <w:sz w:val="18"/>
      <w:szCs w:val="18"/>
    </w:rPr>
  </w:style>
  <w:style w:type="character" w:customStyle="1" w:styleId="a7">
    <w:name w:val="页脚 字符"/>
    <w:basedOn w:val="a0"/>
    <w:link w:val="a6"/>
    <w:rsid w:val="00A71B4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麦克斯美</dc:creator>
  <cp:lastModifiedBy>ASUS</cp:lastModifiedBy>
  <cp:revision>2</cp:revision>
  <dcterms:created xsi:type="dcterms:W3CDTF">2023-05-31T00:46:00Z</dcterms:created>
  <dcterms:modified xsi:type="dcterms:W3CDTF">2023-06-09T08:45:00Z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A0B46A063057481197C42BD3E2F4B27B_11</vt:lpwstr>
  </property>
</Properties>
</file>