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2F343">
      <w:pPr>
        <w:rPr>
          <w:rFonts w:hint="eastAsia" w:ascii="方正黑体_GBK" w:hAnsi="方正黑体_GBK" w:eastAsia="方正黑体_GBK" w:cs="方正黑体_GBK"/>
          <w:color w:val="auto"/>
          <w:sz w:val="32"/>
          <w:szCs w:val="32"/>
        </w:rPr>
      </w:pPr>
      <w:bookmarkStart w:id="17" w:name="_GoBack"/>
      <w:bookmarkEnd w:id="17"/>
      <w:r>
        <w:rPr>
          <w:rFonts w:hint="eastAsia" w:ascii="方正黑体_GBK" w:hAnsi="方正黑体_GBK" w:eastAsia="方正黑体_GBK" w:cs="方正黑体_GBK"/>
          <w:color w:val="auto"/>
          <w:sz w:val="32"/>
          <w:szCs w:val="32"/>
        </w:rPr>
        <w:t>附件：</w:t>
      </w:r>
    </w:p>
    <w:p w14:paraId="674BEB15">
      <w:pPr>
        <w:spacing w:line="594" w:lineRule="exact"/>
        <w:jc w:val="center"/>
        <w:rPr>
          <w:rFonts w:hint="eastAsia" w:ascii="宋体" w:hAnsi="宋体"/>
          <w:b/>
          <w:bCs/>
          <w:color w:val="auto"/>
          <w:spacing w:val="0"/>
          <w:w w:val="100"/>
          <w:sz w:val="56"/>
          <w:szCs w:val="56"/>
        </w:rPr>
      </w:pPr>
    </w:p>
    <w:p w14:paraId="0776E8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val="0"/>
          <w:color w:val="auto"/>
          <w:spacing w:val="0"/>
          <w:w w:val="100"/>
          <w:sz w:val="52"/>
          <w:szCs w:val="52"/>
        </w:rPr>
      </w:pPr>
      <w:r>
        <w:rPr>
          <w:rFonts w:hint="eastAsia" w:ascii="方正小标宋_GBK" w:hAnsi="方正小标宋_GBK" w:eastAsia="方正小标宋_GBK" w:cs="方正小标宋_GBK"/>
          <w:b w:val="0"/>
          <w:bCs w:val="0"/>
          <w:color w:val="auto"/>
          <w:spacing w:val="0"/>
          <w:w w:val="100"/>
          <w:sz w:val="52"/>
          <w:szCs w:val="52"/>
        </w:rPr>
        <w:t>《广东省高层建筑消防安全管理规定</w:t>
      </w:r>
    </w:p>
    <w:p w14:paraId="2531E8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val="0"/>
          <w:color w:val="auto"/>
          <w:spacing w:val="0"/>
          <w:w w:val="100"/>
          <w:sz w:val="52"/>
          <w:szCs w:val="52"/>
        </w:rPr>
      </w:pPr>
      <w:r>
        <w:rPr>
          <w:rFonts w:hint="eastAsia" w:ascii="方正小标宋_GBK" w:hAnsi="方正小标宋_GBK" w:eastAsia="方正小标宋_GBK" w:cs="方正小标宋_GBK"/>
          <w:b w:val="0"/>
          <w:bCs w:val="0"/>
          <w:color w:val="auto"/>
          <w:spacing w:val="0"/>
          <w:w w:val="100"/>
          <w:sz w:val="52"/>
          <w:szCs w:val="52"/>
        </w:rPr>
        <w:t>（草案）》三个评估项目</w:t>
      </w:r>
    </w:p>
    <w:p w14:paraId="19B02BA9">
      <w:pPr>
        <w:pStyle w:val="20"/>
        <w:keepNext w:val="0"/>
        <w:keepLines w:val="0"/>
        <w:pageBreakBefore w:val="0"/>
        <w:widowControl w:val="0"/>
        <w:kinsoku/>
        <w:wordWrap/>
        <w:topLinePunct w:val="0"/>
        <w:bidi w:val="0"/>
        <w:adjustRightInd/>
        <w:snapToGrid/>
        <w:spacing w:line="240" w:lineRule="auto"/>
        <w:jc w:val="center"/>
        <w:rPr>
          <w:rFonts w:hint="default" w:ascii="Times New Roman" w:hAnsi="Times New Roman" w:eastAsia="方正楷体_GBK" w:cs="Times New Roman"/>
          <w:b w:val="0"/>
          <w:bCs w:val="0"/>
          <w:color w:val="auto"/>
          <w:spacing w:val="0"/>
          <w:w w:val="100"/>
        </w:rPr>
      </w:pPr>
      <w:r>
        <w:rPr>
          <w:rFonts w:hint="default" w:ascii="Times New Roman" w:hAnsi="Times New Roman" w:eastAsia="方正楷体_GBK" w:cs="Times New Roman"/>
          <w:b w:val="0"/>
          <w:bCs w:val="0"/>
          <w:color w:val="auto"/>
          <w:spacing w:val="0"/>
          <w:w w:val="100"/>
        </w:rPr>
        <w:t>（项目编号：FHJDC20250</w:t>
      </w:r>
      <w:r>
        <w:rPr>
          <w:rFonts w:hint="eastAsia" w:ascii="Times New Roman" w:hAnsi="Times New Roman" w:eastAsia="方正楷体_GBK" w:cs="Times New Roman"/>
          <w:b w:val="0"/>
          <w:bCs w:val="0"/>
          <w:color w:val="auto"/>
          <w:spacing w:val="0"/>
          <w:w w:val="100"/>
          <w:lang w:val="en-US" w:eastAsia="zh-CN"/>
        </w:rPr>
        <w:t>409</w:t>
      </w:r>
      <w:r>
        <w:rPr>
          <w:rFonts w:hint="default" w:ascii="Times New Roman" w:hAnsi="Times New Roman" w:eastAsia="方正楷体_GBK" w:cs="Times New Roman"/>
          <w:b w:val="0"/>
          <w:bCs w:val="0"/>
          <w:color w:val="auto"/>
          <w:spacing w:val="0"/>
          <w:w w:val="100"/>
        </w:rPr>
        <w:t>）</w:t>
      </w:r>
    </w:p>
    <w:p w14:paraId="37494A40">
      <w:pPr>
        <w:keepNext w:val="0"/>
        <w:keepLines w:val="0"/>
        <w:pageBreakBefore w:val="0"/>
        <w:widowControl w:val="0"/>
        <w:tabs>
          <w:tab w:val="left" w:pos="720"/>
        </w:tabs>
        <w:kinsoku/>
        <w:wordWrap/>
        <w:topLinePunct w:val="0"/>
        <w:bidi w:val="0"/>
        <w:adjustRightInd/>
        <w:snapToGrid/>
        <w:spacing w:line="240" w:lineRule="auto"/>
        <w:jc w:val="center"/>
        <w:rPr>
          <w:rFonts w:ascii="宋体" w:hAnsi="宋体"/>
          <w:color w:val="auto"/>
          <w:spacing w:val="0"/>
          <w:w w:val="100"/>
          <w:sz w:val="52"/>
          <w:szCs w:val="52"/>
        </w:rPr>
      </w:pPr>
    </w:p>
    <w:p w14:paraId="76726B69">
      <w:pPr>
        <w:keepNext w:val="0"/>
        <w:keepLines w:val="0"/>
        <w:pageBreakBefore w:val="0"/>
        <w:widowControl w:val="0"/>
        <w:kinsoku/>
        <w:wordWrap/>
        <w:topLinePunct w:val="0"/>
        <w:bidi w:val="0"/>
        <w:adjustRightInd/>
        <w:snapToGrid/>
        <w:spacing w:line="240" w:lineRule="auto"/>
        <w:jc w:val="center"/>
        <w:rPr>
          <w:rFonts w:hint="eastAsia" w:ascii="方正小标宋_GBK" w:hAnsi="方正小标宋_GBK" w:eastAsia="方正小标宋_GBK" w:cs="方正小标宋_GBK"/>
          <w:b w:val="0"/>
          <w:bCs w:val="0"/>
          <w:color w:val="auto"/>
          <w:spacing w:val="0"/>
          <w:w w:val="100"/>
          <w:sz w:val="52"/>
          <w:szCs w:val="52"/>
        </w:rPr>
      </w:pPr>
      <w:r>
        <w:rPr>
          <w:rFonts w:hint="eastAsia" w:ascii="方正小标宋_GBK" w:hAnsi="方正小标宋_GBK" w:eastAsia="方正小标宋_GBK" w:cs="方正小标宋_GBK"/>
          <w:b w:val="0"/>
          <w:bCs w:val="0"/>
          <w:color w:val="auto"/>
          <w:spacing w:val="0"/>
          <w:w w:val="100"/>
          <w:sz w:val="52"/>
          <w:szCs w:val="52"/>
        </w:rPr>
        <w:t>遴选文件</w:t>
      </w:r>
    </w:p>
    <w:p w14:paraId="750C72C8">
      <w:pPr>
        <w:spacing w:line="360" w:lineRule="auto"/>
        <w:jc w:val="center"/>
        <w:rPr>
          <w:rFonts w:ascii="宋体" w:hAnsi="宋体"/>
          <w:b/>
          <w:bCs/>
          <w:color w:val="auto"/>
          <w:sz w:val="52"/>
          <w:szCs w:val="52"/>
        </w:rPr>
      </w:pPr>
    </w:p>
    <w:p w14:paraId="3914BD21">
      <w:pPr>
        <w:spacing w:line="360" w:lineRule="auto"/>
        <w:jc w:val="center"/>
        <w:rPr>
          <w:rFonts w:ascii="宋体" w:hAnsi="宋体" w:eastAsia="宋体" w:cs="宋体"/>
          <w:b/>
          <w:bCs/>
          <w:color w:val="auto"/>
          <w:sz w:val="52"/>
          <w:szCs w:val="52"/>
        </w:rPr>
      </w:pPr>
    </w:p>
    <w:p w14:paraId="54837FEE">
      <w:pPr>
        <w:spacing w:line="360" w:lineRule="auto"/>
        <w:jc w:val="center"/>
        <w:rPr>
          <w:rFonts w:ascii="宋体" w:hAnsi="宋体" w:eastAsia="宋体" w:cs="宋体"/>
          <w:b/>
          <w:bCs/>
          <w:color w:val="auto"/>
          <w:sz w:val="52"/>
          <w:szCs w:val="52"/>
        </w:rPr>
      </w:pPr>
    </w:p>
    <w:p w14:paraId="280B5249">
      <w:pPr>
        <w:spacing w:line="360" w:lineRule="auto"/>
        <w:jc w:val="center"/>
        <w:rPr>
          <w:rFonts w:ascii="宋体" w:hAnsi="宋体" w:eastAsia="宋体" w:cs="宋体"/>
          <w:b/>
          <w:bCs/>
          <w:color w:val="auto"/>
          <w:sz w:val="52"/>
          <w:szCs w:val="52"/>
        </w:rPr>
      </w:pPr>
    </w:p>
    <w:p w14:paraId="038908FD">
      <w:pPr>
        <w:spacing w:line="360" w:lineRule="auto"/>
        <w:jc w:val="center"/>
        <w:rPr>
          <w:rFonts w:ascii="宋体" w:hAnsi="宋体" w:eastAsia="宋体" w:cs="宋体"/>
          <w:b/>
          <w:bCs/>
          <w:color w:val="auto"/>
          <w:sz w:val="52"/>
          <w:szCs w:val="52"/>
        </w:rPr>
      </w:pPr>
    </w:p>
    <w:p w14:paraId="71DC286B">
      <w:pPr>
        <w:spacing w:line="360" w:lineRule="auto"/>
        <w:jc w:val="center"/>
        <w:rPr>
          <w:rFonts w:ascii="宋体" w:hAnsi="宋体" w:eastAsia="宋体" w:cs="宋体"/>
          <w:b/>
          <w:bCs/>
          <w:color w:val="auto"/>
          <w:sz w:val="52"/>
          <w:szCs w:val="52"/>
        </w:rPr>
      </w:pPr>
    </w:p>
    <w:p w14:paraId="7097091E">
      <w:pPr>
        <w:spacing w:line="360" w:lineRule="auto"/>
        <w:jc w:val="center"/>
        <w:rPr>
          <w:rFonts w:ascii="宋体" w:hAnsi="宋体" w:eastAsia="宋体" w:cs="宋体"/>
          <w:b/>
          <w:bCs/>
          <w:color w:val="auto"/>
          <w:sz w:val="52"/>
          <w:szCs w:val="52"/>
        </w:rPr>
      </w:pPr>
    </w:p>
    <w:p w14:paraId="55E285AD">
      <w:pPr>
        <w:spacing w:line="360" w:lineRule="auto"/>
        <w:jc w:val="center"/>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采购人：广东省消防救援总队</w:t>
      </w:r>
    </w:p>
    <w:p w14:paraId="3CE9F69A">
      <w:pPr>
        <w:spacing w:line="360" w:lineRule="auto"/>
        <w:jc w:val="center"/>
        <w:rPr>
          <w:rFonts w:ascii="宋体" w:hAnsi="宋体"/>
          <w:b/>
          <w:bCs/>
          <w:color w:val="auto"/>
          <w:sz w:val="32"/>
          <w:szCs w:val="32"/>
        </w:rPr>
      </w:pPr>
      <w:r>
        <w:rPr>
          <w:rFonts w:hint="default" w:ascii="Times New Roman" w:hAnsi="Times New Roman" w:eastAsia="方正楷体_GBK" w:cs="Times New Roman"/>
          <w:b w:val="0"/>
          <w:bCs w:val="0"/>
          <w:color w:val="auto"/>
          <w:sz w:val="32"/>
          <w:szCs w:val="32"/>
        </w:rPr>
        <w:t>202</w:t>
      </w:r>
      <w:r>
        <w:rPr>
          <w:rFonts w:hint="default" w:ascii="Times New Roman" w:hAnsi="Times New Roman" w:eastAsia="方正楷体_GBK" w:cs="Times New Roman"/>
          <w:b w:val="0"/>
          <w:bCs w:val="0"/>
          <w:color w:val="auto"/>
          <w:sz w:val="32"/>
          <w:szCs w:val="32"/>
          <w:lang w:val="en-US" w:eastAsia="zh-CN"/>
        </w:rPr>
        <w:t>5</w:t>
      </w:r>
      <w:r>
        <w:rPr>
          <w:rFonts w:hint="default" w:ascii="Times New Roman" w:hAnsi="Times New Roman" w:eastAsia="方正楷体_GBK" w:cs="Times New Roman"/>
          <w:b w:val="0"/>
          <w:bCs w:val="0"/>
          <w:color w:val="auto"/>
          <w:sz w:val="32"/>
          <w:szCs w:val="32"/>
        </w:rPr>
        <w:t>年</w:t>
      </w:r>
      <w:r>
        <w:rPr>
          <w:rFonts w:hint="eastAsia" w:ascii="Times New Roman" w:hAnsi="Times New Roman" w:eastAsia="方正楷体_GBK" w:cs="Times New Roman"/>
          <w:b w:val="0"/>
          <w:bCs w:val="0"/>
          <w:color w:val="auto"/>
          <w:sz w:val="32"/>
          <w:szCs w:val="32"/>
          <w:lang w:val="en-US" w:eastAsia="zh-CN"/>
        </w:rPr>
        <w:t>4</w:t>
      </w:r>
      <w:r>
        <w:rPr>
          <w:rFonts w:hint="default" w:ascii="Times New Roman" w:hAnsi="Times New Roman" w:eastAsia="方正楷体_GBK" w:cs="Times New Roman"/>
          <w:b w:val="0"/>
          <w:bCs w:val="0"/>
          <w:color w:val="auto"/>
          <w:sz w:val="32"/>
          <w:szCs w:val="32"/>
        </w:rPr>
        <w:t>月</w:t>
      </w:r>
    </w:p>
    <w:p w14:paraId="1D217CEE">
      <w:pPr>
        <w:jc w:val="center"/>
        <w:rPr>
          <w:rFonts w:ascii="宋体" w:hAnsi="宋体"/>
          <w:b/>
          <w:color w:val="auto"/>
          <w:sz w:val="32"/>
          <w:szCs w:val="32"/>
        </w:rPr>
        <w:sectPr>
          <w:headerReference r:id="rId3" w:type="default"/>
          <w:footerReference r:id="rId4" w:type="default"/>
          <w:pgSz w:w="11906" w:h="16838"/>
          <w:pgMar w:top="1440" w:right="1416" w:bottom="1440" w:left="1276" w:header="851" w:footer="992" w:gutter="0"/>
          <w:pgBorders>
            <w:top w:val="none" w:sz="0" w:space="0"/>
            <w:left w:val="none" w:sz="0" w:space="0"/>
            <w:bottom w:val="none" w:sz="0" w:space="0"/>
            <w:right w:val="none" w:sz="0" w:space="0"/>
          </w:pgBorders>
          <w:pgNumType w:fmt="decimal" w:start="0"/>
          <w:cols w:space="720" w:num="1"/>
          <w:docGrid w:type="lines" w:linePitch="312" w:charSpace="0"/>
        </w:sectPr>
      </w:pPr>
      <w:bookmarkStart w:id="0" w:name="_Toc370744755"/>
    </w:p>
    <w:bookmarkEnd w:id="0"/>
    <w:p w14:paraId="5A55DA7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auto"/>
          <w:spacing w:val="0"/>
          <w:w w:val="100"/>
          <w:sz w:val="44"/>
          <w:szCs w:val="44"/>
        </w:rPr>
      </w:pPr>
      <w:bookmarkStart w:id="1" w:name="_Toc371172264"/>
      <w:bookmarkStart w:id="2" w:name="_Toc337541094"/>
      <w:r>
        <w:rPr>
          <w:rFonts w:hint="eastAsia" w:ascii="方正小标宋_GBK" w:hAnsi="方正小标宋_GBK" w:eastAsia="方正小标宋_GBK" w:cs="方正小标宋_GBK"/>
          <w:b w:val="0"/>
          <w:bCs w:val="0"/>
          <w:color w:val="auto"/>
          <w:spacing w:val="0"/>
          <w:w w:val="100"/>
          <w:sz w:val="44"/>
          <w:szCs w:val="44"/>
        </w:rPr>
        <w:t>第一章  参评须知</w:t>
      </w:r>
      <w:bookmarkEnd w:id="1"/>
      <w:bookmarkEnd w:id="2"/>
    </w:p>
    <w:p w14:paraId="50D7374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b w:val="0"/>
          <w:bCs/>
          <w:color w:val="auto"/>
          <w:sz w:val="32"/>
          <w:szCs w:val="32"/>
        </w:rPr>
      </w:pPr>
    </w:p>
    <w:p w14:paraId="4D2FAE1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参评须知前附表</w:t>
      </w:r>
    </w:p>
    <w:p w14:paraId="18F8D3A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b w:val="0"/>
          <w:bCs/>
          <w:color w:val="auto"/>
          <w:sz w:val="32"/>
          <w:szCs w:val="32"/>
        </w:rPr>
      </w:pPr>
    </w:p>
    <w:tbl>
      <w:tblPr>
        <w:tblStyle w:val="16"/>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60"/>
        <w:gridCol w:w="6913"/>
      </w:tblGrid>
      <w:tr w14:paraId="719D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EAEAEA"/>
            <w:noWrap w:val="0"/>
            <w:vAlign w:val="center"/>
          </w:tcPr>
          <w:p w14:paraId="27D936CE">
            <w:pPr>
              <w:pStyle w:val="10"/>
              <w:keepNext w:val="0"/>
              <w:keepLines w:val="0"/>
              <w:pageBreakBefore w:val="0"/>
              <w:widowControl w:val="0"/>
              <w:kinsoku/>
              <w:wordWrap/>
              <w:overflowPunct/>
              <w:topLinePunct w:val="0"/>
              <w:bidi w:val="0"/>
              <w:adjustRightInd/>
              <w:snapToGrid/>
              <w:spacing w:line="240" w:lineRule="auto"/>
              <w:ind w:lef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56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14:paraId="4C860EBE">
            <w:pPr>
              <w:pStyle w:val="10"/>
              <w:keepNext w:val="0"/>
              <w:keepLines w:val="0"/>
              <w:pageBreakBefore w:val="0"/>
              <w:widowControl w:val="0"/>
              <w:kinsoku/>
              <w:wordWrap/>
              <w:overflowPunct/>
              <w:topLinePunct w:val="0"/>
              <w:bidi w:val="0"/>
              <w:adjustRightInd/>
              <w:snapToGrid/>
              <w:spacing w:line="240" w:lineRule="auto"/>
              <w:ind w:lef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项目</w:t>
            </w:r>
          </w:p>
        </w:tc>
        <w:tc>
          <w:tcPr>
            <w:tcW w:w="691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14:paraId="72AB4A48">
            <w:pPr>
              <w:pStyle w:val="10"/>
              <w:keepNext w:val="0"/>
              <w:keepLines w:val="0"/>
              <w:pageBreakBefore w:val="0"/>
              <w:widowControl w:val="0"/>
              <w:kinsoku/>
              <w:wordWrap/>
              <w:overflowPunct/>
              <w:topLinePunct w:val="0"/>
              <w:bidi w:val="0"/>
              <w:adjustRightInd/>
              <w:snapToGrid/>
              <w:spacing w:line="240" w:lineRule="auto"/>
              <w:ind w:lef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14:paraId="6CD0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7E91D2D0">
            <w:pPr>
              <w:pStyle w:val="10"/>
              <w:keepNext w:val="0"/>
              <w:keepLines w:val="0"/>
              <w:pageBreakBefore w:val="0"/>
              <w:widowControl w:val="0"/>
              <w:numPr>
                <w:ilvl w:val="0"/>
                <w:numId w:val="0"/>
              </w:numPr>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kern w:val="2"/>
                <w:sz w:val="21"/>
                <w:szCs w:val="21"/>
                <w:lang w:val="en-US" w:eastAsia="zh-CN" w:bidi="ar-SA"/>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16D0D43">
            <w:pPr>
              <w:pStyle w:val="10"/>
              <w:keepNext w:val="0"/>
              <w:keepLines w:val="0"/>
              <w:pageBreakBefore w:val="0"/>
              <w:widowControl w:val="0"/>
              <w:kinsoku/>
              <w:wordWrap/>
              <w:overflowPunct/>
              <w:topLinePunct w:val="0"/>
              <w:bidi w:val="0"/>
              <w:adjustRightInd/>
              <w:snapToGrid/>
              <w:spacing w:line="240" w:lineRule="auto"/>
              <w:ind w:lef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项目概况</w:t>
            </w:r>
          </w:p>
        </w:tc>
        <w:tc>
          <w:tcPr>
            <w:tcW w:w="6913" w:type="dxa"/>
            <w:tcBorders>
              <w:top w:val="single" w:color="auto" w:sz="4" w:space="0"/>
              <w:left w:val="single" w:color="auto" w:sz="4" w:space="0"/>
              <w:bottom w:val="single" w:color="auto" w:sz="4" w:space="0"/>
              <w:right w:val="single" w:color="auto" w:sz="4" w:space="0"/>
            </w:tcBorders>
            <w:noWrap w:val="0"/>
            <w:vAlign w:val="center"/>
          </w:tcPr>
          <w:p w14:paraId="26E7CB79">
            <w:pPr>
              <w:keepNext w:val="0"/>
              <w:keepLines w:val="0"/>
              <w:pageBreakBefore w:val="0"/>
              <w:widowControl w:val="0"/>
              <w:tabs>
                <w:tab w:val="left" w:pos="2552"/>
              </w:tabs>
              <w:kinsoku/>
              <w:wordWrap/>
              <w:overflowPunct/>
              <w:topLinePunct w:val="0"/>
              <w:bidi w:val="0"/>
              <w:adjustRightInd/>
              <w:snapToGrid/>
              <w:spacing w:line="240" w:lineRule="auto"/>
              <w:ind w:left="0"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u w:val="single"/>
              </w:rPr>
              <w:t xml:space="preserve">  广东省《广东省高层建筑消防安全管理规定（草案）》三个评估项目  </w:t>
            </w:r>
          </w:p>
          <w:p w14:paraId="0A26172A">
            <w:pPr>
              <w:keepNext w:val="0"/>
              <w:keepLines w:val="0"/>
              <w:pageBreakBefore w:val="0"/>
              <w:widowControl w:val="0"/>
              <w:tabs>
                <w:tab w:val="left" w:pos="2552"/>
              </w:tabs>
              <w:kinsoku/>
              <w:wordWrap/>
              <w:overflowPunct/>
              <w:topLinePunct w:val="0"/>
              <w:bidi w:val="0"/>
              <w:adjustRightInd/>
              <w:snapToGrid/>
              <w:spacing w:line="240" w:lineRule="auto"/>
              <w:ind w:left="0"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xml:space="preserve">  FHJDC20250</w:t>
            </w:r>
            <w:r>
              <w:rPr>
                <w:rFonts w:hint="eastAsia" w:ascii="宋体" w:hAnsi="宋体" w:eastAsia="宋体" w:cs="宋体"/>
                <w:color w:val="auto"/>
                <w:sz w:val="21"/>
                <w:szCs w:val="21"/>
                <w:u w:val="single"/>
                <w:lang w:val="en-US" w:eastAsia="zh-CN"/>
              </w:rPr>
              <w:t>409</w:t>
            </w:r>
            <w:r>
              <w:rPr>
                <w:rFonts w:hint="eastAsia" w:ascii="宋体" w:hAnsi="宋体" w:eastAsia="宋体" w:cs="宋体"/>
                <w:color w:val="auto"/>
                <w:sz w:val="21"/>
                <w:szCs w:val="21"/>
                <w:u w:val="single"/>
              </w:rPr>
              <w:t xml:space="preserve">  </w:t>
            </w:r>
          </w:p>
          <w:p w14:paraId="10978D13">
            <w:pPr>
              <w:keepNext w:val="0"/>
              <w:keepLines w:val="0"/>
              <w:pageBreakBefore w:val="0"/>
              <w:widowControl w:val="0"/>
              <w:tabs>
                <w:tab w:val="left" w:pos="2552"/>
              </w:tabs>
              <w:kinsoku/>
              <w:wordWrap/>
              <w:overflowPunct/>
              <w:topLinePunct w:val="0"/>
              <w:bidi w:val="0"/>
              <w:adjustRightInd/>
              <w:snapToGrid/>
              <w:spacing w:line="240" w:lineRule="auto"/>
              <w:ind w:left="0"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采购人名称：</w:t>
            </w:r>
            <w:r>
              <w:rPr>
                <w:rFonts w:hint="eastAsia" w:ascii="宋体" w:hAnsi="宋体" w:eastAsia="宋体" w:cs="宋体"/>
                <w:color w:val="auto"/>
                <w:sz w:val="21"/>
                <w:szCs w:val="21"/>
                <w:u w:val="single"/>
              </w:rPr>
              <w:t xml:space="preserve">  广东省消防救援总队  </w:t>
            </w:r>
          </w:p>
          <w:p w14:paraId="33655C6F">
            <w:pPr>
              <w:keepNext w:val="0"/>
              <w:keepLines w:val="0"/>
              <w:pageBreakBefore w:val="0"/>
              <w:widowControl w:val="0"/>
              <w:tabs>
                <w:tab w:val="left" w:pos="2552"/>
              </w:tabs>
              <w:kinsoku/>
              <w:wordWrap/>
              <w:overflowPunct/>
              <w:topLinePunct w:val="0"/>
              <w:bidi w:val="0"/>
              <w:adjustRightInd/>
              <w:snapToGrid/>
              <w:spacing w:line="240" w:lineRule="auto"/>
              <w:ind w:left="0"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采购方式：</w:t>
            </w:r>
            <w:r>
              <w:rPr>
                <w:rFonts w:hint="eastAsia" w:ascii="宋体" w:hAnsi="宋体" w:eastAsia="宋体" w:cs="宋体"/>
                <w:color w:val="auto"/>
                <w:sz w:val="21"/>
                <w:szCs w:val="21"/>
                <w:u w:val="single"/>
              </w:rPr>
              <w:t xml:space="preserve">  遴选采购  </w:t>
            </w:r>
          </w:p>
        </w:tc>
      </w:tr>
      <w:tr w14:paraId="5F864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959" w:type="dxa"/>
            <w:noWrap w:val="0"/>
            <w:vAlign w:val="center"/>
          </w:tcPr>
          <w:p w14:paraId="7457E2C9">
            <w:pPr>
              <w:pStyle w:val="10"/>
              <w:keepNext w:val="0"/>
              <w:keepLines w:val="0"/>
              <w:pageBreakBefore w:val="0"/>
              <w:widowControl w:val="0"/>
              <w:numPr>
                <w:ilvl w:val="0"/>
                <w:numId w:val="0"/>
              </w:numPr>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kern w:val="2"/>
                <w:sz w:val="21"/>
                <w:szCs w:val="21"/>
                <w:lang w:val="en-US" w:eastAsia="zh-CN" w:bidi="ar-SA"/>
              </w:rPr>
              <w:t>2</w:t>
            </w:r>
          </w:p>
        </w:tc>
        <w:tc>
          <w:tcPr>
            <w:tcW w:w="1560" w:type="dxa"/>
            <w:noWrap w:val="0"/>
            <w:vAlign w:val="center"/>
          </w:tcPr>
          <w:p w14:paraId="19629B98">
            <w:pPr>
              <w:keepNext w:val="0"/>
              <w:keepLines w:val="0"/>
              <w:pageBreakBefore w:val="0"/>
              <w:widowControl w:val="0"/>
              <w:tabs>
                <w:tab w:val="left" w:pos="2552"/>
              </w:tabs>
              <w:kinsoku/>
              <w:wordWrap/>
              <w:overflowPunct/>
              <w:topLinePunct w:val="0"/>
              <w:bidi w:val="0"/>
              <w:adjustRightInd/>
              <w:snapToGrid/>
              <w:spacing w:line="240" w:lineRule="auto"/>
              <w:ind w:lef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评选有效期</w:t>
            </w:r>
          </w:p>
        </w:tc>
        <w:tc>
          <w:tcPr>
            <w:tcW w:w="6913" w:type="dxa"/>
            <w:noWrap w:val="0"/>
            <w:vAlign w:val="center"/>
          </w:tcPr>
          <w:p w14:paraId="3BC195F4">
            <w:pPr>
              <w:keepNext w:val="0"/>
              <w:keepLines w:val="0"/>
              <w:pageBreakBefore w:val="0"/>
              <w:widowControl w:val="0"/>
              <w:tabs>
                <w:tab w:val="left" w:pos="2552"/>
              </w:tabs>
              <w:kinsoku/>
              <w:wordWrap/>
              <w:overflowPunct/>
              <w:topLinePunct w:val="0"/>
              <w:bidi w:val="0"/>
              <w:adjustRightInd/>
              <w:snapToGrid/>
              <w:spacing w:line="240" w:lineRule="auto"/>
              <w:ind w:left="0"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从评选截止之日起 90 日内。</w:t>
            </w:r>
          </w:p>
        </w:tc>
      </w:tr>
      <w:tr w14:paraId="48D75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noWrap w:val="0"/>
            <w:vAlign w:val="center"/>
          </w:tcPr>
          <w:p w14:paraId="358A5E17">
            <w:pPr>
              <w:pStyle w:val="10"/>
              <w:keepNext w:val="0"/>
              <w:keepLines w:val="0"/>
              <w:pageBreakBefore w:val="0"/>
              <w:widowControl w:val="0"/>
              <w:numPr>
                <w:ilvl w:val="0"/>
                <w:numId w:val="0"/>
              </w:numPr>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kern w:val="2"/>
                <w:sz w:val="21"/>
                <w:szCs w:val="21"/>
                <w:lang w:val="en-US" w:eastAsia="zh-CN" w:bidi="ar-SA"/>
              </w:rPr>
              <w:t>3</w:t>
            </w:r>
          </w:p>
        </w:tc>
        <w:tc>
          <w:tcPr>
            <w:tcW w:w="1560" w:type="dxa"/>
            <w:noWrap w:val="0"/>
            <w:vAlign w:val="center"/>
          </w:tcPr>
          <w:p w14:paraId="13F1BBC0">
            <w:pPr>
              <w:keepNext w:val="0"/>
              <w:keepLines w:val="0"/>
              <w:pageBreakBefore w:val="0"/>
              <w:widowControl w:val="0"/>
              <w:tabs>
                <w:tab w:val="left" w:pos="2552"/>
              </w:tabs>
              <w:kinsoku/>
              <w:wordWrap/>
              <w:overflowPunct/>
              <w:topLinePunct w:val="0"/>
              <w:bidi w:val="0"/>
              <w:adjustRightInd/>
              <w:snapToGrid/>
              <w:spacing w:line="240" w:lineRule="auto"/>
              <w:ind w:lef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参评递交材料</w:t>
            </w:r>
          </w:p>
        </w:tc>
        <w:tc>
          <w:tcPr>
            <w:tcW w:w="6913" w:type="dxa"/>
            <w:noWrap w:val="0"/>
            <w:vAlign w:val="center"/>
          </w:tcPr>
          <w:p w14:paraId="4EA0ECA2">
            <w:pPr>
              <w:keepNext w:val="0"/>
              <w:keepLines w:val="0"/>
              <w:pageBreakBefore w:val="0"/>
              <w:widowControl w:val="0"/>
              <w:tabs>
                <w:tab w:val="left" w:pos="2552"/>
              </w:tabs>
              <w:kinsoku/>
              <w:wordWrap/>
              <w:overflowPunct/>
              <w:topLinePunct w:val="0"/>
              <w:bidi w:val="0"/>
              <w:adjustRightInd/>
              <w:snapToGrid/>
              <w:spacing w:line="240" w:lineRule="auto"/>
              <w:ind w:left="0"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参评文件</w:t>
            </w:r>
            <w:r>
              <w:rPr>
                <w:rFonts w:hint="eastAsia" w:ascii="宋体" w:hAnsi="宋体" w:eastAsia="宋体" w:cs="宋体"/>
                <w:b/>
                <w:color w:val="auto"/>
                <w:sz w:val="21"/>
                <w:szCs w:val="21"/>
              </w:rPr>
              <w:t>一式三份（正本一份，复印件副本二份）</w:t>
            </w:r>
            <w:r>
              <w:rPr>
                <w:rFonts w:hint="eastAsia" w:ascii="宋体" w:hAnsi="宋体" w:eastAsia="宋体" w:cs="宋体"/>
                <w:color w:val="auto"/>
                <w:sz w:val="21"/>
                <w:szCs w:val="21"/>
              </w:rPr>
              <w:t>，在每一封口处加盖公章，并在封套上标明项目名称、参评人名称等字样。</w:t>
            </w:r>
          </w:p>
        </w:tc>
      </w:tr>
      <w:tr w14:paraId="28D59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noWrap w:val="0"/>
            <w:vAlign w:val="center"/>
          </w:tcPr>
          <w:p w14:paraId="79798477">
            <w:pPr>
              <w:pStyle w:val="10"/>
              <w:keepNext w:val="0"/>
              <w:keepLines w:val="0"/>
              <w:pageBreakBefore w:val="0"/>
              <w:widowControl w:val="0"/>
              <w:numPr>
                <w:ilvl w:val="0"/>
                <w:numId w:val="0"/>
              </w:numPr>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kern w:val="2"/>
                <w:sz w:val="21"/>
                <w:szCs w:val="21"/>
                <w:lang w:val="en-US" w:eastAsia="zh-CN" w:bidi="ar-SA"/>
              </w:rPr>
              <w:t>4</w:t>
            </w:r>
          </w:p>
        </w:tc>
        <w:tc>
          <w:tcPr>
            <w:tcW w:w="1560" w:type="dxa"/>
            <w:noWrap w:val="0"/>
            <w:vAlign w:val="center"/>
          </w:tcPr>
          <w:p w14:paraId="3D63C77B">
            <w:pPr>
              <w:keepNext w:val="0"/>
              <w:keepLines w:val="0"/>
              <w:pageBreakBefore w:val="0"/>
              <w:widowControl w:val="0"/>
              <w:tabs>
                <w:tab w:val="left" w:pos="2552"/>
              </w:tabs>
              <w:kinsoku/>
              <w:wordWrap/>
              <w:overflowPunct/>
              <w:topLinePunct w:val="0"/>
              <w:bidi w:val="0"/>
              <w:adjustRightInd/>
              <w:snapToGrid/>
              <w:spacing w:line="240" w:lineRule="auto"/>
              <w:ind w:lef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材料递交方式</w:t>
            </w:r>
          </w:p>
        </w:tc>
        <w:tc>
          <w:tcPr>
            <w:tcW w:w="6913" w:type="dxa"/>
            <w:tcBorders>
              <w:bottom w:val="single" w:color="000000" w:sz="4" w:space="0"/>
            </w:tcBorders>
            <w:noWrap w:val="0"/>
            <w:vAlign w:val="center"/>
          </w:tcPr>
          <w:p w14:paraId="39A12063">
            <w:pPr>
              <w:keepNext w:val="0"/>
              <w:keepLines w:val="0"/>
              <w:pageBreakBefore w:val="0"/>
              <w:widowControl w:val="0"/>
              <w:tabs>
                <w:tab w:val="left" w:pos="2552"/>
              </w:tabs>
              <w:kinsoku/>
              <w:wordWrap/>
              <w:overflowPunct/>
              <w:topLinePunct w:val="0"/>
              <w:bidi w:val="0"/>
              <w:adjustRightInd/>
              <w:snapToGrid/>
              <w:spacing w:line="240" w:lineRule="auto"/>
              <w:ind w:left="0"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采用EMS邮寄参评，邮寄地址及收件人：广东省广州市天河区瘦狗岭路483号，广东省消防救援总队</w:t>
            </w:r>
            <w:r>
              <w:rPr>
                <w:rFonts w:hint="eastAsia" w:ascii="宋体" w:hAnsi="宋体" w:eastAsia="宋体" w:cs="宋体"/>
                <w:color w:val="auto"/>
                <w:sz w:val="21"/>
                <w:szCs w:val="21"/>
                <w:lang w:val="en-US" w:eastAsia="zh-CN"/>
              </w:rPr>
              <w:t xml:space="preserve"> 陈参谋</w:t>
            </w:r>
            <w:r>
              <w:rPr>
                <w:rFonts w:hint="eastAsia" w:ascii="宋体" w:hAnsi="宋体" w:eastAsia="宋体" w:cs="宋体"/>
                <w:color w:val="auto"/>
                <w:sz w:val="21"/>
                <w:szCs w:val="21"/>
              </w:rPr>
              <w:t>（收）（</w:t>
            </w:r>
            <w:r>
              <w:rPr>
                <w:rFonts w:hint="eastAsia" w:ascii="宋体" w:hAnsi="宋体" w:eastAsia="宋体" w:cs="宋体"/>
                <w:color w:val="auto"/>
                <w:sz w:val="21"/>
                <w:szCs w:val="21"/>
                <w:highlight w:val="none"/>
              </w:rPr>
              <w:t>电话020-</w:t>
            </w:r>
            <w:r>
              <w:rPr>
                <w:rFonts w:hint="eastAsia" w:ascii="宋体" w:hAnsi="宋体" w:eastAsia="宋体" w:cs="宋体"/>
                <w:color w:val="auto"/>
                <w:sz w:val="21"/>
                <w:szCs w:val="21"/>
                <w:highlight w:val="none"/>
                <w:lang w:val="en-US" w:eastAsia="zh-CN"/>
              </w:rPr>
              <w:t>87119215</w:t>
            </w:r>
            <w:r>
              <w:rPr>
                <w:rFonts w:hint="eastAsia" w:ascii="宋体" w:hAnsi="宋体" w:eastAsia="宋体" w:cs="宋体"/>
                <w:color w:val="auto"/>
                <w:sz w:val="21"/>
                <w:szCs w:val="21"/>
              </w:rPr>
              <w:t>）。</w:t>
            </w:r>
          </w:p>
        </w:tc>
      </w:tr>
      <w:tr w14:paraId="623B1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959" w:type="dxa"/>
            <w:noWrap w:val="0"/>
            <w:vAlign w:val="center"/>
          </w:tcPr>
          <w:p w14:paraId="66D2313B">
            <w:pPr>
              <w:pStyle w:val="10"/>
              <w:keepNext w:val="0"/>
              <w:keepLines w:val="0"/>
              <w:pageBreakBefore w:val="0"/>
              <w:widowControl w:val="0"/>
              <w:numPr>
                <w:ilvl w:val="0"/>
                <w:numId w:val="0"/>
              </w:numPr>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kern w:val="2"/>
                <w:sz w:val="21"/>
                <w:szCs w:val="21"/>
                <w:lang w:val="en-US" w:eastAsia="zh-CN" w:bidi="ar-SA"/>
              </w:rPr>
              <w:t>5</w:t>
            </w:r>
          </w:p>
        </w:tc>
        <w:tc>
          <w:tcPr>
            <w:tcW w:w="1560" w:type="dxa"/>
            <w:noWrap w:val="0"/>
            <w:vAlign w:val="center"/>
          </w:tcPr>
          <w:p w14:paraId="72439B39">
            <w:pPr>
              <w:keepNext w:val="0"/>
              <w:keepLines w:val="0"/>
              <w:pageBreakBefore w:val="0"/>
              <w:widowControl w:val="0"/>
              <w:tabs>
                <w:tab w:val="left" w:pos="2552"/>
              </w:tabs>
              <w:kinsoku/>
              <w:wordWrap/>
              <w:overflowPunct/>
              <w:topLinePunct w:val="0"/>
              <w:bidi w:val="0"/>
              <w:adjustRightInd/>
              <w:snapToGrid/>
              <w:spacing w:line="240" w:lineRule="auto"/>
              <w:ind w:lef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评选</w:t>
            </w:r>
          </w:p>
        </w:tc>
        <w:tc>
          <w:tcPr>
            <w:tcW w:w="6913" w:type="dxa"/>
            <w:tcBorders>
              <w:bottom w:val="single" w:color="000000" w:sz="4" w:space="0"/>
            </w:tcBorders>
            <w:noWrap w:val="0"/>
            <w:vAlign w:val="center"/>
          </w:tcPr>
          <w:p w14:paraId="2D544B1A">
            <w:pPr>
              <w:keepNext w:val="0"/>
              <w:keepLines w:val="0"/>
              <w:pageBreakBefore w:val="0"/>
              <w:widowControl w:val="0"/>
              <w:tabs>
                <w:tab w:val="left" w:pos="2552"/>
              </w:tabs>
              <w:kinsoku/>
              <w:wordWrap/>
              <w:overflowPunct/>
              <w:topLinePunct w:val="0"/>
              <w:bidi w:val="0"/>
              <w:adjustRightInd/>
              <w:snapToGrid/>
              <w:spacing w:line="240" w:lineRule="auto"/>
              <w:ind w:left="0" w:firstLine="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采购人根据工作安排确定评选时间，不晚于202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日。</w:t>
            </w:r>
          </w:p>
        </w:tc>
      </w:tr>
      <w:tr w14:paraId="708BD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959" w:type="dxa"/>
            <w:tcBorders>
              <w:top w:val="single" w:color="auto" w:sz="4" w:space="0"/>
            </w:tcBorders>
            <w:noWrap w:val="0"/>
            <w:vAlign w:val="center"/>
          </w:tcPr>
          <w:p w14:paraId="03FF1892">
            <w:pPr>
              <w:pStyle w:val="10"/>
              <w:keepNext w:val="0"/>
              <w:keepLines w:val="0"/>
              <w:pageBreakBefore w:val="0"/>
              <w:widowControl w:val="0"/>
              <w:numPr>
                <w:ilvl w:val="0"/>
                <w:numId w:val="0"/>
              </w:numPr>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kern w:val="2"/>
                <w:sz w:val="21"/>
                <w:szCs w:val="21"/>
                <w:lang w:val="en-US" w:eastAsia="zh-CN" w:bidi="ar-SA"/>
              </w:rPr>
              <w:t>6</w:t>
            </w:r>
          </w:p>
        </w:tc>
        <w:tc>
          <w:tcPr>
            <w:tcW w:w="1560" w:type="dxa"/>
            <w:tcBorders>
              <w:top w:val="single" w:color="auto" w:sz="4" w:space="0"/>
            </w:tcBorders>
            <w:noWrap w:val="0"/>
            <w:vAlign w:val="center"/>
          </w:tcPr>
          <w:p w14:paraId="4E0CE931">
            <w:pPr>
              <w:keepNext w:val="0"/>
              <w:keepLines w:val="0"/>
              <w:pageBreakBefore w:val="0"/>
              <w:widowControl w:val="0"/>
              <w:tabs>
                <w:tab w:val="left" w:pos="2552"/>
              </w:tabs>
              <w:kinsoku/>
              <w:wordWrap/>
              <w:overflowPunct/>
              <w:topLinePunct w:val="0"/>
              <w:bidi w:val="0"/>
              <w:adjustRightInd/>
              <w:snapToGrid/>
              <w:spacing w:line="240" w:lineRule="auto"/>
              <w:ind w:lef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评审小组</w:t>
            </w:r>
          </w:p>
        </w:tc>
        <w:tc>
          <w:tcPr>
            <w:tcW w:w="6913" w:type="dxa"/>
            <w:noWrap w:val="0"/>
            <w:vAlign w:val="center"/>
          </w:tcPr>
          <w:p w14:paraId="4906653E">
            <w:pPr>
              <w:keepNext w:val="0"/>
              <w:keepLines w:val="0"/>
              <w:pageBreakBefore w:val="0"/>
              <w:widowControl w:val="0"/>
              <w:tabs>
                <w:tab w:val="left" w:pos="2552"/>
              </w:tabs>
              <w:kinsoku/>
              <w:wordWrap/>
              <w:overflowPunct/>
              <w:topLinePunct w:val="0"/>
              <w:bidi w:val="0"/>
              <w:adjustRightInd/>
              <w:snapToGrid/>
              <w:spacing w:line="240" w:lineRule="auto"/>
              <w:ind w:left="0" w:firstLine="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全部评审过程由采购人组建的评审小组负责完成，评审小组由3人单数成员组成。</w:t>
            </w:r>
          </w:p>
        </w:tc>
      </w:tr>
      <w:tr w14:paraId="48C93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noWrap w:val="0"/>
            <w:vAlign w:val="center"/>
          </w:tcPr>
          <w:p w14:paraId="6BE91C7A">
            <w:pPr>
              <w:pStyle w:val="10"/>
              <w:keepNext w:val="0"/>
              <w:keepLines w:val="0"/>
              <w:pageBreakBefore w:val="0"/>
              <w:widowControl w:val="0"/>
              <w:numPr>
                <w:ilvl w:val="0"/>
                <w:numId w:val="0"/>
              </w:numPr>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kern w:val="2"/>
                <w:sz w:val="21"/>
                <w:szCs w:val="21"/>
                <w:lang w:val="en-US" w:eastAsia="zh-CN" w:bidi="ar-SA"/>
              </w:rPr>
              <w:t>7</w:t>
            </w:r>
          </w:p>
        </w:tc>
        <w:tc>
          <w:tcPr>
            <w:tcW w:w="1560" w:type="dxa"/>
            <w:noWrap w:val="0"/>
            <w:vAlign w:val="center"/>
          </w:tcPr>
          <w:p w14:paraId="431154E6">
            <w:pPr>
              <w:keepNext w:val="0"/>
              <w:keepLines w:val="0"/>
              <w:pageBreakBefore w:val="0"/>
              <w:widowControl w:val="0"/>
              <w:tabs>
                <w:tab w:val="left" w:pos="2552"/>
              </w:tabs>
              <w:kinsoku/>
              <w:wordWrap/>
              <w:overflowPunct/>
              <w:topLinePunct w:val="0"/>
              <w:bidi w:val="0"/>
              <w:adjustRightInd/>
              <w:snapToGrid/>
              <w:spacing w:line="240" w:lineRule="auto"/>
              <w:ind w:lef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评审方法</w:t>
            </w:r>
          </w:p>
        </w:tc>
        <w:tc>
          <w:tcPr>
            <w:tcW w:w="6913" w:type="dxa"/>
            <w:noWrap w:val="0"/>
            <w:vAlign w:val="center"/>
          </w:tcPr>
          <w:p w14:paraId="40773878">
            <w:pPr>
              <w:keepNext w:val="0"/>
              <w:keepLines w:val="0"/>
              <w:pageBreakBefore w:val="0"/>
              <w:widowControl w:val="0"/>
              <w:kinsoku/>
              <w:wordWrap/>
              <w:overflowPunct/>
              <w:topLinePunct w:val="0"/>
              <w:autoSpaceDE w:val="0"/>
              <w:autoSpaceDN w:val="0"/>
              <w:bidi w:val="0"/>
              <w:adjustRightInd/>
              <w:snapToGrid/>
              <w:spacing w:line="240" w:lineRule="auto"/>
              <w:ind w:left="0" w:firstLine="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综合评分法（100%）</w:t>
            </w:r>
          </w:p>
          <w:p w14:paraId="1D0757E2">
            <w:pPr>
              <w:keepNext w:val="0"/>
              <w:keepLines w:val="0"/>
              <w:pageBreakBefore w:val="0"/>
              <w:widowControl w:val="0"/>
              <w:tabs>
                <w:tab w:val="left" w:pos="2552"/>
              </w:tabs>
              <w:kinsoku/>
              <w:wordWrap/>
              <w:overflowPunct/>
              <w:topLinePunct w:val="0"/>
              <w:bidi w:val="0"/>
              <w:adjustRightInd/>
              <w:snapToGrid/>
              <w:spacing w:line="240" w:lineRule="auto"/>
              <w:ind w:left="0" w:firstLine="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技术分值</w:t>
            </w:r>
            <w:r>
              <w:rPr>
                <w:rFonts w:hint="eastAsia" w:ascii="宋体" w:hAnsi="宋体" w:eastAsia="宋体" w:cs="宋体"/>
                <w:bCs/>
                <w:color w:val="auto"/>
                <w:sz w:val="21"/>
                <w:szCs w:val="21"/>
                <w:lang w:val="en-US" w:eastAsia="zh-CN"/>
              </w:rPr>
              <w:t>40</w:t>
            </w:r>
            <w:r>
              <w:rPr>
                <w:rFonts w:hint="eastAsia" w:ascii="宋体" w:hAnsi="宋体" w:eastAsia="宋体" w:cs="宋体"/>
                <w:bCs/>
                <w:color w:val="auto"/>
                <w:sz w:val="21"/>
                <w:szCs w:val="21"/>
              </w:rPr>
              <w:t>%，商务分值</w:t>
            </w:r>
            <w:r>
              <w:rPr>
                <w:rFonts w:hint="eastAsia" w:ascii="宋体" w:hAnsi="宋体" w:eastAsia="宋体" w:cs="宋体"/>
                <w:bCs/>
                <w:color w:val="auto"/>
                <w:sz w:val="21"/>
                <w:szCs w:val="21"/>
                <w:lang w:val="en-US" w:eastAsia="zh-CN"/>
              </w:rPr>
              <w:t>30</w:t>
            </w:r>
            <w:r>
              <w:rPr>
                <w:rFonts w:hint="eastAsia" w:ascii="宋体" w:hAnsi="宋体" w:eastAsia="宋体" w:cs="宋体"/>
                <w:bCs/>
                <w:color w:val="auto"/>
                <w:sz w:val="21"/>
                <w:szCs w:val="21"/>
              </w:rPr>
              <w:t>%，价格分值</w:t>
            </w:r>
            <w:r>
              <w:rPr>
                <w:rFonts w:hint="eastAsia" w:ascii="宋体" w:hAnsi="宋体" w:eastAsia="宋体" w:cs="宋体"/>
                <w:bCs/>
                <w:color w:val="auto"/>
                <w:sz w:val="21"/>
                <w:szCs w:val="21"/>
                <w:lang w:val="en-US" w:eastAsia="zh-CN"/>
              </w:rPr>
              <w:t>30</w:t>
            </w:r>
            <w:r>
              <w:rPr>
                <w:rFonts w:hint="eastAsia" w:ascii="宋体" w:hAnsi="宋体" w:eastAsia="宋体" w:cs="宋体"/>
                <w:bCs/>
                <w:color w:val="auto"/>
                <w:sz w:val="21"/>
                <w:szCs w:val="21"/>
              </w:rPr>
              <w:t>%</w:t>
            </w:r>
          </w:p>
        </w:tc>
      </w:tr>
      <w:tr w14:paraId="0A054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noWrap w:val="0"/>
            <w:vAlign w:val="center"/>
          </w:tcPr>
          <w:p w14:paraId="1DEB323B">
            <w:pPr>
              <w:pStyle w:val="10"/>
              <w:keepNext w:val="0"/>
              <w:keepLines w:val="0"/>
              <w:pageBreakBefore w:val="0"/>
              <w:widowControl w:val="0"/>
              <w:numPr>
                <w:ilvl w:val="0"/>
                <w:numId w:val="0"/>
              </w:numPr>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kern w:val="2"/>
                <w:sz w:val="21"/>
                <w:szCs w:val="21"/>
                <w:lang w:val="en-US" w:eastAsia="zh-CN" w:bidi="ar-SA"/>
              </w:rPr>
              <w:t>8</w:t>
            </w:r>
          </w:p>
        </w:tc>
        <w:tc>
          <w:tcPr>
            <w:tcW w:w="1560" w:type="dxa"/>
            <w:noWrap w:val="0"/>
            <w:vAlign w:val="center"/>
          </w:tcPr>
          <w:p w14:paraId="0325788F">
            <w:pPr>
              <w:keepNext w:val="0"/>
              <w:keepLines w:val="0"/>
              <w:pageBreakBefore w:val="0"/>
              <w:widowControl w:val="0"/>
              <w:kinsoku/>
              <w:wordWrap/>
              <w:overflowPunct/>
              <w:topLinePunct w:val="0"/>
              <w:bidi w:val="0"/>
              <w:adjustRightInd/>
              <w:snapToGrid/>
              <w:spacing w:line="240" w:lineRule="auto"/>
              <w:ind w:lef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评审步骤</w:t>
            </w:r>
          </w:p>
        </w:tc>
        <w:tc>
          <w:tcPr>
            <w:tcW w:w="6913" w:type="dxa"/>
            <w:noWrap w:val="0"/>
            <w:vAlign w:val="center"/>
          </w:tcPr>
          <w:p w14:paraId="2CAB12B8">
            <w:pPr>
              <w:keepNext w:val="0"/>
              <w:keepLines w:val="0"/>
              <w:pageBreakBefore w:val="0"/>
              <w:widowControl w:val="0"/>
              <w:kinsoku/>
              <w:wordWrap/>
              <w:overflowPunct/>
              <w:topLinePunct w:val="0"/>
              <w:bidi w:val="0"/>
              <w:adjustRightInd/>
              <w:snapToGrid/>
              <w:spacing w:line="240" w:lineRule="auto"/>
              <w:ind w:left="0"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先进行资格、符合性评审，再进行技术、商务及价格的详细评审。只有通过资格、符合性评审的参评人才能进入详细的评审，即为</w:t>
            </w:r>
            <w:r>
              <w:rPr>
                <w:rFonts w:hint="eastAsia" w:ascii="宋体" w:hAnsi="宋体" w:eastAsia="宋体" w:cs="宋体"/>
                <w:bCs/>
                <w:color w:val="auto"/>
                <w:sz w:val="21"/>
                <w:szCs w:val="21"/>
              </w:rPr>
              <w:t>入围参评人</w:t>
            </w:r>
            <w:r>
              <w:rPr>
                <w:rFonts w:hint="eastAsia" w:ascii="宋体" w:hAnsi="宋体" w:eastAsia="宋体" w:cs="宋体"/>
                <w:color w:val="auto"/>
                <w:sz w:val="21"/>
                <w:szCs w:val="21"/>
              </w:rPr>
              <w:t>。</w:t>
            </w:r>
          </w:p>
        </w:tc>
      </w:tr>
      <w:tr w14:paraId="220DB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noWrap w:val="0"/>
            <w:vAlign w:val="center"/>
          </w:tcPr>
          <w:p w14:paraId="18D39544">
            <w:pPr>
              <w:pStyle w:val="10"/>
              <w:keepNext w:val="0"/>
              <w:keepLines w:val="0"/>
              <w:pageBreakBefore w:val="0"/>
              <w:widowControl w:val="0"/>
              <w:numPr>
                <w:ilvl w:val="0"/>
                <w:numId w:val="0"/>
              </w:numPr>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kern w:val="2"/>
                <w:sz w:val="21"/>
                <w:szCs w:val="21"/>
                <w:lang w:val="en-US" w:eastAsia="zh-CN" w:bidi="ar-SA"/>
              </w:rPr>
              <w:t>9</w:t>
            </w:r>
          </w:p>
        </w:tc>
        <w:tc>
          <w:tcPr>
            <w:tcW w:w="1560" w:type="dxa"/>
            <w:noWrap w:val="0"/>
            <w:vAlign w:val="center"/>
          </w:tcPr>
          <w:p w14:paraId="3307431B">
            <w:pPr>
              <w:keepNext w:val="0"/>
              <w:keepLines w:val="0"/>
              <w:pageBreakBefore w:val="0"/>
              <w:widowControl w:val="0"/>
              <w:kinsoku/>
              <w:wordWrap/>
              <w:overflowPunct/>
              <w:topLinePunct w:val="0"/>
              <w:bidi w:val="0"/>
              <w:adjustRightInd/>
              <w:snapToGrid/>
              <w:spacing w:line="240" w:lineRule="auto"/>
              <w:ind w:left="0" w:firstLine="0"/>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成交候选人的推荐</w:t>
            </w:r>
          </w:p>
        </w:tc>
        <w:tc>
          <w:tcPr>
            <w:tcW w:w="6913" w:type="dxa"/>
            <w:noWrap w:val="0"/>
            <w:vAlign w:val="center"/>
          </w:tcPr>
          <w:p w14:paraId="5329EE18">
            <w:pPr>
              <w:keepNext w:val="0"/>
              <w:keepLines w:val="0"/>
              <w:pageBreakBefore w:val="0"/>
              <w:widowControl w:val="0"/>
              <w:kinsoku/>
              <w:wordWrap/>
              <w:overflowPunct/>
              <w:topLinePunct w:val="0"/>
              <w:bidi w:val="0"/>
              <w:adjustRightInd/>
              <w:snapToGrid/>
              <w:spacing w:line="240" w:lineRule="auto"/>
              <w:ind w:left="0" w:firstLine="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评审小组结合商务文件部分、技术文件部分和价格部分进行综合评估，将商务得分、技术得分和价格得分相加得出各入围参评人的综合得分。评审小组按综合得分高低次序排出名次，并推荐综合得分排名第一的参评人为第一成交候选人，排名第二的参评人为第二成交候选人。</w:t>
            </w:r>
          </w:p>
          <w:p w14:paraId="564F24D2">
            <w:pPr>
              <w:keepNext w:val="0"/>
              <w:keepLines w:val="0"/>
              <w:pageBreakBefore w:val="0"/>
              <w:widowControl w:val="0"/>
              <w:kinsoku/>
              <w:wordWrap/>
              <w:overflowPunct/>
              <w:topLinePunct w:val="0"/>
              <w:bidi w:val="0"/>
              <w:adjustRightInd/>
              <w:snapToGrid/>
              <w:spacing w:line="240" w:lineRule="auto"/>
              <w:ind w:left="0" w:firstLine="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综合得分相同的，名次按技术评分由高到低顺序排列；综合得分相同且技术评分相同的，名次按商务评分由高到低顺序排列；综合得分相同、技术评分和商务评分均相同的，名次由评审价由低到高顺序排列。综合得分相同、技术评分、商务评分和评审价均相同的评审小组抽签确定。法律法规有明确规定的，以法律法规规定为准。</w:t>
            </w:r>
          </w:p>
        </w:tc>
      </w:tr>
      <w:tr w14:paraId="4C071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959" w:type="dxa"/>
            <w:noWrap w:val="0"/>
            <w:vAlign w:val="center"/>
          </w:tcPr>
          <w:p w14:paraId="045E86A8">
            <w:pPr>
              <w:pStyle w:val="10"/>
              <w:keepNext w:val="0"/>
              <w:keepLines w:val="0"/>
              <w:pageBreakBefore w:val="0"/>
              <w:widowControl w:val="0"/>
              <w:numPr>
                <w:ilvl w:val="0"/>
                <w:numId w:val="0"/>
              </w:numPr>
              <w:kinsoku/>
              <w:wordWrap/>
              <w:overflowPunct/>
              <w:topLinePunct w:val="0"/>
              <w:bidi w:val="0"/>
              <w:adjustRightInd/>
              <w:snapToGrid/>
              <w:spacing w:line="240" w:lineRule="auto"/>
              <w:ind w:left="0" w:leftChars="0" w:firstLine="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10</w:t>
            </w:r>
          </w:p>
        </w:tc>
        <w:tc>
          <w:tcPr>
            <w:tcW w:w="1560" w:type="dxa"/>
            <w:noWrap w:val="0"/>
            <w:vAlign w:val="center"/>
          </w:tcPr>
          <w:p w14:paraId="32B0EA63">
            <w:pPr>
              <w:keepNext w:val="0"/>
              <w:keepLines w:val="0"/>
              <w:pageBreakBefore w:val="0"/>
              <w:widowControl w:val="0"/>
              <w:kinsoku/>
              <w:wordWrap/>
              <w:overflowPunct/>
              <w:topLinePunct w:val="0"/>
              <w:bidi w:val="0"/>
              <w:adjustRightInd/>
              <w:snapToGrid/>
              <w:spacing w:line="240" w:lineRule="auto"/>
              <w:ind w:lef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w:t>
            </w:r>
          </w:p>
        </w:tc>
        <w:tc>
          <w:tcPr>
            <w:tcW w:w="6913" w:type="dxa"/>
            <w:noWrap w:val="0"/>
            <w:vAlign w:val="center"/>
          </w:tcPr>
          <w:p w14:paraId="49AF83F7">
            <w:pPr>
              <w:keepNext w:val="0"/>
              <w:keepLines w:val="0"/>
              <w:pageBreakBefore w:val="0"/>
              <w:widowControl w:val="0"/>
              <w:tabs>
                <w:tab w:val="left" w:pos="0"/>
              </w:tabs>
              <w:kinsoku/>
              <w:wordWrap/>
              <w:overflowPunct/>
              <w:topLinePunct w:val="0"/>
              <w:bidi w:val="0"/>
              <w:adjustRightInd/>
              <w:snapToGrid/>
              <w:spacing w:line="240" w:lineRule="auto"/>
              <w:ind w:left="0" w:firstLine="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本项目不接受备选参评方案，不接受有任何选择或具有附加条件的报价，参评文件的报价只允许唯一方案报价。</w:t>
            </w:r>
          </w:p>
        </w:tc>
      </w:tr>
    </w:tbl>
    <w:p w14:paraId="46EB2C0E">
      <w:pPr>
        <w:spacing w:line="360" w:lineRule="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rPr>
        <w:t>参评人必须认真阅读参评须知的内容，以免造成参评失败。</w:t>
      </w:r>
    </w:p>
    <w:p w14:paraId="03647AC4">
      <w:pPr>
        <w:spacing w:line="360" w:lineRule="auto"/>
        <w:rPr>
          <w:rFonts w:hint="eastAsia" w:ascii="方正仿宋_GBK" w:hAnsi="方正仿宋_GBK" w:eastAsia="方正仿宋_GBK" w:cs="方正仿宋_GBK"/>
          <w:b w:val="0"/>
          <w:bCs/>
          <w:color w:val="auto"/>
          <w:sz w:val="32"/>
          <w:szCs w:val="32"/>
        </w:rPr>
      </w:pPr>
    </w:p>
    <w:p w14:paraId="4D3C1FE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auto"/>
          <w:spacing w:val="0"/>
          <w:w w:val="100"/>
          <w:sz w:val="44"/>
          <w:szCs w:val="44"/>
        </w:rPr>
      </w:pPr>
      <w:r>
        <w:rPr>
          <w:rFonts w:hint="eastAsia" w:ascii="方正仿宋_GBK" w:hAnsi="方正仿宋_GBK" w:eastAsia="方正仿宋_GBK" w:cs="方正仿宋_GBK"/>
          <w:b w:val="0"/>
          <w:bCs/>
          <w:color w:val="auto"/>
          <w:sz w:val="32"/>
          <w:szCs w:val="32"/>
        </w:rPr>
        <w:br w:type="page"/>
      </w:r>
      <w:r>
        <w:rPr>
          <w:rFonts w:hint="eastAsia" w:ascii="方正小标宋_GBK" w:hAnsi="方正小标宋_GBK" w:eastAsia="方正小标宋_GBK" w:cs="方正小标宋_GBK"/>
          <w:b w:val="0"/>
          <w:bCs w:val="0"/>
          <w:color w:val="auto"/>
          <w:spacing w:val="0"/>
          <w:w w:val="100"/>
          <w:sz w:val="44"/>
          <w:szCs w:val="44"/>
        </w:rPr>
        <w:t>第二章  采购需求</w:t>
      </w:r>
    </w:p>
    <w:p w14:paraId="762ABB78">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color w:val="auto"/>
          <w:sz w:val="32"/>
          <w:szCs w:val="32"/>
        </w:rPr>
      </w:pPr>
    </w:p>
    <w:p w14:paraId="477A3DBB">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一、基本要求</w:t>
      </w:r>
    </w:p>
    <w:p w14:paraId="2671B7FA">
      <w:pPr>
        <w:keepNext w:val="0"/>
        <w:keepLines w:val="0"/>
        <w:pageBreakBefore w:val="0"/>
        <w:widowControl w:val="0"/>
        <w:numPr>
          <w:ilvl w:val="0"/>
          <w:numId w:val="1"/>
        </w:numPr>
        <w:tabs>
          <w:tab w:val="left" w:pos="0"/>
          <w:tab w:val="left" w:pos="170"/>
          <w:tab w:val="left" w:pos="540"/>
        </w:tabs>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color w:val="auto"/>
          <w:kern w:val="28"/>
          <w:sz w:val="32"/>
          <w:szCs w:val="32"/>
        </w:rPr>
      </w:pPr>
      <w:r>
        <w:rPr>
          <w:rFonts w:hint="default" w:ascii="Times New Roman" w:hAnsi="Times New Roman" w:eastAsia="方正仿宋_GBK" w:cs="Times New Roman"/>
          <w:color w:val="auto"/>
          <w:kern w:val="28"/>
          <w:sz w:val="32"/>
          <w:szCs w:val="32"/>
        </w:rPr>
        <w:t>标有“▲”的条款为必须完全满足的项目，任何</w:t>
      </w:r>
      <w:r>
        <w:rPr>
          <w:rFonts w:hint="default" w:ascii="Times New Roman" w:hAnsi="Times New Roman" w:eastAsia="方正仿宋_GBK" w:cs="Times New Roman"/>
          <w:color w:val="auto"/>
          <w:sz w:val="32"/>
          <w:szCs w:val="32"/>
        </w:rPr>
        <w:t>未响应或负偏离</w:t>
      </w:r>
      <w:r>
        <w:rPr>
          <w:rFonts w:hint="default" w:ascii="Times New Roman" w:hAnsi="Times New Roman" w:eastAsia="方正仿宋_GBK" w:cs="Times New Roman"/>
          <w:color w:val="auto"/>
          <w:kern w:val="28"/>
          <w:sz w:val="32"/>
          <w:szCs w:val="32"/>
        </w:rPr>
        <w:t>将导致无效响应。</w:t>
      </w:r>
    </w:p>
    <w:p w14:paraId="52FFCF42">
      <w:pPr>
        <w:keepNext w:val="0"/>
        <w:keepLines w:val="0"/>
        <w:pageBreakBefore w:val="0"/>
        <w:widowControl w:val="0"/>
        <w:numPr>
          <w:ilvl w:val="0"/>
          <w:numId w:val="1"/>
        </w:numPr>
        <w:tabs>
          <w:tab w:val="left" w:pos="0"/>
          <w:tab w:val="left" w:pos="170"/>
          <w:tab w:val="left" w:pos="540"/>
        </w:tabs>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color w:val="auto"/>
          <w:kern w:val="28"/>
          <w:sz w:val="32"/>
          <w:szCs w:val="32"/>
        </w:rPr>
      </w:pPr>
      <w:r>
        <w:rPr>
          <w:rFonts w:hint="default" w:ascii="Times New Roman" w:hAnsi="Times New Roman" w:eastAsia="方正仿宋_GBK" w:cs="Times New Roman"/>
          <w:color w:val="auto"/>
          <w:kern w:val="28"/>
          <w:sz w:val="32"/>
          <w:szCs w:val="32"/>
        </w:rPr>
        <w:t>标有“★”的条款和为重要项目，任何</w:t>
      </w:r>
      <w:r>
        <w:rPr>
          <w:rFonts w:hint="default" w:ascii="Times New Roman" w:hAnsi="Times New Roman" w:eastAsia="方正仿宋_GBK" w:cs="Times New Roman"/>
          <w:color w:val="auto"/>
          <w:sz w:val="32"/>
          <w:szCs w:val="32"/>
        </w:rPr>
        <w:t>未响应或负偏离</w:t>
      </w:r>
      <w:r>
        <w:rPr>
          <w:rFonts w:hint="default" w:ascii="Times New Roman" w:hAnsi="Times New Roman" w:eastAsia="方正仿宋_GBK" w:cs="Times New Roman"/>
          <w:color w:val="auto"/>
          <w:kern w:val="28"/>
          <w:sz w:val="32"/>
          <w:szCs w:val="32"/>
        </w:rPr>
        <w:t>将被严重扣分。</w:t>
      </w:r>
    </w:p>
    <w:p w14:paraId="78796903">
      <w:pPr>
        <w:keepNext w:val="0"/>
        <w:keepLines w:val="0"/>
        <w:pageBreakBefore w:val="0"/>
        <w:widowControl w:val="0"/>
        <w:numPr>
          <w:ilvl w:val="0"/>
          <w:numId w:val="1"/>
        </w:numPr>
        <w:tabs>
          <w:tab w:val="left" w:pos="0"/>
          <w:tab w:val="left" w:pos="170"/>
          <w:tab w:val="left" w:pos="540"/>
        </w:tabs>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color w:val="auto"/>
          <w:kern w:val="28"/>
          <w:sz w:val="32"/>
          <w:szCs w:val="32"/>
        </w:rPr>
      </w:pPr>
      <w:r>
        <w:rPr>
          <w:rFonts w:hint="default" w:ascii="Times New Roman" w:hAnsi="Times New Roman" w:eastAsia="方正仿宋_GBK" w:cs="Times New Roman"/>
          <w:color w:val="auto"/>
          <w:kern w:val="28"/>
          <w:sz w:val="32"/>
          <w:szCs w:val="32"/>
        </w:rPr>
        <w:t>参评人必须具有独立法人资格。</w:t>
      </w:r>
    </w:p>
    <w:p w14:paraId="5B084985">
      <w:pPr>
        <w:keepNext w:val="0"/>
        <w:keepLines w:val="0"/>
        <w:pageBreakBefore w:val="0"/>
        <w:widowControl w:val="0"/>
        <w:numPr>
          <w:ilvl w:val="0"/>
          <w:numId w:val="1"/>
        </w:numPr>
        <w:tabs>
          <w:tab w:val="left" w:pos="0"/>
          <w:tab w:val="left" w:pos="170"/>
          <w:tab w:val="left" w:pos="540"/>
        </w:tabs>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color w:val="auto"/>
          <w:kern w:val="28"/>
          <w:sz w:val="32"/>
          <w:szCs w:val="32"/>
        </w:rPr>
      </w:pPr>
      <w:r>
        <w:rPr>
          <w:rFonts w:hint="default" w:ascii="Times New Roman" w:hAnsi="Times New Roman" w:eastAsia="方正仿宋_GBK" w:cs="Times New Roman"/>
          <w:color w:val="auto"/>
          <w:kern w:val="28"/>
          <w:sz w:val="32"/>
          <w:szCs w:val="32"/>
        </w:rPr>
        <w:t>参评人在响应建议中必须列出具体数值或具体承诺。如果参评人只注明“正偏离”或“无偏离”，将被视为“负偏离”，从而可能导致严重影响评审结果。</w:t>
      </w:r>
    </w:p>
    <w:p w14:paraId="5FFDDCD2">
      <w:pPr>
        <w:keepNext w:val="0"/>
        <w:keepLines w:val="0"/>
        <w:pageBreakBefore w:val="0"/>
        <w:widowControl w:val="0"/>
        <w:numPr>
          <w:ilvl w:val="0"/>
          <w:numId w:val="1"/>
        </w:numPr>
        <w:tabs>
          <w:tab w:val="left" w:pos="0"/>
          <w:tab w:val="left" w:pos="170"/>
          <w:tab w:val="left" w:pos="540"/>
        </w:tabs>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color w:val="auto"/>
          <w:kern w:val="28"/>
          <w:sz w:val="32"/>
          <w:szCs w:val="32"/>
        </w:rPr>
      </w:pPr>
      <w:r>
        <w:rPr>
          <w:rFonts w:hint="default" w:ascii="Times New Roman" w:hAnsi="Times New Roman" w:eastAsia="方正仿宋_GBK" w:cs="Times New Roman"/>
          <w:color w:val="auto"/>
          <w:kern w:val="28"/>
          <w:sz w:val="32"/>
          <w:szCs w:val="32"/>
        </w:rPr>
        <w:t>参评人</w:t>
      </w:r>
      <w:r>
        <w:rPr>
          <w:rFonts w:hint="default" w:ascii="Times New Roman" w:hAnsi="Times New Roman" w:eastAsia="方正仿宋_GBK" w:cs="Times New Roman"/>
          <w:color w:val="auto"/>
          <w:sz w:val="32"/>
          <w:szCs w:val="32"/>
        </w:rPr>
        <w:t>须对所投报价服务及自身经营情况描述的真实性承担法律责任</w:t>
      </w:r>
      <w:r>
        <w:rPr>
          <w:rFonts w:hint="default" w:ascii="Times New Roman" w:hAnsi="Times New Roman" w:eastAsia="方正仿宋_GBK" w:cs="Times New Roman"/>
          <w:color w:val="auto"/>
          <w:kern w:val="28"/>
          <w:sz w:val="32"/>
          <w:szCs w:val="32"/>
        </w:rPr>
        <w:t>。</w:t>
      </w:r>
    </w:p>
    <w:p w14:paraId="58B9BE49">
      <w:pPr>
        <w:keepNext w:val="0"/>
        <w:keepLines w:val="0"/>
        <w:pageBreakBefore w:val="0"/>
        <w:widowControl w:val="0"/>
        <w:numPr>
          <w:ilvl w:val="0"/>
          <w:numId w:val="1"/>
        </w:numPr>
        <w:tabs>
          <w:tab w:val="left" w:pos="0"/>
          <w:tab w:val="left" w:pos="170"/>
          <w:tab w:val="left" w:pos="540"/>
        </w:tabs>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28"/>
          <w:sz w:val="32"/>
          <w:szCs w:val="32"/>
        </w:rPr>
        <w:t>参评</w:t>
      </w:r>
      <w:r>
        <w:rPr>
          <w:rFonts w:hint="default" w:ascii="Times New Roman" w:hAnsi="Times New Roman" w:eastAsia="方正仿宋_GBK" w:cs="Times New Roman"/>
          <w:color w:val="auto"/>
          <w:sz w:val="32"/>
          <w:szCs w:val="32"/>
        </w:rPr>
        <w:t>人没有在</w:t>
      </w:r>
      <w:r>
        <w:rPr>
          <w:rFonts w:hint="default" w:ascii="Times New Roman" w:hAnsi="Times New Roman" w:eastAsia="方正仿宋_GBK" w:cs="Times New Roman"/>
          <w:color w:val="auto"/>
          <w:kern w:val="28"/>
          <w:sz w:val="32"/>
          <w:szCs w:val="32"/>
        </w:rPr>
        <w:t>参评</w:t>
      </w:r>
      <w:r>
        <w:rPr>
          <w:rFonts w:hint="default" w:ascii="Times New Roman" w:hAnsi="Times New Roman" w:eastAsia="方正仿宋_GBK" w:cs="Times New Roman"/>
          <w:color w:val="auto"/>
          <w:sz w:val="32"/>
          <w:szCs w:val="32"/>
        </w:rPr>
        <w:t>文件中注明偏离（文字说明或在响应表注明）的描述、条款视为被</w:t>
      </w:r>
      <w:r>
        <w:rPr>
          <w:rFonts w:hint="default" w:ascii="Times New Roman" w:hAnsi="Times New Roman" w:eastAsia="方正仿宋_GBK" w:cs="Times New Roman"/>
          <w:color w:val="auto"/>
          <w:kern w:val="28"/>
          <w:sz w:val="32"/>
          <w:szCs w:val="32"/>
        </w:rPr>
        <w:t>参评</w:t>
      </w:r>
      <w:r>
        <w:rPr>
          <w:rFonts w:hint="default" w:ascii="Times New Roman" w:hAnsi="Times New Roman" w:eastAsia="方正仿宋_GBK" w:cs="Times New Roman"/>
          <w:color w:val="auto"/>
          <w:sz w:val="32"/>
          <w:szCs w:val="32"/>
        </w:rPr>
        <w:t>人完全接受。</w:t>
      </w:r>
    </w:p>
    <w:p w14:paraId="196EC3F9">
      <w:pPr>
        <w:keepNext w:val="0"/>
        <w:keepLines w:val="0"/>
        <w:pageBreakBefore w:val="0"/>
        <w:widowControl w:val="0"/>
        <w:numPr>
          <w:ilvl w:val="0"/>
          <w:numId w:val="1"/>
        </w:numPr>
        <w:tabs>
          <w:tab w:val="left" w:pos="0"/>
          <w:tab w:val="left" w:pos="170"/>
          <w:tab w:val="left" w:pos="540"/>
        </w:tabs>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28"/>
          <w:sz w:val="32"/>
          <w:szCs w:val="32"/>
        </w:rPr>
        <w:t>参评</w:t>
      </w:r>
      <w:r>
        <w:rPr>
          <w:rFonts w:hint="default" w:ascii="Times New Roman" w:hAnsi="Times New Roman" w:eastAsia="方正仿宋_GBK" w:cs="Times New Roman"/>
          <w:color w:val="auto"/>
          <w:sz w:val="32"/>
          <w:szCs w:val="32"/>
        </w:rPr>
        <w:t>人应保证，采购人在中华人民共和国使用该货物、服务或货物、服务的任何一部分时，免受第三方提出的侵犯其专利权、商标权、著作权或</w:t>
      </w:r>
      <w:r>
        <w:rPr>
          <w:rFonts w:hint="eastAsia" w:ascii="Times New Roman" w:hAnsi="Times New Roman" w:eastAsia="方正仿宋_GBK" w:cs="Times New Roman"/>
          <w:color w:val="auto"/>
          <w:sz w:val="32"/>
          <w:szCs w:val="32"/>
          <w:lang w:eastAsia="zh-CN"/>
        </w:rPr>
        <w:t>其他</w:t>
      </w:r>
      <w:r>
        <w:rPr>
          <w:rFonts w:hint="default" w:ascii="Times New Roman" w:hAnsi="Times New Roman" w:eastAsia="方正仿宋_GBK" w:cs="Times New Roman"/>
          <w:color w:val="auto"/>
          <w:sz w:val="32"/>
          <w:szCs w:val="32"/>
        </w:rPr>
        <w:t>知识产权的起诉。</w:t>
      </w:r>
    </w:p>
    <w:p w14:paraId="2C37148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二、参评报价</w:t>
      </w:r>
      <w:r>
        <w:rPr>
          <w:rFonts w:hint="eastAsia" w:ascii="方正黑体_GBK" w:hAnsi="方正黑体_GBK" w:eastAsia="方正黑体_GBK" w:cs="方正黑体_GBK"/>
          <w:color w:val="auto"/>
          <w:sz w:val="32"/>
          <w:szCs w:val="32"/>
          <w:lang w:val="en-US" w:eastAsia="zh-CN"/>
        </w:rPr>
        <w:t>及</w:t>
      </w:r>
      <w:r>
        <w:rPr>
          <w:rFonts w:hint="eastAsia" w:ascii="方正黑体_GBK" w:hAnsi="方正黑体_GBK" w:eastAsia="方正黑体_GBK" w:cs="方正黑体_GBK"/>
          <w:color w:val="auto"/>
          <w:sz w:val="32"/>
          <w:szCs w:val="32"/>
        </w:rPr>
        <w:t>说明</w:t>
      </w:r>
    </w:p>
    <w:p w14:paraId="7197A979">
      <w:pPr>
        <w:keepNext w:val="0"/>
        <w:keepLines w:val="0"/>
        <w:pageBreakBefore w:val="0"/>
        <w:widowControl w:val="0"/>
        <w:tabs>
          <w:tab w:val="left" w:pos="0"/>
          <w:tab w:val="left" w:pos="170"/>
          <w:tab w:val="left" w:pos="540"/>
        </w:tabs>
        <w:kinsoku/>
        <w:wordWrap/>
        <w:overflowPunct/>
        <w:topLinePunct w:val="0"/>
        <w:autoSpaceDE/>
        <w:autoSpaceDN/>
        <w:bidi w:val="0"/>
        <w:adjustRightInd/>
        <w:snapToGrid/>
        <w:spacing w:beforeAutospacing="0" w:afterAutospacing="0" w:line="594" w:lineRule="exact"/>
        <w:ind w:left="0"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zh-CN"/>
        </w:rPr>
        <w:t>《广东省高层建筑消防安全管理规定（草案）》三个评估项目</w:t>
      </w:r>
      <w:r>
        <w:rPr>
          <w:rFonts w:hint="default" w:ascii="Times New Roman" w:hAnsi="Times New Roman" w:eastAsia="方正仿宋_GBK" w:cs="Times New Roman"/>
          <w:b/>
          <w:bCs/>
          <w:color w:val="auto"/>
          <w:kern w:val="28"/>
          <w:sz w:val="32"/>
          <w:szCs w:val="32"/>
          <w:lang w:val="en-US" w:eastAsia="zh-CN"/>
        </w:rPr>
        <w:t>限价</w:t>
      </w:r>
      <w:r>
        <w:rPr>
          <w:rFonts w:hint="eastAsia" w:ascii="Times New Roman" w:hAnsi="Times New Roman" w:eastAsia="方正仿宋_GBK" w:cs="Times New Roman"/>
          <w:b/>
          <w:bCs/>
          <w:color w:val="auto"/>
          <w:kern w:val="28"/>
          <w:sz w:val="32"/>
          <w:szCs w:val="32"/>
          <w:u w:val="single"/>
          <w:lang w:val="en-US" w:eastAsia="zh-CN"/>
        </w:rPr>
        <w:t xml:space="preserve"> 3</w:t>
      </w:r>
      <w:r>
        <w:rPr>
          <w:rFonts w:hint="default" w:ascii="Times New Roman" w:hAnsi="Times New Roman" w:eastAsia="方正仿宋_GBK" w:cs="Times New Roman"/>
          <w:b/>
          <w:bCs/>
          <w:color w:val="auto"/>
          <w:kern w:val="28"/>
          <w:sz w:val="32"/>
          <w:szCs w:val="32"/>
          <w:u w:val="single"/>
          <w:lang w:val="en-US" w:eastAsia="zh-CN"/>
        </w:rPr>
        <w:t>0000</w:t>
      </w:r>
      <w:r>
        <w:rPr>
          <w:rFonts w:hint="eastAsia" w:ascii="Times New Roman" w:hAnsi="Times New Roman" w:eastAsia="方正仿宋_GBK" w:cs="Times New Roman"/>
          <w:b/>
          <w:bCs/>
          <w:color w:val="auto"/>
          <w:kern w:val="28"/>
          <w:sz w:val="32"/>
          <w:szCs w:val="32"/>
          <w:u w:val="single"/>
          <w:lang w:val="en-US" w:eastAsia="zh-CN"/>
        </w:rPr>
        <w:t>0</w:t>
      </w:r>
      <w:r>
        <w:rPr>
          <w:rFonts w:hint="default" w:ascii="Times New Roman" w:hAnsi="Times New Roman" w:eastAsia="方正仿宋_GBK" w:cs="Times New Roman"/>
          <w:b/>
          <w:bCs/>
          <w:color w:val="auto"/>
          <w:kern w:val="28"/>
          <w:sz w:val="32"/>
          <w:szCs w:val="32"/>
          <w:u w:val="single"/>
          <w:lang w:val="en-US" w:eastAsia="zh-CN"/>
        </w:rPr>
        <w:t>元，</w:t>
      </w:r>
      <w:r>
        <w:rPr>
          <w:rFonts w:hint="default" w:ascii="Times New Roman" w:hAnsi="Times New Roman" w:eastAsia="方正仿宋_GBK" w:cs="Times New Roman"/>
          <w:b/>
          <w:bCs/>
          <w:color w:val="auto"/>
          <w:kern w:val="28"/>
          <w:sz w:val="32"/>
          <w:szCs w:val="32"/>
          <w:lang w:val="en-US" w:eastAsia="zh-CN"/>
        </w:rPr>
        <w:t>高于限价无效。</w:t>
      </w:r>
      <w:r>
        <w:rPr>
          <w:rFonts w:hint="default" w:ascii="Times New Roman" w:hAnsi="Times New Roman" w:eastAsia="方正仿宋_GBK" w:cs="Times New Roman"/>
          <w:b/>
          <w:bCs/>
          <w:color w:val="auto"/>
          <w:kern w:val="28"/>
          <w:sz w:val="32"/>
          <w:szCs w:val="32"/>
        </w:rPr>
        <w:t>参评</w:t>
      </w:r>
      <w:r>
        <w:rPr>
          <w:rFonts w:hint="default" w:ascii="Times New Roman" w:hAnsi="Times New Roman" w:eastAsia="方正仿宋_GBK" w:cs="Times New Roman"/>
          <w:b/>
          <w:bCs/>
          <w:color w:val="auto"/>
          <w:sz w:val="32"/>
          <w:szCs w:val="32"/>
          <w:lang w:val="zh-CN"/>
        </w:rPr>
        <w:t>报价包括：</w:t>
      </w:r>
      <w:r>
        <w:rPr>
          <w:rFonts w:hint="default" w:ascii="Times New Roman" w:hAnsi="Times New Roman" w:eastAsia="方正仿宋_GBK" w:cs="Times New Roman"/>
          <w:b/>
          <w:bCs/>
          <w:color w:val="auto"/>
          <w:sz w:val="32"/>
          <w:szCs w:val="32"/>
          <w:lang w:val="zh-CN" w:eastAsia="zh-CN"/>
        </w:rPr>
        <w:t>调查</w:t>
      </w:r>
      <w:r>
        <w:rPr>
          <w:rFonts w:hint="default" w:ascii="Times New Roman" w:hAnsi="Times New Roman" w:eastAsia="方正仿宋_GBK" w:cs="Times New Roman"/>
          <w:b/>
          <w:bCs/>
          <w:color w:val="auto"/>
          <w:sz w:val="32"/>
          <w:szCs w:val="32"/>
        </w:rPr>
        <w:t>服务费用</w:t>
      </w:r>
      <w:r>
        <w:rPr>
          <w:rFonts w:hint="default" w:ascii="Times New Roman" w:hAnsi="Times New Roman" w:eastAsia="方正仿宋_GBK" w:cs="Times New Roman"/>
          <w:b/>
          <w:bCs/>
          <w:color w:val="auto"/>
          <w:sz w:val="32"/>
          <w:szCs w:val="32"/>
          <w:lang w:val="zh-CN"/>
        </w:rPr>
        <w:t>、各项税费</w:t>
      </w:r>
      <w:r>
        <w:rPr>
          <w:rFonts w:hint="default" w:ascii="Times New Roman" w:hAnsi="Times New Roman" w:eastAsia="方正仿宋_GBK" w:cs="Times New Roman"/>
          <w:b/>
          <w:bCs/>
          <w:color w:val="auto"/>
          <w:sz w:val="32"/>
          <w:szCs w:val="32"/>
        </w:rPr>
        <w:t>。</w:t>
      </w:r>
    </w:p>
    <w:p w14:paraId="4077A147">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3" w:firstLineChars="200"/>
        <w:textAlignment w:val="auto"/>
        <w:rPr>
          <w:rFonts w:hint="eastAsia" w:ascii="方正楷体_GBK" w:hAnsi="方正楷体_GBK" w:eastAsia="方正楷体_GBK" w:cs="方正楷体_GBK"/>
          <w:color w:val="auto"/>
          <w:sz w:val="32"/>
          <w:szCs w:val="32"/>
        </w:rPr>
      </w:pPr>
      <w:bookmarkStart w:id="3" w:name="_Toc371065281"/>
      <w:bookmarkStart w:id="4" w:name="_Toc51606920"/>
      <w:bookmarkStart w:id="5" w:name="_Toc29671487"/>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项目</w:t>
      </w:r>
      <w:bookmarkEnd w:id="3"/>
      <w:r>
        <w:rPr>
          <w:rFonts w:hint="eastAsia" w:ascii="方正楷体_GBK" w:hAnsi="方正楷体_GBK" w:eastAsia="方正楷体_GBK" w:cs="方正楷体_GBK"/>
          <w:color w:val="auto"/>
          <w:sz w:val="32"/>
          <w:szCs w:val="32"/>
        </w:rPr>
        <w:t>背景</w:t>
      </w:r>
    </w:p>
    <w:p w14:paraId="4B7183DF">
      <w:pPr>
        <w:keepNext w:val="0"/>
        <w:keepLines w:val="0"/>
        <w:pageBreakBefore w:val="0"/>
        <w:widowControl w:val="0"/>
        <w:numPr>
          <w:ilvl w:val="0"/>
          <w:numId w:val="0"/>
        </w:numPr>
        <w:tabs>
          <w:tab w:val="left" w:pos="0"/>
          <w:tab w:val="left" w:pos="170"/>
          <w:tab w:val="left" w:pos="540"/>
        </w:tabs>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高层建筑消防安全管理是我省消防安全管理的重要工作内容，对其加强立法保障具有重要意义。2024年省政府已将《广东省高层建筑消防安全管理规定》纳入年度立法计划。根据省政府立法工作计划安排，</w:t>
      </w:r>
      <w:r>
        <w:rPr>
          <w:rFonts w:hint="default" w:ascii="Times New Roman" w:hAnsi="Times New Roman" w:eastAsia="方正仿宋_GBK" w:cs="Times New Roman"/>
          <w:color w:val="auto"/>
          <w:sz w:val="32"/>
          <w:szCs w:val="32"/>
          <w:lang w:eastAsia="zh-CN"/>
        </w:rPr>
        <w:t>《广东省高层建筑消防安全管理规定</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草案</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起草工作已经基本完成。</w:t>
      </w:r>
    </w:p>
    <w:p w14:paraId="53FF6F5E">
      <w:pPr>
        <w:keepNext w:val="0"/>
        <w:keepLines w:val="0"/>
        <w:pageBreakBefore w:val="0"/>
        <w:widowControl w:val="0"/>
        <w:numPr>
          <w:ilvl w:val="0"/>
          <w:numId w:val="0"/>
        </w:numPr>
        <w:tabs>
          <w:tab w:val="left" w:pos="0"/>
          <w:tab w:val="left" w:pos="170"/>
          <w:tab w:val="left" w:pos="540"/>
        </w:tabs>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根据</w:t>
      </w:r>
      <w:r>
        <w:rPr>
          <w:rFonts w:hint="eastAsia" w:ascii="Times New Roman" w:hAnsi="Times New Roman" w:eastAsia="方正仿宋_GBK" w:cs="Times New Roman"/>
          <w:color w:val="auto"/>
          <w:sz w:val="32"/>
          <w:szCs w:val="32"/>
          <w:lang w:val="en-US" w:eastAsia="zh-CN"/>
        </w:rPr>
        <w:t>有关规定，</w:t>
      </w:r>
      <w:r>
        <w:rPr>
          <w:rFonts w:hint="default" w:ascii="Times New Roman" w:hAnsi="Times New Roman" w:eastAsia="方正仿宋_GBK" w:cs="Times New Roman"/>
          <w:color w:val="auto"/>
          <w:sz w:val="32"/>
          <w:szCs w:val="32"/>
          <w:lang w:eastAsia="zh-CN"/>
        </w:rPr>
        <w:t>《广东省高层建筑消防安全管理规定</w:t>
      </w:r>
      <w:r>
        <w:rPr>
          <w:rFonts w:hint="eastAsia" w:ascii="Times New Roman" w:hAnsi="Times New Roman" w:eastAsia="方正仿宋_GBK" w:cs="Times New Roman"/>
          <w:color w:val="auto"/>
          <w:sz w:val="32"/>
          <w:szCs w:val="32"/>
          <w:lang w:val="en-US" w:eastAsia="zh-CN"/>
        </w:rPr>
        <w:t>（草案）</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应当完成三个评估项目，分别为：1.社会稳定风险评估，依据为</w:t>
      </w:r>
      <w:r>
        <w:rPr>
          <w:rFonts w:hint="default" w:ascii="Times New Roman" w:hAnsi="Times New Roman" w:eastAsia="方正仿宋_GBK" w:cs="Times New Roman"/>
          <w:color w:val="auto"/>
          <w:sz w:val="32"/>
          <w:szCs w:val="32"/>
          <w:lang w:eastAsia="zh-CN"/>
        </w:rPr>
        <w:t>《广东省人民政府办公厅关于印发广东省人民政府2024年度立法工作计划的通知》（粤府办〔2024〕4号）</w:t>
      </w:r>
      <w:r>
        <w:rPr>
          <w:rFonts w:hint="eastAsia" w:ascii="Times New Roman" w:hAnsi="Times New Roman" w:eastAsia="方正仿宋_GBK" w:cs="Times New Roman"/>
          <w:color w:val="auto"/>
          <w:sz w:val="32"/>
          <w:szCs w:val="32"/>
          <w:lang w:val="en-US" w:eastAsia="zh-CN"/>
        </w:rPr>
        <w:t>第二条</w:t>
      </w:r>
      <w:r>
        <w:rPr>
          <w:rFonts w:hint="default" w:ascii="Times New Roman" w:hAnsi="Times New Roman" w:eastAsia="方正仿宋_GBK" w:cs="Times New Roman"/>
          <w:color w:val="auto"/>
          <w:sz w:val="32"/>
          <w:szCs w:val="32"/>
          <w:lang w:eastAsia="zh-CN"/>
        </w:rPr>
        <w:t>“要健全政府立法风险防范机制，强化风险研判，认真组织开展社会稳定风险评估”</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2.公平竞争审查评估，依据为</w:t>
      </w:r>
      <w:r>
        <w:rPr>
          <w:rFonts w:hint="default" w:ascii="Times New Roman" w:hAnsi="Times New Roman" w:eastAsia="方正仿宋_GBK" w:cs="Times New Roman"/>
          <w:color w:val="auto"/>
          <w:sz w:val="32"/>
          <w:szCs w:val="32"/>
          <w:lang w:eastAsia="zh-CN"/>
        </w:rPr>
        <w:t>《广东省人民政府法规规章审查工作规定》第四条</w:t>
      </w:r>
      <w:r>
        <w:rPr>
          <w:rFonts w:hint="eastAsia" w:ascii="Times New Roman" w:hAnsi="Times New Roman" w:eastAsia="方正仿宋_GBK" w:cs="Times New Roman"/>
          <w:color w:val="auto"/>
          <w:sz w:val="32"/>
          <w:szCs w:val="32"/>
          <w:lang w:val="en-US" w:eastAsia="zh-CN"/>
        </w:rPr>
        <w:t>第八项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起草单位向省人民政府报送法规规章送审稿的请示，应当同时提交下列材料：（八）涉及公平竞争审查的应当提交公平竞争审查表</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3.宏观政策一致性评估，依据为</w:t>
      </w:r>
      <w:r>
        <w:rPr>
          <w:rFonts w:hint="default" w:ascii="Times New Roman" w:hAnsi="Times New Roman" w:eastAsia="方正仿宋_GBK" w:cs="Times New Roman"/>
          <w:color w:val="auto"/>
          <w:sz w:val="32"/>
          <w:szCs w:val="32"/>
          <w:lang w:eastAsia="zh-CN"/>
        </w:rPr>
        <w:t>《广东省人民政府工作规则》</w:t>
      </w:r>
      <w:r>
        <w:rPr>
          <w:rFonts w:hint="eastAsia" w:ascii="Times New Roman" w:hAnsi="Times New Roman" w:eastAsia="方正仿宋_GBK" w:cs="Times New Roman"/>
          <w:color w:val="auto"/>
          <w:sz w:val="32"/>
          <w:szCs w:val="32"/>
          <w:lang w:val="en-US" w:eastAsia="zh-CN"/>
        </w:rPr>
        <w:t>第</w:t>
      </w:r>
      <w:r>
        <w:rPr>
          <w:rFonts w:hint="default" w:ascii="Times New Roman" w:hAnsi="Times New Roman" w:eastAsia="方正仿宋_GBK" w:cs="Times New Roman"/>
          <w:color w:val="auto"/>
          <w:sz w:val="32"/>
          <w:szCs w:val="32"/>
          <w:lang w:eastAsia="zh-CN"/>
        </w:rPr>
        <w:t>二十八</w:t>
      </w:r>
      <w:r>
        <w:rPr>
          <w:rFonts w:hint="eastAsia" w:ascii="Times New Roman" w:hAnsi="Times New Roman" w:eastAsia="方正仿宋_GBK" w:cs="Times New Roman"/>
          <w:color w:val="auto"/>
          <w:sz w:val="32"/>
          <w:szCs w:val="32"/>
          <w:lang w:val="en-US" w:eastAsia="zh-CN"/>
        </w:rPr>
        <w:t>条：“</w:t>
      </w:r>
      <w:r>
        <w:rPr>
          <w:rFonts w:hint="default" w:ascii="Times New Roman" w:hAnsi="Times New Roman" w:eastAsia="方正仿宋_GBK" w:cs="Times New Roman"/>
          <w:color w:val="auto"/>
          <w:sz w:val="32"/>
          <w:szCs w:val="32"/>
          <w:lang w:eastAsia="zh-CN"/>
        </w:rPr>
        <w:t>省政府各部门起草地方性法规草案、政府规章草案、行政规范性文件，以及提请省政府研究决定重大事项的公文，必须遵守依法科学民主决策程序，深入开展调查研究，进行合法性、必要性、科学性、可行性和宏观政策取向一致性评估论证</w:t>
      </w:r>
      <w:r>
        <w:rPr>
          <w:rFonts w:hint="eastAsia" w:ascii="Times New Roman" w:hAnsi="Times New Roman" w:eastAsia="方正仿宋_GBK" w:cs="Times New Roman"/>
          <w:color w:val="auto"/>
          <w:sz w:val="32"/>
          <w:szCs w:val="32"/>
          <w:lang w:eastAsia="zh-CN"/>
        </w:rPr>
        <w:t>”。</w:t>
      </w:r>
    </w:p>
    <w:p w14:paraId="75B9D6B1">
      <w:pPr>
        <w:keepNext w:val="0"/>
        <w:keepLines w:val="0"/>
        <w:pageBreakBefore w:val="0"/>
        <w:widowControl w:val="0"/>
        <w:numPr>
          <w:ilvl w:val="0"/>
          <w:numId w:val="0"/>
        </w:numPr>
        <w:tabs>
          <w:tab w:val="left" w:pos="0"/>
          <w:tab w:val="left" w:pos="170"/>
          <w:tab w:val="left" w:pos="540"/>
        </w:tabs>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为顺利推动立法工作进一步开展，确保立法质量，</w:t>
      </w:r>
      <w:r>
        <w:rPr>
          <w:rFonts w:hint="default" w:ascii="Times New Roman" w:hAnsi="Times New Roman" w:eastAsia="方正仿宋_GBK" w:cs="Times New Roman"/>
          <w:color w:val="auto"/>
          <w:sz w:val="32"/>
          <w:szCs w:val="32"/>
          <w:lang w:eastAsia="zh-CN"/>
        </w:rPr>
        <w:t>广东省消防救援总队委托第三方</w:t>
      </w:r>
      <w:r>
        <w:rPr>
          <w:rFonts w:hint="eastAsia" w:ascii="Times New Roman" w:hAnsi="Times New Roman" w:eastAsia="方正仿宋_GBK" w:cs="Times New Roman"/>
          <w:color w:val="auto"/>
          <w:sz w:val="32"/>
          <w:szCs w:val="32"/>
          <w:lang w:val="en-US" w:eastAsia="zh-CN"/>
        </w:rPr>
        <w:t>评估</w:t>
      </w:r>
      <w:r>
        <w:rPr>
          <w:rFonts w:hint="default" w:ascii="Times New Roman" w:hAnsi="Times New Roman" w:eastAsia="方正仿宋_GBK" w:cs="Times New Roman"/>
          <w:color w:val="auto"/>
          <w:sz w:val="32"/>
          <w:szCs w:val="32"/>
          <w:lang w:eastAsia="zh-CN"/>
        </w:rPr>
        <w:t>机构开展</w:t>
      </w:r>
      <w:r>
        <w:rPr>
          <w:rFonts w:hint="eastAsia" w:ascii="Times New Roman" w:hAnsi="Times New Roman" w:eastAsia="方正仿宋_GBK" w:cs="Times New Roman"/>
          <w:color w:val="auto"/>
          <w:sz w:val="32"/>
          <w:szCs w:val="32"/>
          <w:lang w:val="en-US" w:eastAsia="zh-CN"/>
        </w:rPr>
        <w:t>《广东省高层建筑消防安全管理规定（草案）》</w:t>
      </w:r>
      <w:r>
        <w:rPr>
          <w:rFonts w:hint="default" w:ascii="Times New Roman" w:hAnsi="Times New Roman" w:eastAsia="方正仿宋_GBK" w:cs="Times New Roman"/>
          <w:color w:val="auto"/>
          <w:sz w:val="32"/>
          <w:szCs w:val="32"/>
          <w:lang w:eastAsia="zh-CN"/>
        </w:rPr>
        <w:t>社会稳定风险评估、宏观政策取向一致性评估和公平竞争审查三项评估</w:t>
      </w:r>
      <w:r>
        <w:rPr>
          <w:rFonts w:hint="eastAsia" w:ascii="Times New Roman" w:hAnsi="Times New Roman" w:eastAsia="方正仿宋_GBK" w:cs="Times New Roman"/>
          <w:color w:val="auto"/>
          <w:sz w:val="32"/>
          <w:szCs w:val="32"/>
          <w:lang w:eastAsia="zh-CN"/>
        </w:rPr>
        <w:t>。</w:t>
      </w:r>
    </w:p>
    <w:p w14:paraId="619887C8">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3" w:firstLineChars="200"/>
        <w:textAlignment w:val="auto"/>
        <w:rPr>
          <w:rFonts w:hint="default" w:ascii="方正楷体_GBK" w:hAnsi="方正楷体_GBK" w:eastAsia="方正楷体_GBK" w:cs="方正楷体_GBK"/>
          <w:color w:val="auto"/>
          <w:sz w:val="32"/>
          <w:szCs w:val="32"/>
          <w:lang w:eastAsia="zh-CN"/>
        </w:rPr>
      </w:pPr>
      <w:r>
        <w:rPr>
          <w:rFonts w:hint="default" w:ascii="方正楷体_GBK" w:hAnsi="方正楷体_GBK" w:eastAsia="方正楷体_GBK" w:cs="方正楷体_GBK"/>
          <w:color w:val="auto"/>
          <w:sz w:val="32"/>
          <w:szCs w:val="32"/>
          <w:lang w:eastAsia="zh-CN"/>
        </w:rPr>
        <w:t>（</w:t>
      </w:r>
      <w:r>
        <w:rPr>
          <w:rFonts w:hint="default" w:ascii="方正楷体_GBK" w:hAnsi="方正楷体_GBK" w:eastAsia="方正楷体_GBK" w:cs="方正楷体_GBK"/>
          <w:color w:val="auto"/>
          <w:sz w:val="32"/>
          <w:szCs w:val="32"/>
          <w:lang w:val="en-US" w:eastAsia="zh-CN"/>
        </w:rPr>
        <w:t>二</w:t>
      </w:r>
      <w:r>
        <w:rPr>
          <w:rFonts w:hint="default" w:ascii="方正楷体_GBK" w:hAnsi="方正楷体_GBK" w:eastAsia="方正楷体_GBK" w:cs="方正楷体_GBK"/>
          <w:color w:val="auto"/>
          <w:sz w:val="32"/>
          <w:szCs w:val="32"/>
          <w:lang w:eastAsia="zh-CN"/>
        </w:rPr>
        <w:t>）项目目标</w:t>
      </w:r>
    </w:p>
    <w:p w14:paraId="450FC71B">
      <w:pPr>
        <w:keepNext w:val="0"/>
        <w:keepLines w:val="0"/>
        <w:pageBreakBefore w:val="0"/>
        <w:widowControl w:val="0"/>
        <w:numPr>
          <w:ilvl w:val="0"/>
          <w:numId w:val="0"/>
        </w:numPr>
        <w:tabs>
          <w:tab w:val="left" w:pos="0"/>
          <w:tab w:val="left" w:pos="170"/>
          <w:tab w:val="left" w:pos="540"/>
        </w:tabs>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通过调查</w:t>
      </w:r>
      <w:r>
        <w:rPr>
          <w:rFonts w:hint="eastAsia" w:ascii="Times New Roman" w:hAnsi="Times New Roman" w:eastAsia="方正仿宋_GBK" w:cs="Times New Roman"/>
          <w:color w:val="auto"/>
          <w:sz w:val="32"/>
          <w:szCs w:val="32"/>
          <w:lang w:val="en-US" w:eastAsia="zh-CN"/>
        </w:rPr>
        <w:t>评估</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对</w:t>
      </w:r>
      <w:r>
        <w:rPr>
          <w:rFonts w:hint="default" w:ascii="Times New Roman" w:hAnsi="Times New Roman" w:eastAsia="方正仿宋_GBK" w:cs="Times New Roman"/>
          <w:color w:val="auto"/>
          <w:sz w:val="32"/>
          <w:szCs w:val="32"/>
          <w:lang w:val="en-US" w:eastAsia="zh-CN"/>
        </w:rPr>
        <w:t>《广东省高层建筑消防安全管理规定（草案）》</w:t>
      </w:r>
      <w:r>
        <w:rPr>
          <w:rFonts w:hint="eastAsia" w:ascii="Times New Roman" w:hAnsi="Times New Roman" w:eastAsia="方正仿宋_GBK" w:cs="Times New Roman"/>
          <w:color w:val="auto"/>
          <w:sz w:val="32"/>
          <w:szCs w:val="32"/>
          <w:lang w:val="en-US" w:eastAsia="zh-CN"/>
        </w:rPr>
        <w:t>内容的</w:t>
      </w:r>
      <w:r>
        <w:rPr>
          <w:rFonts w:hint="eastAsia" w:ascii="仿宋_GB2312" w:hAnsi="仿宋_GB2312" w:eastAsia="仿宋_GB2312" w:cs="仿宋_GB2312"/>
          <w:color w:val="auto"/>
          <w:sz w:val="32"/>
          <w:szCs w:val="32"/>
          <w:lang w:val="en-US" w:eastAsia="zh-CN"/>
        </w:rPr>
        <w:t>社会稳定风险、宏观政策取向一致性以及可能涉及公平竞争的情况进行评估，分析可能存在的风险，</w:t>
      </w:r>
      <w:r>
        <w:rPr>
          <w:rFonts w:hint="default" w:ascii="Times New Roman" w:hAnsi="Times New Roman" w:eastAsia="方正仿宋_GBK" w:cs="Times New Roman"/>
          <w:color w:val="auto"/>
          <w:sz w:val="32"/>
          <w:szCs w:val="32"/>
          <w:lang w:val="en-US" w:eastAsia="zh-CN"/>
        </w:rPr>
        <w:t>及时发现</w:t>
      </w:r>
      <w:r>
        <w:rPr>
          <w:rFonts w:hint="eastAsia" w:ascii="Times New Roman" w:hAnsi="Times New Roman" w:eastAsia="方正仿宋_GBK" w:cs="Times New Roman"/>
          <w:color w:val="auto"/>
          <w:sz w:val="32"/>
          <w:szCs w:val="32"/>
          <w:lang w:val="en-US" w:eastAsia="zh-CN"/>
        </w:rPr>
        <w:t>立法送审稿可能</w:t>
      </w:r>
      <w:r>
        <w:rPr>
          <w:rFonts w:hint="default" w:ascii="Times New Roman" w:hAnsi="Times New Roman" w:eastAsia="方正仿宋_GBK" w:cs="Times New Roman"/>
          <w:color w:val="auto"/>
          <w:sz w:val="32"/>
          <w:szCs w:val="32"/>
          <w:lang w:eastAsia="zh-CN"/>
        </w:rPr>
        <w:t>存在的问题，</w:t>
      </w:r>
      <w:r>
        <w:rPr>
          <w:rFonts w:hint="eastAsia" w:ascii="Times New Roman" w:hAnsi="Times New Roman" w:eastAsia="方正仿宋_GBK" w:cs="Times New Roman"/>
          <w:color w:val="auto"/>
          <w:sz w:val="32"/>
          <w:szCs w:val="32"/>
          <w:lang w:val="en-US" w:eastAsia="zh-CN"/>
        </w:rPr>
        <w:t>并提出完善建议</w:t>
      </w:r>
      <w:r>
        <w:rPr>
          <w:rFonts w:hint="default" w:ascii="Times New Roman" w:hAnsi="Times New Roman" w:eastAsia="方正仿宋_GBK" w:cs="Times New Roman"/>
          <w:color w:val="auto"/>
          <w:sz w:val="32"/>
          <w:szCs w:val="32"/>
          <w:lang w:eastAsia="zh-CN"/>
        </w:rPr>
        <w:t>。</w:t>
      </w:r>
    </w:p>
    <w:p w14:paraId="3F6E9E47">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三、</w:t>
      </w:r>
      <w:r>
        <w:rPr>
          <w:rFonts w:hint="eastAsia" w:ascii="方正黑体_GBK" w:hAnsi="方正黑体_GBK" w:eastAsia="方正黑体_GBK" w:cs="方正黑体_GBK"/>
          <w:color w:val="auto"/>
          <w:sz w:val="32"/>
          <w:szCs w:val="32"/>
        </w:rPr>
        <w:t>服务</w:t>
      </w:r>
      <w:bookmarkEnd w:id="4"/>
      <w:bookmarkEnd w:id="5"/>
      <w:r>
        <w:rPr>
          <w:rFonts w:hint="eastAsia" w:ascii="方正黑体_GBK" w:hAnsi="方正黑体_GBK" w:eastAsia="方正黑体_GBK" w:cs="方正黑体_GBK"/>
          <w:color w:val="auto"/>
          <w:sz w:val="32"/>
          <w:szCs w:val="32"/>
        </w:rPr>
        <w:t>内容</w:t>
      </w:r>
    </w:p>
    <w:p w14:paraId="2665F72E">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3"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评估</w:t>
      </w:r>
      <w:r>
        <w:rPr>
          <w:rFonts w:hint="eastAsia" w:ascii="方正楷体_GBK" w:hAnsi="方正楷体_GBK" w:eastAsia="方正楷体_GBK" w:cs="方正楷体_GBK"/>
          <w:color w:val="auto"/>
          <w:sz w:val="32"/>
          <w:szCs w:val="32"/>
          <w:lang w:eastAsia="zh-CN"/>
        </w:rPr>
        <w:t>对象</w:t>
      </w:r>
    </w:p>
    <w:p w14:paraId="04551E23">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《广东省高层建筑消防安全管理规定（草案）》</w:t>
      </w:r>
    </w:p>
    <w:p w14:paraId="06D0B092">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3" w:firstLineChars="200"/>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评估内容</w:t>
      </w:r>
    </w:p>
    <w:p w14:paraId="74B671BC">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社会稳定风险评估、宏观政策取向一致性评估和公平竞争审查三项评估。</w:t>
      </w:r>
    </w:p>
    <w:p w14:paraId="0F11314C">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3"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评估</w:t>
      </w:r>
      <w:r>
        <w:rPr>
          <w:rFonts w:hint="eastAsia" w:ascii="方正楷体_GBK" w:hAnsi="方正楷体_GBK" w:eastAsia="方正楷体_GBK" w:cs="方正楷体_GBK"/>
          <w:color w:val="auto"/>
          <w:sz w:val="32"/>
          <w:szCs w:val="32"/>
          <w:lang w:eastAsia="zh-CN"/>
        </w:rPr>
        <w:t>方式</w:t>
      </w:r>
    </w:p>
    <w:p w14:paraId="02829FFB">
      <w:pPr>
        <w:keepNext w:val="0"/>
        <w:keepLines w:val="0"/>
        <w:pageBreakBefore w:val="0"/>
        <w:widowControl w:val="0"/>
        <w:numPr>
          <w:ilvl w:val="0"/>
          <w:numId w:val="0"/>
        </w:numPr>
        <w:tabs>
          <w:tab w:val="left" w:pos="0"/>
          <w:tab w:val="left" w:pos="170"/>
          <w:tab w:val="left" w:pos="540"/>
        </w:tabs>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采用实地调查评估、电话调查评估和网络调查评估等方式进行，撰写完成评估报告。</w:t>
      </w:r>
    </w:p>
    <w:p w14:paraId="798F008E">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3"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五</w:t>
      </w:r>
      <w:r>
        <w:rPr>
          <w:rFonts w:hint="eastAsia" w:ascii="方正楷体_GBK" w:hAnsi="方正楷体_GBK" w:eastAsia="方正楷体_GBK" w:cs="方正楷体_GBK"/>
          <w:color w:val="auto"/>
          <w:sz w:val="32"/>
          <w:szCs w:val="32"/>
          <w:lang w:eastAsia="zh-CN"/>
        </w:rPr>
        <w:t>）服务时间</w:t>
      </w:r>
    </w:p>
    <w:p w14:paraId="69A4086F">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服务时间为采购合同签订生效之日起</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日内完成。</w:t>
      </w:r>
    </w:p>
    <w:p w14:paraId="0A302E71">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3"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（六）参评人条件要求</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8267"/>
      </w:tblGrid>
      <w:tr w14:paraId="099E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48" w:type="pct"/>
            <w:shd w:val="clear" w:color="000000" w:fill="D7D7D7"/>
            <w:noWrap w:val="0"/>
            <w:vAlign w:val="center"/>
          </w:tcPr>
          <w:p w14:paraId="6864D213">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4551" w:type="pct"/>
            <w:shd w:val="clear" w:color="000000" w:fill="D7D7D7"/>
            <w:noWrap w:val="0"/>
            <w:vAlign w:val="center"/>
          </w:tcPr>
          <w:p w14:paraId="59F59458">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具体条件要求</w:t>
            </w:r>
          </w:p>
        </w:tc>
      </w:tr>
      <w:tr w14:paraId="0504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48" w:type="pct"/>
            <w:shd w:val="clear" w:color="000000" w:fill="auto"/>
            <w:noWrap w:val="0"/>
            <w:vAlign w:val="center"/>
          </w:tcPr>
          <w:p w14:paraId="510C66CE">
            <w:pPr>
              <w:keepNext w:val="0"/>
              <w:keepLines w:val="0"/>
              <w:pageBreakBefore w:val="0"/>
              <w:widowControl/>
              <w:kinsoku/>
              <w:wordWrap/>
              <w:overflowPunct/>
              <w:topLinePunct w:val="0"/>
              <w:autoSpaceDE/>
              <w:autoSpaceDN/>
              <w:bidi w:val="0"/>
              <w:adjustRightInd/>
              <w:snapToGrid/>
              <w:spacing w:beforeAutospacing="0" w:afterAutospacing="0"/>
              <w:ind w:lef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4551" w:type="pct"/>
            <w:shd w:val="clear" w:color="000000" w:fill="auto"/>
            <w:noWrap w:val="0"/>
            <w:vAlign w:val="center"/>
          </w:tcPr>
          <w:p w14:paraId="5524EB1E">
            <w:pPr>
              <w:pStyle w:val="21"/>
              <w:keepNext w:val="0"/>
              <w:keepLines w:val="0"/>
              <w:pageBreakBefore w:val="0"/>
              <w:tabs>
                <w:tab w:val="left" w:pos="363"/>
              </w:tabs>
              <w:kinsoku/>
              <w:wordWrap/>
              <w:overflowPunct/>
              <w:topLinePunct w:val="0"/>
              <w:autoSpaceDE/>
              <w:autoSpaceDN/>
              <w:bidi w:val="0"/>
              <w:adjustRightInd/>
              <w:snapToGrid/>
              <w:spacing w:beforeAutospacing="0" w:afterAutospacing="0"/>
              <w:ind w:lef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在中国境内注册的独立法人或非法人组织（独立法人提供营业执照扫描件/非法人组织则提供相应证照扫描件）。</w:t>
            </w:r>
          </w:p>
        </w:tc>
      </w:tr>
      <w:tr w14:paraId="1C8D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shd w:val="clear" w:color="000000" w:fill="auto"/>
            <w:noWrap w:val="0"/>
            <w:vAlign w:val="center"/>
          </w:tcPr>
          <w:p w14:paraId="4AB50529">
            <w:pPr>
              <w:keepNext w:val="0"/>
              <w:keepLines w:val="0"/>
              <w:pageBreakBefore w:val="0"/>
              <w:widowControl/>
              <w:kinsoku/>
              <w:wordWrap/>
              <w:overflowPunct/>
              <w:topLinePunct w:val="0"/>
              <w:autoSpaceDE/>
              <w:autoSpaceDN/>
              <w:bidi w:val="0"/>
              <w:adjustRightInd/>
              <w:snapToGrid/>
              <w:spacing w:beforeAutospacing="0" w:afterAutospacing="0"/>
              <w:ind w:lef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4551" w:type="pct"/>
            <w:shd w:val="clear" w:color="000000" w:fill="auto"/>
            <w:noWrap w:val="0"/>
            <w:vAlign w:val="center"/>
          </w:tcPr>
          <w:p w14:paraId="774FCF07">
            <w:pPr>
              <w:pStyle w:val="21"/>
              <w:keepNext w:val="0"/>
              <w:keepLines w:val="0"/>
              <w:pageBreakBefore w:val="0"/>
              <w:tabs>
                <w:tab w:val="left" w:pos="363"/>
              </w:tabs>
              <w:kinsoku/>
              <w:wordWrap/>
              <w:overflowPunct/>
              <w:topLinePunct w:val="0"/>
              <w:autoSpaceDE/>
              <w:autoSpaceDN/>
              <w:bidi w:val="0"/>
              <w:adjustRightInd/>
              <w:snapToGrid/>
              <w:spacing w:beforeAutospacing="0" w:afterAutospacing="0"/>
              <w:ind w:lef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参评人须符合财政部关于诚信管理的要求，通过“信用中国”（www.creditchina.gov.cn）官网进行信用信息查询。</w:t>
            </w:r>
          </w:p>
        </w:tc>
      </w:tr>
      <w:tr w14:paraId="6489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shd w:val="clear" w:color="000000" w:fill="auto"/>
            <w:noWrap w:val="0"/>
            <w:vAlign w:val="center"/>
          </w:tcPr>
          <w:p w14:paraId="532B128E">
            <w:pPr>
              <w:keepNext w:val="0"/>
              <w:keepLines w:val="0"/>
              <w:pageBreakBefore w:val="0"/>
              <w:widowControl/>
              <w:kinsoku/>
              <w:wordWrap/>
              <w:overflowPunct/>
              <w:topLinePunct w:val="0"/>
              <w:autoSpaceDE/>
              <w:autoSpaceDN/>
              <w:bidi w:val="0"/>
              <w:adjustRightInd/>
              <w:snapToGrid/>
              <w:spacing w:beforeAutospacing="0" w:afterAutospacing="0"/>
              <w:ind w:lef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4551" w:type="pct"/>
            <w:shd w:val="clear" w:color="000000" w:fill="auto"/>
            <w:noWrap w:val="0"/>
            <w:vAlign w:val="center"/>
          </w:tcPr>
          <w:p w14:paraId="10E569B5">
            <w:pPr>
              <w:pStyle w:val="21"/>
              <w:keepNext w:val="0"/>
              <w:keepLines w:val="0"/>
              <w:pageBreakBefore w:val="0"/>
              <w:tabs>
                <w:tab w:val="left" w:pos="363"/>
              </w:tabs>
              <w:kinsoku/>
              <w:wordWrap/>
              <w:overflowPunct/>
              <w:topLinePunct w:val="0"/>
              <w:autoSpaceDE/>
              <w:autoSpaceDN/>
              <w:bidi w:val="0"/>
              <w:adjustRightInd/>
              <w:snapToGrid/>
              <w:spacing w:beforeAutospacing="0" w:afterAutospacing="0"/>
              <w:ind w:lef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参评人近三年（以遴选截止日期为准）在政府采购中心无履约评价为差的记录。</w:t>
            </w:r>
          </w:p>
        </w:tc>
      </w:tr>
      <w:tr w14:paraId="5D3F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48" w:type="pct"/>
            <w:shd w:val="clear" w:color="000000" w:fill="auto"/>
            <w:noWrap w:val="0"/>
            <w:vAlign w:val="center"/>
          </w:tcPr>
          <w:p w14:paraId="7F019637">
            <w:pPr>
              <w:keepNext w:val="0"/>
              <w:keepLines w:val="0"/>
              <w:pageBreakBefore w:val="0"/>
              <w:widowControl/>
              <w:kinsoku/>
              <w:wordWrap/>
              <w:overflowPunct/>
              <w:topLinePunct w:val="0"/>
              <w:autoSpaceDE/>
              <w:autoSpaceDN/>
              <w:bidi w:val="0"/>
              <w:adjustRightInd/>
              <w:snapToGrid/>
              <w:spacing w:beforeAutospacing="0" w:afterAutospacing="0"/>
              <w:ind w:lef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4551" w:type="pct"/>
            <w:shd w:val="clear" w:color="000000" w:fill="auto"/>
            <w:noWrap w:val="0"/>
            <w:vAlign w:val="center"/>
          </w:tcPr>
          <w:p w14:paraId="7D11D7BB">
            <w:pPr>
              <w:pStyle w:val="21"/>
              <w:keepNext w:val="0"/>
              <w:keepLines w:val="0"/>
              <w:pageBreakBefore w:val="0"/>
              <w:tabs>
                <w:tab w:val="left" w:pos="363"/>
              </w:tabs>
              <w:kinsoku/>
              <w:wordWrap/>
              <w:overflowPunct/>
              <w:topLinePunct w:val="0"/>
              <w:autoSpaceDE/>
              <w:autoSpaceDN/>
              <w:bidi w:val="0"/>
              <w:adjustRightInd/>
              <w:snapToGrid/>
              <w:spacing w:beforeAutospacing="0" w:afterAutospacing="0"/>
              <w:ind w:lef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参评人承担本项目的各项税费，应就服务费提供等额增值税发票。</w:t>
            </w:r>
          </w:p>
        </w:tc>
      </w:tr>
      <w:tr w14:paraId="4594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448" w:type="pct"/>
            <w:shd w:val="clear" w:color="000000" w:fill="auto"/>
            <w:noWrap w:val="0"/>
            <w:vAlign w:val="center"/>
          </w:tcPr>
          <w:p w14:paraId="73A5B3EF">
            <w:pPr>
              <w:keepNext w:val="0"/>
              <w:keepLines w:val="0"/>
              <w:pageBreakBefore w:val="0"/>
              <w:widowControl/>
              <w:kinsoku/>
              <w:wordWrap/>
              <w:overflowPunct/>
              <w:topLinePunct w:val="0"/>
              <w:autoSpaceDE/>
              <w:autoSpaceDN/>
              <w:bidi w:val="0"/>
              <w:adjustRightInd/>
              <w:snapToGrid/>
              <w:spacing w:beforeAutospacing="0" w:afterAutospacing="0"/>
              <w:ind w:lef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4551" w:type="pct"/>
            <w:shd w:val="clear" w:color="000000" w:fill="auto"/>
            <w:noWrap w:val="0"/>
            <w:vAlign w:val="center"/>
          </w:tcPr>
          <w:p w14:paraId="3D1C0D1F">
            <w:pPr>
              <w:pStyle w:val="21"/>
              <w:keepNext w:val="0"/>
              <w:keepLines w:val="0"/>
              <w:pageBreakBefore w:val="0"/>
              <w:tabs>
                <w:tab w:val="left" w:pos="363"/>
              </w:tabs>
              <w:kinsoku/>
              <w:wordWrap/>
              <w:overflowPunct/>
              <w:topLinePunct w:val="0"/>
              <w:autoSpaceDE/>
              <w:autoSpaceDN/>
              <w:bidi w:val="0"/>
              <w:adjustRightInd/>
              <w:snapToGrid/>
              <w:spacing w:beforeAutospacing="0" w:afterAutospacing="0"/>
              <w:ind w:lef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参评人的报价明显低于其他通过符合性审查投标人的报价，有可能影响产品质量或者不能诚信履约的，参评人要在合理的时间内提供书面说明，或提交相关证明材料，参评人能证明其报价合理性的。</w:t>
            </w:r>
          </w:p>
        </w:tc>
      </w:tr>
    </w:tbl>
    <w:p w14:paraId="36F1D4D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auto"/>
          <w:spacing w:val="0"/>
          <w:w w:val="100"/>
          <w:sz w:val="44"/>
          <w:szCs w:val="44"/>
        </w:rPr>
      </w:pPr>
      <w:r>
        <w:rPr>
          <w:rFonts w:hint="eastAsia" w:ascii="方正小标宋_GBK" w:hAnsi="方正小标宋_GBK" w:eastAsia="方正小标宋_GBK" w:cs="方正小标宋_GBK"/>
          <w:b w:val="0"/>
          <w:bCs w:val="0"/>
          <w:color w:val="auto"/>
          <w:spacing w:val="0"/>
          <w:w w:val="100"/>
          <w:sz w:val="44"/>
          <w:szCs w:val="44"/>
        </w:rPr>
        <w:br w:type="page"/>
      </w:r>
      <w:r>
        <w:rPr>
          <w:rFonts w:hint="eastAsia" w:ascii="方正小标宋_GBK" w:hAnsi="方正小标宋_GBK" w:eastAsia="方正小标宋_GBK" w:cs="方正小标宋_GBK"/>
          <w:b w:val="0"/>
          <w:bCs w:val="0"/>
          <w:color w:val="auto"/>
          <w:spacing w:val="0"/>
          <w:w w:val="100"/>
          <w:sz w:val="44"/>
          <w:szCs w:val="44"/>
        </w:rPr>
        <w:t>第三章  评审办法</w:t>
      </w:r>
    </w:p>
    <w:p w14:paraId="5CBA4D2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color w:val="auto"/>
          <w:sz w:val="32"/>
          <w:szCs w:val="32"/>
        </w:rPr>
      </w:pPr>
    </w:p>
    <w:p w14:paraId="2C0FB91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一、评审与定评</w:t>
      </w:r>
    </w:p>
    <w:p w14:paraId="6EF3CAF0">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一</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当通过资格、符合性审查的</w:t>
      </w:r>
      <w:r>
        <w:rPr>
          <w:rFonts w:hint="default" w:ascii="Times New Roman" w:hAnsi="Times New Roman" w:eastAsia="方正仿宋_GBK" w:cs="Times New Roman"/>
          <w:color w:val="auto"/>
          <w:kern w:val="28"/>
          <w:sz w:val="32"/>
          <w:szCs w:val="32"/>
        </w:rPr>
        <w:t>参评</w:t>
      </w:r>
      <w:r>
        <w:rPr>
          <w:rFonts w:hint="default" w:ascii="Times New Roman" w:hAnsi="Times New Roman" w:eastAsia="方正仿宋_GBK" w:cs="Times New Roman"/>
          <w:color w:val="auto"/>
          <w:kern w:val="0"/>
          <w:sz w:val="32"/>
          <w:szCs w:val="32"/>
        </w:rPr>
        <w:t>人不少于三家时，按照评审程序的规定和依据评分标准、计算方法，各评委单独封闭对每个</w:t>
      </w:r>
      <w:r>
        <w:rPr>
          <w:rFonts w:hint="default" w:ascii="Times New Roman" w:hAnsi="Times New Roman" w:eastAsia="方正仿宋_GBK" w:cs="Times New Roman"/>
          <w:color w:val="auto"/>
          <w:kern w:val="28"/>
          <w:sz w:val="32"/>
          <w:szCs w:val="32"/>
        </w:rPr>
        <w:t>参评</w:t>
      </w:r>
      <w:r>
        <w:rPr>
          <w:rFonts w:hint="default" w:ascii="Times New Roman" w:hAnsi="Times New Roman" w:eastAsia="方正仿宋_GBK" w:cs="Times New Roman"/>
          <w:color w:val="auto"/>
          <w:kern w:val="0"/>
          <w:sz w:val="32"/>
          <w:szCs w:val="32"/>
        </w:rPr>
        <w:t>人进行评审和比较。</w:t>
      </w:r>
    </w:p>
    <w:p w14:paraId="0631EAA5">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二</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成交人资格的确定，由评审小组推荐，并由采购人确认。</w:t>
      </w:r>
    </w:p>
    <w:p w14:paraId="47A94E98">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三</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比较与评价。评审小组</w:t>
      </w:r>
      <w:r>
        <w:rPr>
          <w:rFonts w:hint="default" w:ascii="Times New Roman" w:hAnsi="Times New Roman" w:eastAsia="方正仿宋_GBK" w:cs="Times New Roman"/>
          <w:color w:val="auto"/>
          <w:sz w:val="32"/>
          <w:szCs w:val="32"/>
        </w:rPr>
        <w:t>按遴选文件中规定的评审方法和标准，对资格审查和符合性审查合格的</w:t>
      </w:r>
      <w:r>
        <w:rPr>
          <w:rFonts w:hint="default" w:ascii="Times New Roman" w:hAnsi="Times New Roman" w:eastAsia="方正仿宋_GBK" w:cs="Times New Roman"/>
          <w:color w:val="auto"/>
          <w:kern w:val="28"/>
          <w:sz w:val="32"/>
          <w:szCs w:val="32"/>
        </w:rPr>
        <w:t>参评</w:t>
      </w:r>
      <w:r>
        <w:rPr>
          <w:rFonts w:hint="default" w:ascii="Times New Roman" w:hAnsi="Times New Roman" w:eastAsia="方正仿宋_GBK" w:cs="Times New Roman"/>
          <w:color w:val="auto"/>
          <w:sz w:val="32"/>
          <w:szCs w:val="32"/>
        </w:rPr>
        <w:t>文件进行商务和技术评估，综合比较与评价。技术、商务、价格部分分值分配如下</w:t>
      </w:r>
      <w:r>
        <w:rPr>
          <w:rFonts w:hint="default" w:ascii="Times New Roman" w:hAnsi="Times New Roman" w:eastAsia="方正仿宋_GBK" w:cs="Times New Roman"/>
          <w:color w:val="auto"/>
          <w:kern w:val="0"/>
          <w:sz w:val="32"/>
          <w:szCs w:val="32"/>
        </w:rPr>
        <w:t>：</w:t>
      </w:r>
    </w:p>
    <w:tbl>
      <w:tblPr>
        <w:tblStyle w:val="16"/>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985"/>
        <w:gridCol w:w="1895"/>
        <w:gridCol w:w="1912"/>
        <w:gridCol w:w="1625"/>
      </w:tblGrid>
      <w:tr w14:paraId="6C8C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72" w:type="dxa"/>
            <w:shd w:val="clear" w:color="auto" w:fill="EAEAEA"/>
            <w:noWrap w:val="0"/>
            <w:vAlign w:val="center"/>
          </w:tcPr>
          <w:p w14:paraId="25BA9FDA">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ascii="宋体" w:hAnsi="宋体" w:cs="宋体"/>
                <w:b/>
                <w:color w:val="auto"/>
                <w:kern w:val="0"/>
                <w:sz w:val="21"/>
                <w:szCs w:val="21"/>
              </w:rPr>
            </w:pPr>
            <w:r>
              <w:rPr>
                <w:rFonts w:hint="eastAsia" w:ascii="宋体" w:hAnsi="宋体" w:cs="宋体"/>
                <w:b/>
                <w:color w:val="auto"/>
                <w:kern w:val="0"/>
                <w:sz w:val="21"/>
                <w:szCs w:val="21"/>
              </w:rPr>
              <w:t>评分项目</w:t>
            </w:r>
          </w:p>
        </w:tc>
        <w:tc>
          <w:tcPr>
            <w:tcW w:w="1985" w:type="dxa"/>
            <w:shd w:val="clear" w:color="auto" w:fill="EAEAEA"/>
            <w:noWrap w:val="0"/>
            <w:vAlign w:val="center"/>
          </w:tcPr>
          <w:p w14:paraId="3012CB18">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ascii="宋体" w:hAnsi="宋体" w:cs="宋体"/>
                <w:b/>
                <w:color w:val="auto"/>
                <w:kern w:val="0"/>
                <w:sz w:val="21"/>
                <w:szCs w:val="21"/>
              </w:rPr>
            </w:pPr>
            <w:r>
              <w:rPr>
                <w:rFonts w:hint="eastAsia" w:ascii="宋体" w:hAnsi="宋体" w:cs="宋体"/>
                <w:b/>
                <w:color w:val="auto"/>
                <w:kern w:val="0"/>
                <w:sz w:val="21"/>
                <w:szCs w:val="21"/>
              </w:rPr>
              <w:t>技术评分</w:t>
            </w:r>
          </w:p>
        </w:tc>
        <w:tc>
          <w:tcPr>
            <w:tcW w:w="1895" w:type="dxa"/>
            <w:shd w:val="clear" w:color="auto" w:fill="EAEAEA"/>
            <w:noWrap w:val="0"/>
            <w:vAlign w:val="center"/>
          </w:tcPr>
          <w:p w14:paraId="694CA2E8">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ascii="宋体" w:hAnsi="宋体" w:cs="宋体"/>
                <w:b/>
                <w:color w:val="auto"/>
                <w:kern w:val="0"/>
                <w:sz w:val="21"/>
                <w:szCs w:val="21"/>
              </w:rPr>
            </w:pPr>
            <w:r>
              <w:rPr>
                <w:rFonts w:hint="eastAsia" w:ascii="宋体" w:hAnsi="宋体" w:cs="宋体"/>
                <w:b/>
                <w:color w:val="auto"/>
                <w:kern w:val="0"/>
                <w:sz w:val="21"/>
                <w:szCs w:val="21"/>
              </w:rPr>
              <w:t>商务评分</w:t>
            </w:r>
          </w:p>
        </w:tc>
        <w:tc>
          <w:tcPr>
            <w:tcW w:w="1912" w:type="dxa"/>
            <w:shd w:val="clear" w:color="auto" w:fill="EAEAEA"/>
            <w:noWrap w:val="0"/>
            <w:vAlign w:val="center"/>
          </w:tcPr>
          <w:p w14:paraId="4A9A0439">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ascii="宋体" w:hAnsi="宋体" w:cs="宋体"/>
                <w:b/>
                <w:color w:val="auto"/>
                <w:kern w:val="0"/>
                <w:sz w:val="21"/>
                <w:szCs w:val="21"/>
              </w:rPr>
            </w:pPr>
            <w:r>
              <w:rPr>
                <w:rFonts w:hint="eastAsia" w:ascii="宋体" w:hAnsi="宋体" w:cs="宋体"/>
                <w:b/>
                <w:color w:val="auto"/>
                <w:kern w:val="0"/>
                <w:sz w:val="21"/>
                <w:szCs w:val="21"/>
              </w:rPr>
              <w:t>价格评分</w:t>
            </w:r>
          </w:p>
        </w:tc>
        <w:tc>
          <w:tcPr>
            <w:tcW w:w="1625" w:type="dxa"/>
            <w:shd w:val="clear" w:color="auto" w:fill="EAEAEA"/>
            <w:noWrap w:val="0"/>
            <w:vAlign w:val="center"/>
          </w:tcPr>
          <w:p w14:paraId="160F5F04">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ascii="宋体" w:hAnsi="宋体" w:cs="宋体"/>
                <w:b/>
                <w:color w:val="auto"/>
                <w:kern w:val="0"/>
                <w:sz w:val="21"/>
                <w:szCs w:val="21"/>
              </w:rPr>
            </w:pPr>
            <w:r>
              <w:rPr>
                <w:rFonts w:hint="eastAsia" w:ascii="宋体" w:hAnsi="宋体" w:cs="宋体"/>
                <w:b/>
                <w:color w:val="auto"/>
                <w:kern w:val="0"/>
                <w:sz w:val="21"/>
                <w:szCs w:val="21"/>
              </w:rPr>
              <w:t>合计</w:t>
            </w:r>
          </w:p>
        </w:tc>
      </w:tr>
      <w:tr w14:paraId="75A0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72" w:type="dxa"/>
            <w:noWrap w:val="0"/>
            <w:vAlign w:val="center"/>
          </w:tcPr>
          <w:p w14:paraId="52300834">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ascii="宋体" w:hAnsi="宋体" w:cs="宋体"/>
                <w:b/>
                <w:color w:val="auto"/>
                <w:kern w:val="0"/>
                <w:sz w:val="21"/>
                <w:szCs w:val="21"/>
              </w:rPr>
            </w:pPr>
            <w:r>
              <w:rPr>
                <w:rFonts w:hint="eastAsia" w:ascii="宋体" w:hAnsi="宋体" w:cs="宋体"/>
                <w:b/>
                <w:color w:val="auto"/>
                <w:kern w:val="0"/>
                <w:sz w:val="21"/>
                <w:szCs w:val="21"/>
              </w:rPr>
              <w:t>分值</w:t>
            </w:r>
          </w:p>
        </w:tc>
        <w:tc>
          <w:tcPr>
            <w:tcW w:w="1985" w:type="dxa"/>
            <w:noWrap w:val="0"/>
            <w:vAlign w:val="center"/>
          </w:tcPr>
          <w:p w14:paraId="0FA2CD85">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lang w:val="en-US" w:eastAsia="zh-CN"/>
              </w:rPr>
              <w:t>4</w:t>
            </w:r>
            <w:r>
              <w:rPr>
                <w:rFonts w:hint="eastAsia" w:ascii="宋体" w:hAnsi="宋体" w:cs="宋体"/>
                <w:color w:val="auto"/>
                <w:kern w:val="0"/>
                <w:sz w:val="21"/>
                <w:szCs w:val="21"/>
              </w:rPr>
              <w:t>0分</w:t>
            </w:r>
          </w:p>
        </w:tc>
        <w:tc>
          <w:tcPr>
            <w:tcW w:w="1895" w:type="dxa"/>
            <w:noWrap w:val="0"/>
            <w:vAlign w:val="center"/>
          </w:tcPr>
          <w:p w14:paraId="56D42938">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lang w:val="en-US" w:eastAsia="zh-CN"/>
              </w:rPr>
              <w:t>30</w:t>
            </w:r>
            <w:r>
              <w:rPr>
                <w:rFonts w:hint="eastAsia" w:ascii="宋体" w:hAnsi="宋体" w:cs="宋体"/>
                <w:color w:val="auto"/>
                <w:kern w:val="0"/>
                <w:sz w:val="21"/>
                <w:szCs w:val="21"/>
              </w:rPr>
              <w:t>分</w:t>
            </w:r>
          </w:p>
        </w:tc>
        <w:tc>
          <w:tcPr>
            <w:tcW w:w="1912" w:type="dxa"/>
            <w:noWrap w:val="0"/>
            <w:vAlign w:val="center"/>
          </w:tcPr>
          <w:p w14:paraId="12876D25">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lang w:val="en-US" w:eastAsia="zh-CN"/>
              </w:rPr>
              <w:t>30</w:t>
            </w:r>
            <w:r>
              <w:rPr>
                <w:rFonts w:hint="eastAsia" w:ascii="宋体" w:hAnsi="宋体" w:cs="宋体"/>
                <w:color w:val="auto"/>
                <w:kern w:val="0"/>
                <w:sz w:val="21"/>
                <w:szCs w:val="21"/>
              </w:rPr>
              <w:t>分</w:t>
            </w:r>
          </w:p>
        </w:tc>
        <w:tc>
          <w:tcPr>
            <w:tcW w:w="1625" w:type="dxa"/>
            <w:noWrap w:val="0"/>
            <w:vAlign w:val="center"/>
          </w:tcPr>
          <w:p w14:paraId="3298705D">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100分</w:t>
            </w:r>
          </w:p>
        </w:tc>
      </w:tr>
      <w:tr w14:paraId="57AC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72" w:type="dxa"/>
            <w:noWrap w:val="0"/>
            <w:vAlign w:val="center"/>
          </w:tcPr>
          <w:p w14:paraId="099E58DC">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ascii="宋体" w:hAnsi="宋体" w:cs="宋体"/>
                <w:b/>
                <w:color w:val="auto"/>
                <w:kern w:val="0"/>
                <w:sz w:val="21"/>
                <w:szCs w:val="21"/>
              </w:rPr>
            </w:pPr>
            <w:r>
              <w:rPr>
                <w:rFonts w:hint="eastAsia" w:ascii="宋体" w:hAnsi="宋体" w:cs="宋体"/>
                <w:b/>
                <w:color w:val="auto"/>
                <w:kern w:val="0"/>
                <w:sz w:val="21"/>
                <w:szCs w:val="21"/>
              </w:rPr>
              <w:t>权重</w:t>
            </w:r>
          </w:p>
        </w:tc>
        <w:tc>
          <w:tcPr>
            <w:tcW w:w="1985" w:type="dxa"/>
            <w:noWrap w:val="0"/>
            <w:vAlign w:val="center"/>
          </w:tcPr>
          <w:p w14:paraId="2FAD8493">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lang w:val="en-US" w:eastAsia="zh-CN"/>
              </w:rPr>
              <w:t>4</w:t>
            </w:r>
            <w:r>
              <w:rPr>
                <w:rFonts w:hint="eastAsia" w:ascii="宋体" w:hAnsi="宋体" w:cs="宋体"/>
                <w:color w:val="auto"/>
                <w:kern w:val="0"/>
                <w:sz w:val="21"/>
                <w:szCs w:val="21"/>
              </w:rPr>
              <w:t>0%</w:t>
            </w:r>
          </w:p>
        </w:tc>
        <w:tc>
          <w:tcPr>
            <w:tcW w:w="1895" w:type="dxa"/>
            <w:noWrap w:val="0"/>
            <w:vAlign w:val="center"/>
          </w:tcPr>
          <w:p w14:paraId="15F22CC8">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lang w:val="en-US" w:eastAsia="zh-CN"/>
              </w:rPr>
              <w:t>30</w:t>
            </w:r>
            <w:r>
              <w:rPr>
                <w:rFonts w:hint="eastAsia" w:ascii="宋体" w:hAnsi="宋体" w:cs="宋体"/>
                <w:color w:val="auto"/>
                <w:kern w:val="0"/>
                <w:sz w:val="21"/>
                <w:szCs w:val="21"/>
              </w:rPr>
              <w:t>%</w:t>
            </w:r>
          </w:p>
        </w:tc>
        <w:tc>
          <w:tcPr>
            <w:tcW w:w="1912" w:type="dxa"/>
            <w:noWrap w:val="0"/>
            <w:vAlign w:val="center"/>
          </w:tcPr>
          <w:p w14:paraId="40840D43">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lang w:val="en-US" w:eastAsia="zh-CN"/>
              </w:rPr>
              <w:t>30</w:t>
            </w:r>
            <w:r>
              <w:rPr>
                <w:rFonts w:hint="eastAsia" w:ascii="宋体" w:hAnsi="宋体" w:cs="宋体"/>
                <w:color w:val="auto"/>
                <w:kern w:val="0"/>
                <w:sz w:val="21"/>
                <w:szCs w:val="21"/>
              </w:rPr>
              <w:t>%</w:t>
            </w:r>
          </w:p>
        </w:tc>
        <w:tc>
          <w:tcPr>
            <w:tcW w:w="1625" w:type="dxa"/>
            <w:noWrap w:val="0"/>
            <w:vAlign w:val="center"/>
          </w:tcPr>
          <w:p w14:paraId="7DECE118">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ascii="宋体" w:hAnsi="宋体" w:cs="宋体"/>
                <w:color w:val="auto"/>
                <w:kern w:val="0"/>
                <w:sz w:val="21"/>
                <w:szCs w:val="21"/>
              </w:rPr>
            </w:pPr>
            <w:bookmarkStart w:id="6" w:name="_Toc225564544"/>
            <w:bookmarkStart w:id="7" w:name="_Toc215655096"/>
            <w:r>
              <w:rPr>
                <w:rFonts w:hint="eastAsia" w:ascii="宋体" w:hAnsi="宋体" w:cs="宋体"/>
                <w:color w:val="auto"/>
                <w:kern w:val="0"/>
                <w:sz w:val="21"/>
                <w:szCs w:val="21"/>
              </w:rPr>
              <w:t>100</w:t>
            </w:r>
            <w:bookmarkEnd w:id="6"/>
            <w:bookmarkEnd w:id="7"/>
            <w:r>
              <w:rPr>
                <w:rFonts w:hint="eastAsia" w:ascii="宋体" w:hAnsi="宋体" w:cs="宋体"/>
                <w:color w:val="auto"/>
                <w:kern w:val="0"/>
                <w:sz w:val="21"/>
                <w:szCs w:val="21"/>
              </w:rPr>
              <w:t>%</w:t>
            </w:r>
          </w:p>
        </w:tc>
      </w:tr>
    </w:tbl>
    <w:p w14:paraId="1E3E154D">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四</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技术评分</w:t>
      </w:r>
    </w:p>
    <w:p w14:paraId="1F08B144">
      <w:pPr>
        <w:keepNext w:val="0"/>
        <w:keepLines w:val="0"/>
        <w:pageBreakBefore w:val="0"/>
        <w:widowControl/>
        <w:numPr>
          <w:ilvl w:val="0"/>
          <w:numId w:val="2"/>
        </w:numPr>
        <w:tabs>
          <w:tab w:val="left" w:pos="720"/>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由评审小组对所有</w:t>
      </w:r>
      <w:r>
        <w:rPr>
          <w:rFonts w:hint="default" w:ascii="Times New Roman" w:hAnsi="Times New Roman" w:eastAsia="方正仿宋_GBK" w:cs="Times New Roman"/>
          <w:color w:val="auto"/>
          <w:kern w:val="28"/>
          <w:sz w:val="32"/>
          <w:szCs w:val="32"/>
        </w:rPr>
        <w:t>参评</w:t>
      </w:r>
      <w:r>
        <w:rPr>
          <w:rFonts w:hint="default" w:ascii="Times New Roman" w:hAnsi="Times New Roman" w:eastAsia="方正仿宋_GBK" w:cs="Times New Roman"/>
          <w:color w:val="auto"/>
          <w:kern w:val="0"/>
          <w:sz w:val="32"/>
          <w:szCs w:val="32"/>
        </w:rPr>
        <w:t>文件的技术部分的响应进行审核和分析；</w:t>
      </w:r>
    </w:p>
    <w:p w14:paraId="7CC41747">
      <w:pPr>
        <w:keepNext w:val="0"/>
        <w:keepLines w:val="0"/>
        <w:pageBreakBefore w:val="0"/>
        <w:widowControl/>
        <w:numPr>
          <w:ilvl w:val="0"/>
          <w:numId w:val="2"/>
        </w:numPr>
        <w:tabs>
          <w:tab w:val="left" w:pos="720"/>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评委独立进行评分，填写“技术评分表”；</w:t>
      </w:r>
    </w:p>
    <w:p w14:paraId="16FA8D1A">
      <w:pPr>
        <w:keepNext w:val="0"/>
        <w:keepLines w:val="0"/>
        <w:pageBreakBefore w:val="0"/>
        <w:widowControl/>
        <w:numPr>
          <w:ilvl w:val="0"/>
          <w:numId w:val="2"/>
        </w:numPr>
        <w:tabs>
          <w:tab w:val="left" w:pos="720"/>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评分标准：按“技术评分表”中的分值进行评分；</w:t>
      </w:r>
    </w:p>
    <w:p w14:paraId="6110CBB3">
      <w:pPr>
        <w:keepNext w:val="0"/>
        <w:keepLines w:val="0"/>
        <w:pageBreakBefore w:val="0"/>
        <w:widowControl/>
        <w:numPr>
          <w:ilvl w:val="0"/>
          <w:numId w:val="2"/>
        </w:numPr>
        <w:tabs>
          <w:tab w:val="left" w:pos="720"/>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将每一个评委的评分汇集，取算术平均值（精确到小数点后两位）为该</w:t>
      </w:r>
      <w:r>
        <w:rPr>
          <w:rFonts w:hint="default" w:ascii="Times New Roman" w:hAnsi="Times New Roman" w:eastAsia="方正仿宋_GBK" w:cs="Times New Roman"/>
          <w:color w:val="auto"/>
          <w:kern w:val="28"/>
          <w:sz w:val="32"/>
          <w:szCs w:val="32"/>
        </w:rPr>
        <w:t>参评</w:t>
      </w:r>
      <w:r>
        <w:rPr>
          <w:rFonts w:hint="default" w:ascii="Times New Roman" w:hAnsi="Times New Roman" w:eastAsia="方正仿宋_GBK" w:cs="Times New Roman"/>
          <w:color w:val="auto"/>
          <w:kern w:val="0"/>
          <w:sz w:val="32"/>
          <w:szCs w:val="32"/>
        </w:rPr>
        <w:t>人的技术得分。</w:t>
      </w:r>
    </w:p>
    <w:p w14:paraId="79286FA4">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五</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商务评分</w:t>
      </w:r>
    </w:p>
    <w:p w14:paraId="15BDC5E5">
      <w:pPr>
        <w:keepNext w:val="0"/>
        <w:keepLines w:val="0"/>
        <w:pageBreakBefore w:val="0"/>
        <w:widowControl/>
        <w:numPr>
          <w:ilvl w:val="0"/>
          <w:numId w:val="3"/>
        </w:numPr>
        <w:tabs>
          <w:tab w:val="left" w:pos="720"/>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由评审小组对所有参评文件的商务部分的响应进行审核和分析；</w:t>
      </w:r>
    </w:p>
    <w:p w14:paraId="546D8236">
      <w:pPr>
        <w:keepNext w:val="0"/>
        <w:keepLines w:val="0"/>
        <w:pageBreakBefore w:val="0"/>
        <w:widowControl/>
        <w:numPr>
          <w:ilvl w:val="0"/>
          <w:numId w:val="3"/>
        </w:numPr>
        <w:tabs>
          <w:tab w:val="left" w:pos="720"/>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评委独立进行评分，填写“商务评分表”；</w:t>
      </w:r>
    </w:p>
    <w:p w14:paraId="5627151C">
      <w:pPr>
        <w:keepNext w:val="0"/>
        <w:keepLines w:val="0"/>
        <w:pageBreakBefore w:val="0"/>
        <w:widowControl/>
        <w:numPr>
          <w:ilvl w:val="0"/>
          <w:numId w:val="3"/>
        </w:numPr>
        <w:tabs>
          <w:tab w:val="left" w:pos="720"/>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评分标准：按“商务评分表”中的分值进行评分；</w:t>
      </w:r>
    </w:p>
    <w:p w14:paraId="58C9C3F5">
      <w:pPr>
        <w:keepNext w:val="0"/>
        <w:keepLines w:val="0"/>
        <w:pageBreakBefore w:val="0"/>
        <w:widowControl/>
        <w:numPr>
          <w:ilvl w:val="0"/>
          <w:numId w:val="3"/>
        </w:numPr>
        <w:tabs>
          <w:tab w:val="left" w:pos="720"/>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将每一个评委的评分汇集，取算术平均值（精确到小数点后两位）为该参评人的商务得分。</w:t>
      </w:r>
    </w:p>
    <w:p w14:paraId="0E0232A6">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六</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价格评分</w:t>
      </w:r>
    </w:p>
    <w:p w14:paraId="43D7B061">
      <w:pPr>
        <w:keepNext w:val="0"/>
        <w:keepLines w:val="0"/>
        <w:pageBreakBefore w:val="0"/>
        <w:widowControl/>
        <w:numPr>
          <w:ilvl w:val="0"/>
          <w:numId w:val="4"/>
        </w:numPr>
        <w:tabs>
          <w:tab w:val="left" w:pos="720"/>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由评审小组对所有参评文件的价格部分的响应进行审核和分析。</w:t>
      </w:r>
    </w:p>
    <w:p w14:paraId="2617D6C5">
      <w:pPr>
        <w:keepNext w:val="0"/>
        <w:keepLines w:val="0"/>
        <w:pageBreakBefore w:val="0"/>
        <w:widowControl/>
        <w:numPr>
          <w:ilvl w:val="0"/>
          <w:numId w:val="4"/>
        </w:numPr>
        <w:tabs>
          <w:tab w:val="left" w:pos="720"/>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基准价格分：以有效参评人中报价最低的参评报价为基准价，定其基准价格分为满分。</w:t>
      </w:r>
    </w:p>
    <w:p w14:paraId="2C8B7B7E">
      <w:pPr>
        <w:keepNext w:val="0"/>
        <w:keepLines w:val="0"/>
        <w:pageBreakBefore w:val="0"/>
        <w:widowControl/>
        <w:numPr>
          <w:ilvl w:val="0"/>
          <w:numId w:val="4"/>
        </w:numPr>
        <w:tabs>
          <w:tab w:val="left" w:pos="720"/>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参评人的价格得分=评审基准价÷参评报价×价格分值（精确到小数点后两位）。由此算出每个参评人的“价格得分”。</w:t>
      </w:r>
    </w:p>
    <w:p w14:paraId="3BC56276">
      <w:pPr>
        <w:keepNext w:val="0"/>
        <w:keepLines w:val="0"/>
        <w:pageBreakBefore w:val="0"/>
        <w:widowControl/>
        <w:numPr>
          <w:ilvl w:val="0"/>
          <w:numId w:val="4"/>
        </w:numPr>
        <w:tabs>
          <w:tab w:val="left" w:pos="720"/>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评委检查每个参评人的价格评分计算情况，确认“价格得分”。</w:t>
      </w:r>
    </w:p>
    <w:p w14:paraId="06CFC3F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w:t>
      </w:r>
      <w:bookmarkStart w:id="8" w:name="_Toc484827211"/>
      <w:r>
        <w:rPr>
          <w:rFonts w:hint="eastAsia" w:ascii="方正黑体_GBK" w:hAnsi="方正黑体_GBK" w:eastAsia="方正黑体_GBK" w:cs="方正黑体_GBK"/>
          <w:color w:val="auto"/>
          <w:sz w:val="32"/>
          <w:szCs w:val="32"/>
          <w:lang w:val="en-US" w:eastAsia="zh-CN"/>
        </w:rPr>
        <w:t>综合得分的计算</w:t>
      </w:r>
      <w:bookmarkEnd w:id="8"/>
    </w:p>
    <w:p w14:paraId="7084174C">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lang w:eastAsia="zh-CN"/>
        </w:rPr>
        <w:t>本项目的评审方法采用综合评分法，综合评分法评审步骤：先进行资格、符合性审查，再进行技术、商务及价格的详细评审。只有通过资格、符合性审查的参评人才能进入详细的评审。</w:t>
      </w:r>
    </w:p>
    <w:p w14:paraId="432CA2FB">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lang w:eastAsia="zh-CN"/>
        </w:rPr>
        <w:t>综合得分（精确到小数点后两位）=</w:t>
      </w:r>
      <w:bookmarkStart w:id="9" w:name="ScoreFormula"/>
      <w:r>
        <w:rPr>
          <w:rFonts w:hint="eastAsia" w:ascii="Times New Roman" w:hAnsi="Times New Roman" w:eastAsia="方正仿宋_GBK" w:cs="Times New Roman"/>
          <w:color w:val="auto"/>
          <w:kern w:val="0"/>
          <w:sz w:val="32"/>
          <w:szCs w:val="32"/>
          <w:lang w:eastAsia="zh-CN"/>
        </w:rPr>
        <w:t>技术得分+商务得分+价格得分</w:t>
      </w:r>
      <w:bookmarkEnd w:id="9"/>
      <w:r>
        <w:rPr>
          <w:rFonts w:hint="eastAsia" w:ascii="Times New Roman" w:hAnsi="Times New Roman" w:eastAsia="方正仿宋_GBK" w:cs="Times New Roman"/>
          <w:color w:val="auto"/>
          <w:kern w:val="0"/>
          <w:sz w:val="32"/>
          <w:szCs w:val="32"/>
          <w:lang w:eastAsia="zh-CN"/>
        </w:rPr>
        <w:t>。综合得分相同的，名次按技术评分由高到低顺序排列；综合得分相同且技术评分相同的，名次按商务评分由高到低顺序排列；综合得分相同、技术评分和商务评分均相同的，名次由评审价由低到高顺序排列。综合得分相同、技术评分、商务评分和评审价均相同的评审小组抽签确定。法律法规有明确规定的，以法律法规规定为准。</w:t>
      </w:r>
    </w:p>
    <w:p w14:paraId="659C35F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三、确定成交人</w:t>
      </w:r>
    </w:p>
    <w:p w14:paraId="79A43F3F">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lang w:eastAsia="zh-CN"/>
        </w:rPr>
        <w:t>采购人将根据评审结果，确定成交人，同时向成交人发出书面《成交通知书》。</w:t>
      </w:r>
    </w:p>
    <w:p w14:paraId="29ADFC33">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lang w:eastAsia="zh-CN"/>
        </w:rPr>
        <w:t>注：本评审办法入围参评人指所有通过资格、符合性审查的参评人。</w:t>
      </w:r>
    </w:p>
    <w:p w14:paraId="4C12E6B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b w:val="0"/>
          <w:bCs/>
          <w:color w:val="auto"/>
          <w:sz w:val="32"/>
          <w:szCs w:val="32"/>
        </w:rPr>
      </w:pPr>
      <w:r>
        <w:rPr>
          <w:rFonts w:ascii="宋体" w:hAnsi="宋体" w:cs="宋体"/>
          <w:color w:val="auto"/>
          <w:kern w:val="0"/>
          <w:sz w:val="28"/>
          <w:szCs w:val="21"/>
        </w:rPr>
        <w:br w:type="page"/>
      </w:r>
      <w:r>
        <w:rPr>
          <w:rFonts w:hint="eastAsia" w:ascii="方正黑体_GBK" w:hAnsi="方正黑体_GBK" w:eastAsia="方正黑体_GBK" w:cs="方正黑体_GBK"/>
          <w:b w:val="0"/>
          <w:bCs/>
          <w:color w:val="auto"/>
          <w:sz w:val="32"/>
          <w:szCs w:val="32"/>
        </w:rPr>
        <w:t>资格、符合性审查表</w:t>
      </w:r>
    </w:p>
    <w:p w14:paraId="131C874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b w:val="0"/>
          <w:bCs/>
          <w:color w:val="auto"/>
          <w:sz w:val="32"/>
          <w:szCs w:val="32"/>
          <w:lang w:eastAsia="zh-CN"/>
        </w:rPr>
      </w:pPr>
    </w:p>
    <w:p w14:paraId="61E98DE0">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项目名称：</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广东省高层建筑消防安全管理规定</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草案</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》三个评估项目</w:t>
      </w:r>
    </w:p>
    <w:tbl>
      <w:tblPr>
        <w:tblStyle w:val="16"/>
        <w:tblW w:w="4997" w:type="pct"/>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260"/>
        <w:gridCol w:w="4800"/>
        <w:gridCol w:w="1007"/>
        <w:gridCol w:w="1007"/>
        <w:gridCol w:w="1007"/>
      </w:tblGrid>
      <w:tr w14:paraId="7AAA150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3336" w:type="pct"/>
            <w:gridSpan w:val="2"/>
            <w:shd w:val="clear" w:color="auto" w:fill="EAEAEA"/>
            <w:noWrap w:val="0"/>
            <w:vAlign w:val="center"/>
          </w:tcPr>
          <w:p w14:paraId="7A69EC92">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b/>
                <w:color w:val="auto"/>
                <w:sz w:val="21"/>
                <w:szCs w:val="21"/>
              </w:rPr>
            </w:pPr>
            <w:r>
              <w:rPr>
                <w:rFonts w:hint="eastAsia" w:ascii="宋体" w:hAnsi="宋体" w:cs="宋体"/>
                <w:b/>
                <w:color w:val="auto"/>
                <w:sz w:val="21"/>
                <w:szCs w:val="21"/>
              </w:rPr>
              <w:t>评审内容</w:t>
            </w:r>
          </w:p>
        </w:tc>
        <w:tc>
          <w:tcPr>
            <w:tcW w:w="554" w:type="pct"/>
            <w:shd w:val="clear" w:color="auto" w:fill="EAEAEA"/>
            <w:noWrap w:val="0"/>
            <w:vAlign w:val="center"/>
          </w:tcPr>
          <w:p w14:paraId="17204413">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b/>
                <w:color w:val="auto"/>
                <w:sz w:val="21"/>
                <w:szCs w:val="21"/>
              </w:rPr>
            </w:pPr>
            <w:r>
              <w:rPr>
                <w:rFonts w:hint="eastAsia" w:ascii="宋体" w:hAnsi="宋体" w:cs="宋体"/>
                <w:b/>
                <w:color w:val="auto"/>
                <w:sz w:val="21"/>
                <w:szCs w:val="21"/>
              </w:rPr>
              <w:t>参评人</w:t>
            </w:r>
            <w:r>
              <w:rPr>
                <w:rFonts w:ascii="宋体" w:hAnsi="宋体" w:cs="宋体"/>
                <w:b/>
                <w:color w:val="auto"/>
                <w:sz w:val="21"/>
                <w:szCs w:val="21"/>
              </w:rPr>
              <w:t>A</w:t>
            </w:r>
          </w:p>
        </w:tc>
        <w:tc>
          <w:tcPr>
            <w:tcW w:w="554" w:type="pct"/>
            <w:shd w:val="clear" w:color="auto" w:fill="EAEAEA"/>
            <w:noWrap w:val="0"/>
            <w:vAlign w:val="center"/>
          </w:tcPr>
          <w:p w14:paraId="4D49D3B3">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b/>
                <w:color w:val="auto"/>
                <w:sz w:val="21"/>
                <w:szCs w:val="21"/>
              </w:rPr>
            </w:pPr>
            <w:r>
              <w:rPr>
                <w:rFonts w:hint="eastAsia" w:ascii="宋体" w:hAnsi="宋体" w:cs="宋体"/>
                <w:b/>
                <w:color w:val="auto"/>
                <w:sz w:val="21"/>
                <w:szCs w:val="21"/>
              </w:rPr>
              <w:t>参评人</w:t>
            </w:r>
            <w:r>
              <w:rPr>
                <w:rFonts w:ascii="宋体" w:hAnsi="宋体" w:cs="宋体"/>
                <w:b/>
                <w:color w:val="auto"/>
                <w:sz w:val="21"/>
                <w:szCs w:val="21"/>
              </w:rPr>
              <w:t>B</w:t>
            </w:r>
          </w:p>
        </w:tc>
        <w:tc>
          <w:tcPr>
            <w:tcW w:w="554" w:type="pct"/>
            <w:shd w:val="clear" w:color="auto" w:fill="EAEAEA"/>
            <w:noWrap w:val="0"/>
            <w:vAlign w:val="center"/>
          </w:tcPr>
          <w:p w14:paraId="11B72B22">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b/>
                <w:color w:val="auto"/>
                <w:sz w:val="21"/>
                <w:szCs w:val="21"/>
              </w:rPr>
            </w:pPr>
            <w:r>
              <w:rPr>
                <w:rFonts w:hint="eastAsia" w:ascii="宋体" w:hAnsi="宋体" w:cs="宋体"/>
                <w:b/>
                <w:color w:val="auto"/>
                <w:sz w:val="21"/>
                <w:szCs w:val="21"/>
              </w:rPr>
              <w:t>参评人</w:t>
            </w:r>
            <w:r>
              <w:rPr>
                <w:rFonts w:ascii="宋体" w:hAnsi="宋体" w:cs="宋体"/>
                <w:b/>
                <w:color w:val="auto"/>
                <w:sz w:val="21"/>
                <w:szCs w:val="21"/>
              </w:rPr>
              <w:t>C</w:t>
            </w:r>
          </w:p>
        </w:tc>
      </w:tr>
      <w:tr w14:paraId="69B376F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694" w:type="pct"/>
            <w:noWrap w:val="0"/>
            <w:vAlign w:val="center"/>
          </w:tcPr>
          <w:p w14:paraId="069DFAB8">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r>
              <w:rPr>
                <w:rFonts w:hint="eastAsia" w:ascii="宋体" w:hAnsi="宋体" w:cs="宋体"/>
                <w:color w:val="auto"/>
                <w:sz w:val="21"/>
                <w:szCs w:val="21"/>
              </w:rPr>
              <w:t>资格性检查</w:t>
            </w:r>
          </w:p>
        </w:tc>
        <w:tc>
          <w:tcPr>
            <w:tcW w:w="2642" w:type="pct"/>
            <w:noWrap w:val="0"/>
            <w:vAlign w:val="center"/>
          </w:tcPr>
          <w:p w14:paraId="029A15B5">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符合遴选</w:t>
            </w:r>
            <w:r>
              <w:rPr>
                <w:rFonts w:hint="eastAsia" w:ascii="宋体" w:hAnsi="宋体" w:cs="宋体"/>
                <w:color w:val="auto"/>
                <w:sz w:val="21"/>
                <w:szCs w:val="21"/>
                <w:lang w:val="en-US" w:eastAsia="zh-CN"/>
              </w:rPr>
              <w:t>公告</w:t>
            </w:r>
            <w:r>
              <w:rPr>
                <w:rFonts w:hint="eastAsia" w:ascii="宋体" w:hAnsi="宋体" w:cs="宋体"/>
                <w:color w:val="auto"/>
                <w:sz w:val="21"/>
                <w:szCs w:val="21"/>
              </w:rPr>
              <w:t>第二条所载明的参评人的资格要求</w:t>
            </w:r>
          </w:p>
        </w:tc>
        <w:tc>
          <w:tcPr>
            <w:tcW w:w="554" w:type="pct"/>
            <w:noWrap w:val="0"/>
            <w:vAlign w:val="center"/>
          </w:tcPr>
          <w:p w14:paraId="031FC637">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c>
          <w:tcPr>
            <w:tcW w:w="554" w:type="pct"/>
            <w:noWrap w:val="0"/>
            <w:vAlign w:val="center"/>
          </w:tcPr>
          <w:p w14:paraId="05F2D9E5">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c>
          <w:tcPr>
            <w:tcW w:w="554" w:type="pct"/>
            <w:noWrap w:val="0"/>
            <w:vAlign w:val="center"/>
          </w:tcPr>
          <w:p w14:paraId="085352E4">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r>
      <w:tr w14:paraId="225E8AA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694" w:type="pct"/>
            <w:vMerge w:val="restart"/>
            <w:noWrap w:val="0"/>
            <w:vAlign w:val="center"/>
          </w:tcPr>
          <w:p w14:paraId="6BF81342">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c>
          <w:tcPr>
            <w:tcW w:w="2642" w:type="pct"/>
            <w:noWrap w:val="0"/>
            <w:vAlign w:val="center"/>
          </w:tcPr>
          <w:p w14:paraId="1A74A72D">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符合参评有效期（参评文件提交时间符合</w:t>
            </w:r>
            <w:r>
              <w:rPr>
                <w:rFonts w:hint="eastAsia"/>
                <w:color w:val="auto"/>
                <w:sz w:val="21"/>
                <w:szCs w:val="21"/>
                <w:lang w:val="en-US" w:eastAsia="zh-CN"/>
              </w:rPr>
              <w:t>参评函</w:t>
            </w:r>
            <w:r>
              <w:rPr>
                <w:rFonts w:hint="eastAsia" w:ascii="宋体" w:hAnsi="宋体" w:cs="宋体"/>
                <w:color w:val="auto"/>
                <w:sz w:val="21"/>
                <w:szCs w:val="21"/>
              </w:rPr>
              <w:t>的要求）</w:t>
            </w:r>
          </w:p>
        </w:tc>
        <w:tc>
          <w:tcPr>
            <w:tcW w:w="554" w:type="pct"/>
            <w:noWrap w:val="0"/>
            <w:vAlign w:val="center"/>
          </w:tcPr>
          <w:p w14:paraId="3457DE00">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c>
          <w:tcPr>
            <w:tcW w:w="554" w:type="pct"/>
            <w:noWrap w:val="0"/>
            <w:vAlign w:val="center"/>
          </w:tcPr>
          <w:p w14:paraId="424F2B59">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c>
          <w:tcPr>
            <w:tcW w:w="554" w:type="pct"/>
            <w:noWrap w:val="0"/>
            <w:vAlign w:val="center"/>
          </w:tcPr>
          <w:p w14:paraId="44EBDBEC">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r>
      <w:tr w14:paraId="6CBD2EE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694" w:type="pct"/>
            <w:vMerge w:val="continue"/>
            <w:noWrap w:val="0"/>
            <w:vAlign w:val="center"/>
          </w:tcPr>
          <w:p w14:paraId="0A9C534E">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p>
        </w:tc>
        <w:tc>
          <w:tcPr>
            <w:tcW w:w="2642" w:type="pct"/>
            <w:noWrap w:val="0"/>
            <w:vAlign w:val="center"/>
          </w:tcPr>
          <w:p w14:paraId="7AD27402">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参评文件签署合格</w:t>
            </w:r>
          </w:p>
        </w:tc>
        <w:tc>
          <w:tcPr>
            <w:tcW w:w="554" w:type="pct"/>
            <w:noWrap w:val="0"/>
            <w:vAlign w:val="center"/>
          </w:tcPr>
          <w:p w14:paraId="3B2DC270">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c>
          <w:tcPr>
            <w:tcW w:w="554" w:type="pct"/>
            <w:noWrap w:val="0"/>
            <w:vAlign w:val="center"/>
          </w:tcPr>
          <w:p w14:paraId="7AB3EAA7">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c>
          <w:tcPr>
            <w:tcW w:w="554" w:type="pct"/>
            <w:noWrap w:val="0"/>
            <w:vAlign w:val="center"/>
          </w:tcPr>
          <w:p w14:paraId="6D1D004A">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r>
      <w:tr w14:paraId="4FEDCFD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694" w:type="pct"/>
            <w:vMerge w:val="continue"/>
            <w:noWrap w:val="0"/>
            <w:vAlign w:val="center"/>
          </w:tcPr>
          <w:p w14:paraId="69705766">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p>
        </w:tc>
        <w:tc>
          <w:tcPr>
            <w:tcW w:w="2642" w:type="pct"/>
            <w:noWrap w:val="0"/>
            <w:vAlign w:val="center"/>
          </w:tcPr>
          <w:p w14:paraId="591E630A">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参评报价是固定价且是唯一的，参评报价未超出采购预算或最高限价</w:t>
            </w:r>
          </w:p>
        </w:tc>
        <w:tc>
          <w:tcPr>
            <w:tcW w:w="554" w:type="pct"/>
            <w:noWrap w:val="0"/>
            <w:vAlign w:val="center"/>
          </w:tcPr>
          <w:p w14:paraId="7FE13731">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c>
          <w:tcPr>
            <w:tcW w:w="554" w:type="pct"/>
            <w:noWrap w:val="0"/>
            <w:vAlign w:val="center"/>
          </w:tcPr>
          <w:p w14:paraId="554E7D15">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c>
          <w:tcPr>
            <w:tcW w:w="554" w:type="pct"/>
            <w:noWrap w:val="0"/>
            <w:vAlign w:val="center"/>
          </w:tcPr>
          <w:p w14:paraId="2A9DD6DF">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r>
      <w:tr w14:paraId="06A7EF0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694" w:type="pct"/>
            <w:vMerge w:val="continue"/>
            <w:noWrap w:val="0"/>
            <w:vAlign w:val="center"/>
          </w:tcPr>
          <w:p w14:paraId="5028B34D">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p>
        </w:tc>
        <w:tc>
          <w:tcPr>
            <w:tcW w:w="2642" w:type="pct"/>
            <w:noWrap w:val="0"/>
            <w:vAlign w:val="center"/>
          </w:tcPr>
          <w:p w14:paraId="754DEC41">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实质性响应指标（综合遴选文件中标注</w:t>
            </w:r>
            <w:r>
              <w:rPr>
                <w:rFonts w:hint="eastAsia" w:ascii="宋体" w:hAnsi="宋体" w:cs="宋体"/>
                <w:color w:val="auto"/>
                <w:kern w:val="28"/>
                <w:sz w:val="21"/>
                <w:szCs w:val="21"/>
              </w:rPr>
              <w:t>▲</w:t>
            </w:r>
            <w:r>
              <w:rPr>
                <w:rFonts w:hint="eastAsia" w:ascii="宋体" w:hAnsi="宋体" w:cs="宋体"/>
                <w:color w:val="auto"/>
                <w:sz w:val="21"/>
                <w:szCs w:val="21"/>
              </w:rPr>
              <w:t>的条款）</w:t>
            </w:r>
            <w:r>
              <w:rPr>
                <w:rFonts w:hint="eastAsia" w:ascii="宋体" w:hAnsi="宋体"/>
                <w:color w:val="auto"/>
                <w:sz w:val="21"/>
                <w:szCs w:val="21"/>
              </w:rPr>
              <w:t>满足采购人要求</w:t>
            </w:r>
          </w:p>
        </w:tc>
        <w:tc>
          <w:tcPr>
            <w:tcW w:w="554" w:type="pct"/>
            <w:noWrap w:val="0"/>
            <w:vAlign w:val="center"/>
          </w:tcPr>
          <w:p w14:paraId="130A5358">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c>
          <w:tcPr>
            <w:tcW w:w="554" w:type="pct"/>
            <w:noWrap w:val="0"/>
            <w:vAlign w:val="center"/>
          </w:tcPr>
          <w:p w14:paraId="0F667D53">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c>
          <w:tcPr>
            <w:tcW w:w="554" w:type="pct"/>
            <w:noWrap w:val="0"/>
            <w:vAlign w:val="center"/>
          </w:tcPr>
          <w:p w14:paraId="57832F74">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r>
      <w:tr w14:paraId="29E4D51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694" w:type="pct"/>
            <w:vMerge w:val="continue"/>
            <w:noWrap w:val="0"/>
            <w:vAlign w:val="center"/>
          </w:tcPr>
          <w:p w14:paraId="1EEEE68F">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p>
        </w:tc>
        <w:tc>
          <w:tcPr>
            <w:tcW w:w="2642" w:type="pct"/>
            <w:noWrap w:val="0"/>
            <w:vAlign w:val="center"/>
          </w:tcPr>
          <w:p w14:paraId="5DBAB5D6">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按有关</w:t>
            </w:r>
            <w:r>
              <w:rPr>
                <w:rFonts w:hint="eastAsia" w:ascii="宋体" w:hAnsi="宋体" w:cs="宋体"/>
                <w:color w:val="auto"/>
                <w:sz w:val="21"/>
                <w:szCs w:val="21"/>
                <w:lang w:eastAsia="zh-CN"/>
              </w:rPr>
              <w:t>法律法规</w:t>
            </w:r>
            <w:r>
              <w:rPr>
                <w:rFonts w:hint="eastAsia" w:ascii="宋体" w:hAnsi="宋体" w:cs="宋体"/>
                <w:color w:val="auto"/>
                <w:sz w:val="21"/>
                <w:szCs w:val="21"/>
              </w:rPr>
              <w:t>、规章或遴选文件不属于参评无效的</w:t>
            </w:r>
          </w:p>
        </w:tc>
        <w:tc>
          <w:tcPr>
            <w:tcW w:w="554" w:type="pct"/>
            <w:noWrap w:val="0"/>
            <w:vAlign w:val="center"/>
          </w:tcPr>
          <w:p w14:paraId="33BB0772">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c>
          <w:tcPr>
            <w:tcW w:w="554" w:type="pct"/>
            <w:noWrap w:val="0"/>
            <w:vAlign w:val="center"/>
          </w:tcPr>
          <w:p w14:paraId="076F23BF">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c>
          <w:tcPr>
            <w:tcW w:w="554" w:type="pct"/>
            <w:noWrap w:val="0"/>
            <w:vAlign w:val="center"/>
          </w:tcPr>
          <w:p w14:paraId="1C8BD3CF">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r>
      <w:tr w14:paraId="789A174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818" w:hRule="atLeast"/>
        </w:trPr>
        <w:tc>
          <w:tcPr>
            <w:tcW w:w="694" w:type="pct"/>
            <w:noWrap w:val="0"/>
            <w:vAlign w:val="center"/>
          </w:tcPr>
          <w:p w14:paraId="453E4209">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r>
              <w:rPr>
                <w:rFonts w:hint="eastAsia" w:ascii="宋体" w:hAnsi="宋体" w:cs="宋体"/>
                <w:color w:val="auto"/>
                <w:sz w:val="21"/>
                <w:szCs w:val="21"/>
              </w:rPr>
              <w:t>结论</w:t>
            </w:r>
          </w:p>
        </w:tc>
        <w:tc>
          <w:tcPr>
            <w:tcW w:w="2642" w:type="pct"/>
            <w:noWrap w:val="0"/>
            <w:vAlign w:val="center"/>
          </w:tcPr>
          <w:p w14:paraId="6DCF2890">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是否同意进入下一阶段评议</w:t>
            </w:r>
          </w:p>
          <w:p w14:paraId="04D79BF7">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（写“同意”或“不同意”）</w:t>
            </w:r>
          </w:p>
        </w:tc>
        <w:tc>
          <w:tcPr>
            <w:tcW w:w="554" w:type="pct"/>
            <w:noWrap w:val="0"/>
            <w:vAlign w:val="center"/>
          </w:tcPr>
          <w:p w14:paraId="607BADEA">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c>
          <w:tcPr>
            <w:tcW w:w="554" w:type="pct"/>
            <w:noWrap w:val="0"/>
            <w:vAlign w:val="center"/>
          </w:tcPr>
          <w:p w14:paraId="161C6ABE">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c>
          <w:tcPr>
            <w:tcW w:w="554" w:type="pct"/>
            <w:noWrap w:val="0"/>
            <w:vAlign w:val="center"/>
          </w:tcPr>
          <w:p w14:paraId="31BEBE8C">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p>
        </w:tc>
      </w:tr>
    </w:tbl>
    <w:p w14:paraId="007C86EF">
      <w:pPr>
        <w:keepNext w:val="0"/>
        <w:keepLines w:val="0"/>
        <w:pageBreakBefore w:val="0"/>
        <w:widowControl/>
        <w:numPr>
          <w:ilvl w:val="0"/>
          <w:numId w:val="5"/>
        </w:numPr>
        <w:tabs>
          <w:tab w:val="left" w:pos="720"/>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lang w:eastAsia="zh-CN"/>
        </w:rPr>
        <w:t>每一项目符合的打“○</w:t>
      </w:r>
      <w:r>
        <w:rPr>
          <w:rFonts w:hint="default"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eastAsia="zh-CN"/>
        </w:rPr>
        <w:t>，不符合的打“×”；出现一个“×”的结论为不同意</w:t>
      </w:r>
      <w:r>
        <w:rPr>
          <w:rFonts w:hint="default" w:ascii="Times New Roman" w:hAnsi="Times New Roman" w:eastAsia="方正仿宋_GBK" w:cs="Times New Roman"/>
          <w:color w:val="auto"/>
          <w:kern w:val="0"/>
          <w:sz w:val="32"/>
          <w:szCs w:val="32"/>
          <w:lang w:eastAsia="zh-CN"/>
        </w:rPr>
        <w:t>进入下一阶段评议</w:t>
      </w:r>
      <w:r>
        <w:rPr>
          <w:rFonts w:hint="eastAsia" w:ascii="Times New Roman" w:hAnsi="Times New Roman" w:eastAsia="方正仿宋_GBK" w:cs="Times New Roman"/>
          <w:color w:val="auto"/>
          <w:kern w:val="0"/>
          <w:sz w:val="32"/>
          <w:szCs w:val="32"/>
          <w:lang w:eastAsia="zh-CN"/>
        </w:rPr>
        <w:t>。</w:t>
      </w:r>
    </w:p>
    <w:p w14:paraId="65501F72">
      <w:pPr>
        <w:keepNext w:val="0"/>
        <w:keepLines w:val="0"/>
        <w:pageBreakBefore w:val="0"/>
        <w:widowControl/>
        <w:numPr>
          <w:ilvl w:val="0"/>
          <w:numId w:val="5"/>
        </w:numPr>
        <w:tabs>
          <w:tab w:val="left" w:pos="720"/>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lang w:eastAsia="zh-CN"/>
        </w:rPr>
        <w:t>表中全部条件满足为通过，</w:t>
      </w:r>
      <w:r>
        <w:rPr>
          <w:rFonts w:hint="default" w:ascii="Times New Roman" w:hAnsi="Times New Roman" w:eastAsia="方正仿宋_GBK" w:cs="Times New Roman"/>
          <w:color w:val="auto"/>
          <w:kern w:val="0"/>
          <w:sz w:val="32"/>
          <w:szCs w:val="32"/>
          <w:lang w:eastAsia="zh-CN"/>
        </w:rPr>
        <w:t xml:space="preserve"> 同意进入下一阶段评议</w:t>
      </w:r>
      <w:r>
        <w:rPr>
          <w:rFonts w:hint="eastAsia" w:ascii="Times New Roman" w:hAnsi="Times New Roman" w:eastAsia="方正仿宋_GBK" w:cs="Times New Roman"/>
          <w:color w:val="auto"/>
          <w:kern w:val="0"/>
          <w:sz w:val="32"/>
          <w:szCs w:val="32"/>
          <w:lang w:eastAsia="zh-CN"/>
        </w:rPr>
        <w:t>。</w:t>
      </w:r>
    </w:p>
    <w:p w14:paraId="5B4CF5A4">
      <w:pPr>
        <w:keepNext w:val="0"/>
        <w:keepLines w:val="0"/>
        <w:pageBreakBefore w:val="0"/>
        <w:widowControl/>
        <w:numPr>
          <w:ilvl w:val="0"/>
          <w:numId w:val="5"/>
        </w:numPr>
        <w:tabs>
          <w:tab w:val="left" w:pos="720"/>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lang w:eastAsia="zh-CN"/>
        </w:rPr>
        <w:t>是否同意进入下一阶段评议一栏中应写 “同意”或“不同意”。</w:t>
      </w:r>
    </w:p>
    <w:p w14:paraId="05DF4BBE">
      <w:pPr>
        <w:keepNext w:val="0"/>
        <w:keepLines w:val="0"/>
        <w:pageBreakBefore w:val="0"/>
        <w:widowControl/>
        <w:numPr>
          <w:ilvl w:val="0"/>
          <w:numId w:val="5"/>
        </w:numPr>
        <w:tabs>
          <w:tab w:val="left" w:pos="720"/>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lang w:eastAsia="zh-CN"/>
        </w:rPr>
        <w:t>结论汇总意见采取少数服从多数原则，即超过半数评委的结论为“同意”，则该参评人通过</w:t>
      </w:r>
      <w:r>
        <w:rPr>
          <w:rFonts w:hint="default" w:ascii="Times New Roman" w:hAnsi="Times New Roman" w:eastAsia="方正仿宋_GBK" w:cs="Times New Roman"/>
          <w:color w:val="auto"/>
          <w:kern w:val="0"/>
          <w:sz w:val="32"/>
          <w:szCs w:val="32"/>
          <w:lang w:eastAsia="zh-CN"/>
        </w:rPr>
        <w:t>资格审查及符合性检查</w:t>
      </w:r>
      <w:r>
        <w:rPr>
          <w:rFonts w:hint="eastAsia" w:ascii="Times New Roman" w:hAnsi="Times New Roman" w:eastAsia="方正仿宋_GBK" w:cs="Times New Roman"/>
          <w:color w:val="auto"/>
          <w:kern w:val="0"/>
          <w:sz w:val="32"/>
          <w:szCs w:val="32"/>
          <w:lang w:eastAsia="zh-CN"/>
        </w:rPr>
        <w:t>，否则不通过。</w:t>
      </w:r>
    </w:p>
    <w:p w14:paraId="1E6AF760">
      <w:pPr>
        <w:keepNext w:val="0"/>
        <w:keepLines w:val="0"/>
        <w:pageBreakBefore w:val="0"/>
        <w:widowControl/>
        <w:tabs>
          <w:tab w:val="left" w:pos="567"/>
        </w:tabs>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b w:val="0"/>
          <w:bCs/>
          <w:color w:val="auto"/>
          <w:kern w:val="2"/>
          <w:sz w:val="32"/>
          <w:szCs w:val="32"/>
          <w:lang w:val="en-US" w:eastAsia="zh-CN" w:bidi="ar-SA"/>
        </w:rPr>
      </w:pPr>
      <w:r>
        <w:rPr>
          <w:rFonts w:ascii="宋体" w:hAnsi="宋体" w:cs="宋体"/>
          <w:color w:val="auto"/>
          <w:kern w:val="0"/>
          <w:sz w:val="28"/>
          <w:szCs w:val="21"/>
        </w:rPr>
        <w:br w:type="page"/>
      </w:r>
      <w:r>
        <w:rPr>
          <w:rFonts w:hint="eastAsia" w:ascii="方正黑体_GBK" w:hAnsi="方正黑体_GBK" w:eastAsia="方正黑体_GBK" w:cs="方正黑体_GBK"/>
          <w:b w:val="0"/>
          <w:bCs/>
          <w:color w:val="auto"/>
          <w:kern w:val="2"/>
          <w:sz w:val="32"/>
          <w:szCs w:val="32"/>
          <w:lang w:val="en-US" w:eastAsia="zh-CN" w:bidi="ar-SA"/>
        </w:rPr>
        <w:t>技术评分表（40分）</w:t>
      </w:r>
    </w:p>
    <w:p w14:paraId="23136481">
      <w:pPr>
        <w:pStyle w:val="15"/>
        <w:keepNext w:val="0"/>
        <w:keepLines w:val="0"/>
        <w:pageBreakBefore w:val="0"/>
        <w:widowControl w:val="0"/>
        <w:kinsoku/>
        <w:wordWrap/>
        <w:overflowPunct/>
        <w:topLinePunct w:val="0"/>
        <w:autoSpaceDE/>
        <w:autoSpaceDN w:val="0"/>
        <w:bidi w:val="0"/>
        <w:adjustRightInd/>
        <w:snapToGrid/>
        <w:spacing w:line="594" w:lineRule="exact"/>
        <w:ind w:left="0" w:leftChars="0" w:firstLine="0" w:firstLineChars="0"/>
        <w:textAlignment w:val="auto"/>
        <w:rPr>
          <w:rFonts w:hint="eastAsia" w:ascii="方正黑体_GBK" w:hAnsi="方正黑体_GBK" w:eastAsia="方正黑体_GBK" w:cs="方正黑体_GBK"/>
          <w:b w:val="0"/>
          <w:bCs/>
          <w:color w:val="auto"/>
          <w:kern w:val="2"/>
          <w:sz w:val="32"/>
          <w:szCs w:val="32"/>
          <w:lang w:val="en-US" w:eastAsia="zh-CN" w:bidi="ar-SA"/>
        </w:rPr>
      </w:pPr>
    </w:p>
    <w:tbl>
      <w:tblPr>
        <w:tblStyle w:val="16"/>
        <w:tblW w:w="9866" w:type="dxa"/>
        <w:tblInd w:w="-41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2"/>
        <w:gridCol w:w="1417"/>
        <w:gridCol w:w="864"/>
        <w:gridCol w:w="6073"/>
      </w:tblGrid>
      <w:tr w14:paraId="3DC34E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1512" w:type="dxa"/>
            <w:tcBorders>
              <w:top w:val="single" w:color="auto" w:sz="6" w:space="0"/>
              <w:left w:val="single" w:color="auto" w:sz="6" w:space="0"/>
              <w:bottom w:val="single" w:color="auto" w:sz="6" w:space="0"/>
              <w:right w:val="single" w:color="auto" w:sz="6" w:space="0"/>
            </w:tcBorders>
            <w:shd w:val="clear" w:color="auto" w:fill="D7D7D7"/>
            <w:noWrap w:val="0"/>
            <w:vAlign w:val="center"/>
          </w:tcPr>
          <w:p w14:paraId="07C76AB8">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r>
              <w:rPr>
                <w:rFonts w:hint="eastAsia" w:ascii="宋体" w:hAnsi="宋体" w:cs="宋体"/>
                <w:color w:val="auto"/>
                <w:sz w:val="21"/>
                <w:szCs w:val="21"/>
              </w:rPr>
              <w:t>评审项目</w:t>
            </w:r>
          </w:p>
        </w:tc>
        <w:tc>
          <w:tcPr>
            <w:tcW w:w="1417" w:type="dxa"/>
            <w:tcBorders>
              <w:top w:val="single" w:color="auto" w:sz="6" w:space="0"/>
              <w:left w:val="single" w:color="auto" w:sz="6" w:space="0"/>
              <w:bottom w:val="single" w:color="auto" w:sz="6" w:space="0"/>
              <w:right w:val="single" w:color="auto" w:sz="6" w:space="0"/>
            </w:tcBorders>
            <w:shd w:val="clear" w:color="auto" w:fill="D7D7D7"/>
            <w:noWrap w:val="0"/>
            <w:vAlign w:val="center"/>
          </w:tcPr>
          <w:p w14:paraId="4ABB1F53">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r>
              <w:rPr>
                <w:rFonts w:hint="eastAsia" w:ascii="宋体" w:hAnsi="宋体" w:cs="宋体"/>
                <w:color w:val="auto"/>
                <w:sz w:val="21"/>
                <w:szCs w:val="21"/>
              </w:rPr>
              <w:t>分项内容</w:t>
            </w:r>
          </w:p>
        </w:tc>
        <w:tc>
          <w:tcPr>
            <w:tcW w:w="864" w:type="dxa"/>
            <w:tcBorders>
              <w:top w:val="single" w:color="auto" w:sz="6" w:space="0"/>
              <w:left w:val="single" w:color="auto" w:sz="6" w:space="0"/>
              <w:bottom w:val="single" w:color="auto" w:sz="6" w:space="0"/>
              <w:right w:val="single" w:color="auto" w:sz="6" w:space="0"/>
            </w:tcBorders>
            <w:shd w:val="clear" w:color="auto" w:fill="D7D7D7"/>
            <w:noWrap w:val="0"/>
            <w:vAlign w:val="center"/>
          </w:tcPr>
          <w:p w14:paraId="36C2F1E0">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r>
              <w:rPr>
                <w:rFonts w:ascii="宋体" w:hAnsi="宋体" w:cs="宋体"/>
                <w:color w:val="auto"/>
                <w:sz w:val="21"/>
                <w:szCs w:val="21"/>
              </w:rPr>
              <w:t>分值</w:t>
            </w:r>
          </w:p>
        </w:tc>
        <w:tc>
          <w:tcPr>
            <w:tcW w:w="6073" w:type="dxa"/>
            <w:tcBorders>
              <w:top w:val="single" w:color="auto" w:sz="6" w:space="0"/>
              <w:left w:val="single" w:color="auto" w:sz="6" w:space="0"/>
              <w:bottom w:val="single" w:color="auto" w:sz="6" w:space="0"/>
              <w:right w:val="single" w:color="auto" w:sz="6" w:space="0"/>
            </w:tcBorders>
            <w:shd w:val="clear" w:color="auto" w:fill="D7D7D7"/>
            <w:noWrap w:val="0"/>
            <w:vAlign w:val="center"/>
          </w:tcPr>
          <w:p w14:paraId="2341CEE1">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r>
              <w:rPr>
                <w:rFonts w:hint="eastAsia" w:ascii="宋体" w:hAnsi="宋体" w:cs="宋体"/>
                <w:color w:val="auto"/>
                <w:sz w:val="21"/>
                <w:szCs w:val="21"/>
              </w:rPr>
              <w:t>评分说明</w:t>
            </w:r>
          </w:p>
        </w:tc>
      </w:tr>
      <w:tr w14:paraId="756CFA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12" w:type="dxa"/>
            <w:vMerge w:val="restart"/>
            <w:tcBorders>
              <w:top w:val="single" w:color="auto" w:sz="6" w:space="0"/>
              <w:left w:val="single" w:color="auto" w:sz="6" w:space="0"/>
              <w:right w:val="single" w:color="auto" w:sz="6" w:space="0"/>
            </w:tcBorders>
            <w:noWrap w:val="0"/>
            <w:vAlign w:val="center"/>
          </w:tcPr>
          <w:p w14:paraId="27173375">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项目实施方案（</w:t>
            </w:r>
            <w:r>
              <w:rPr>
                <w:rFonts w:hint="eastAsia" w:ascii="宋体" w:hAnsi="宋体" w:cs="宋体"/>
                <w:color w:val="auto"/>
                <w:sz w:val="21"/>
                <w:szCs w:val="21"/>
                <w:lang w:val="en-US" w:eastAsia="zh-CN"/>
              </w:rPr>
              <w:t>4</w:t>
            </w:r>
            <w:r>
              <w:rPr>
                <w:rFonts w:ascii="宋体" w:hAnsi="宋体" w:cs="宋体"/>
                <w:color w:val="auto"/>
                <w:sz w:val="21"/>
                <w:szCs w:val="21"/>
              </w:rPr>
              <w:t>0</w:t>
            </w:r>
            <w:r>
              <w:rPr>
                <w:rFonts w:hint="eastAsia" w:ascii="宋体" w:hAnsi="宋体" w:cs="宋体"/>
                <w:color w:val="auto"/>
                <w:sz w:val="21"/>
                <w:szCs w:val="21"/>
              </w:rPr>
              <w:t>分）</w:t>
            </w: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28CC05C">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采购项目服务要求响应程度</w:t>
            </w:r>
          </w:p>
        </w:tc>
        <w:tc>
          <w:tcPr>
            <w:tcW w:w="864" w:type="dxa"/>
            <w:tcBorders>
              <w:top w:val="single" w:color="auto" w:sz="6" w:space="0"/>
              <w:left w:val="single" w:color="auto" w:sz="6" w:space="0"/>
              <w:bottom w:val="single" w:color="auto" w:sz="6" w:space="0"/>
              <w:right w:val="single" w:color="auto" w:sz="6" w:space="0"/>
            </w:tcBorders>
            <w:noWrap w:val="0"/>
            <w:vAlign w:val="center"/>
          </w:tcPr>
          <w:p w14:paraId="40D2D9D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5</w:t>
            </w:r>
          </w:p>
        </w:tc>
        <w:tc>
          <w:tcPr>
            <w:tcW w:w="6073" w:type="dxa"/>
            <w:tcBorders>
              <w:top w:val="single" w:color="auto" w:sz="6" w:space="0"/>
              <w:left w:val="single" w:color="auto" w:sz="6" w:space="0"/>
              <w:bottom w:val="single" w:color="auto" w:sz="6" w:space="0"/>
              <w:right w:val="single" w:color="auto" w:sz="6" w:space="0"/>
            </w:tcBorders>
            <w:noWrap w:val="0"/>
            <w:vAlign w:val="center"/>
          </w:tcPr>
          <w:p w14:paraId="49B60634">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对项目的背景、意义、政策要求的理解</w:t>
            </w:r>
            <w:r>
              <w:rPr>
                <w:rFonts w:hint="eastAsia" w:ascii="宋体" w:hAnsi="宋体" w:cs="宋体"/>
                <w:color w:val="auto"/>
                <w:sz w:val="21"/>
                <w:szCs w:val="21"/>
                <w:lang w:eastAsia="zh-CN"/>
              </w:rPr>
              <w:t>、</w:t>
            </w:r>
            <w:r>
              <w:rPr>
                <w:rFonts w:hint="eastAsia" w:ascii="宋体" w:hAnsi="宋体" w:cs="宋体"/>
                <w:color w:val="auto"/>
                <w:sz w:val="21"/>
                <w:szCs w:val="21"/>
              </w:rPr>
              <w:t>重点难点分析且到位：</w:t>
            </w:r>
          </w:p>
          <w:p w14:paraId="2EA79521">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理解深刻，表述全面的，得5分；</w:t>
            </w:r>
          </w:p>
          <w:p w14:paraId="72E937ED">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基本理解，表述一般的，得3分；</w:t>
            </w:r>
          </w:p>
          <w:p w14:paraId="28F10599">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理解不足的，得1分。</w:t>
            </w:r>
          </w:p>
        </w:tc>
      </w:tr>
      <w:tr w14:paraId="674BFB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12" w:type="dxa"/>
            <w:vMerge w:val="continue"/>
            <w:tcBorders>
              <w:left w:val="single" w:color="auto" w:sz="6" w:space="0"/>
              <w:right w:val="single" w:color="auto" w:sz="6" w:space="0"/>
            </w:tcBorders>
            <w:noWrap w:val="0"/>
            <w:vAlign w:val="center"/>
          </w:tcPr>
          <w:p w14:paraId="4DAD6B42">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272C094B">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ascii="宋体" w:hAnsi="宋体" w:cs="宋体"/>
                <w:color w:val="auto"/>
                <w:sz w:val="21"/>
                <w:szCs w:val="21"/>
              </w:rPr>
              <w:t>项目工作方案</w:t>
            </w:r>
          </w:p>
        </w:tc>
        <w:tc>
          <w:tcPr>
            <w:tcW w:w="864" w:type="dxa"/>
            <w:tcBorders>
              <w:top w:val="single" w:color="auto" w:sz="6" w:space="0"/>
              <w:left w:val="single" w:color="auto" w:sz="6" w:space="0"/>
              <w:bottom w:val="single" w:color="auto" w:sz="6" w:space="0"/>
              <w:right w:val="single" w:color="auto" w:sz="6" w:space="0"/>
            </w:tcBorders>
            <w:noWrap w:val="0"/>
            <w:vAlign w:val="center"/>
          </w:tcPr>
          <w:p w14:paraId="4C912090">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25</w:t>
            </w:r>
          </w:p>
        </w:tc>
        <w:tc>
          <w:tcPr>
            <w:tcW w:w="6073" w:type="dxa"/>
            <w:tcBorders>
              <w:top w:val="single" w:color="auto" w:sz="6" w:space="0"/>
              <w:left w:val="single" w:color="auto" w:sz="6" w:space="0"/>
              <w:bottom w:val="single" w:color="auto" w:sz="6" w:space="0"/>
              <w:right w:val="single" w:color="auto" w:sz="6" w:space="0"/>
            </w:tcBorders>
            <w:noWrap w:val="0"/>
            <w:vAlign w:val="center"/>
          </w:tcPr>
          <w:p w14:paraId="536E841E">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ascii="宋体" w:hAnsi="宋体" w:cs="宋体"/>
                <w:color w:val="auto"/>
                <w:sz w:val="21"/>
                <w:szCs w:val="21"/>
              </w:rPr>
              <w:t>工作</w:t>
            </w:r>
            <w:r>
              <w:rPr>
                <w:rFonts w:hint="eastAsia" w:ascii="宋体" w:hAnsi="宋体" w:cs="宋体"/>
                <w:color w:val="auto"/>
                <w:sz w:val="21"/>
                <w:szCs w:val="21"/>
              </w:rPr>
              <w:t>方案清晰、完整、严谨、合理，措施先进、具体、有效、成熟；</w:t>
            </w:r>
            <w:r>
              <w:rPr>
                <w:rFonts w:ascii="宋体" w:hAnsi="宋体" w:cs="宋体"/>
                <w:color w:val="auto"/>
                <w:sz w:val="21"/>
                <w:szCs w:val="21"/>
              </w:rPr>
              <w:t>工作</w:t>
            </w:r>
            <w:r>
              <w:rPr>
                <w:rFonts w:hint="eastAsia" w:ascii="宋体" w:hAnsi="宋体" w:cs="宋体"/>
                <w:color w:val="auto"/>
                <w:sz w:val="21"/>
                <w:szCs w:val="21"/>
              </w:rPr>
              <w:t>方案设想，划分清晰、合理，符合规范要求得</w:t>
            </w:r>
            <w:r>
              <w:rPr>
                <w:rFonts w:ascii="宋体" w:hAnsi="宋体" w:cs="宋体"/>
                <w:color w:val="auto"/>
                <w:sz w:val="21"/>
                <w:szCs w:val="21"/>
              </w:rPr>
              <w:t>25</w:t>
            </w:r>
            <w:r>
              <w:rPr>
                <w:rFonts w:hint="eastAsia" w:ascii="宋体" w:hAnsi="宋体" w:cs="宋体"/>
                <w:color w:val="auto"/>
                <w:sz w:val="21"/>
                <w:szCs w:val="21"/>
              </w:rPr>
              <w:t>分；</w:t>
            </w:r>
          </w:p>
          <w:p w14:paraId="46AC8CB6">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ascii="宋体" w:hAnsi="宋体" w:cs="宋体"/>
                <w:color w:val="auto"/>
                <w:sz w:val="21"/>
                <w:szCs w:val="21"/>
              </w:rPr>
              <w:t>工作</w:t>
            </w:r>
            <w:r>
              <w:rPr>
                <w:rFonts w:hint="eastAsia" w:ascii="宋体" w:hAnsi="宋体" w:cs="宋体"/>
                <w:color w:val="auto"/>
                <w:sz w:val="21"/>
                <w:szCs w:val="21"/>
              </w:rPr>
              <w:t>方案较清晰、完整、严谨、合理，措施先进、具体、有效、成熟；</w:t>
            </w:r>
            <w:r>
              <w:rPr>
                <w:rFonts w:ascii="宋体" w:hAnsi="宋体" w:cs="宋体"/>
                <w:color w:val="auto"/>
                <w:sz w:val="21"/>
                <w:szCs w:val="21"/>
              </w:rPr>
              <w:t>工作</w:t>
            </w:r>
            <w:r>
              <w:rPr>
                <w:rFonts w:hint="eastAsia" w:ascii="宋体" w:hAnsi="宋体" w:cs="宋体"/>
                <w:color w:val="auto"/>
                <w:sz w:val="21"/>
                <w:szCs w:val="21"/>
              </w:rPr>
              <w:t>方案设想，划分清晰、合理，符合规范要求得</w:t>
            </w:r>
            <w:r>
              <w:rPr>
                <w:rFonts w:ascii="宋体" w:hAnsi="宋体" w:cs="宋体"/>
                <w:color w:val="auto"/>
                <w:sz w:val="21"/>
                <w:szCs w:val="21"/>
              </w:rPr>
              <w:t>15</w:t>
            </w:r>
            <w:r>
              <w:rPr>
                <w:rFonts w:hint="eastAsia" w:ascii="宋体" w:hAnsi="宋体" w:cs="宋体"/>
                <w:color w:val="auto"/>
                <w:sz w:val="21"/>
                <w:szCs w:val="21"/>
              </w:rPr>
              <w:t>分；</w:t>
            </w:r>
          </w:p>
          <w:p w14:paraId="5BE58FA7">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ascii="宋体" w:hAnsi="宋体" w:cs="宋体"/>
                <w:color w:val="auto"/>
                <w:sz w:val="21"/>
                <w:szCs w:val="21"/>
              </w:rPr>
              <w:t>工作</w:t>
            </w:r>
            <w:r>
              <w:rPr>
                <w:rFonts w:hint="eastAsia" w:ascii="宋体" w:hAnsi="宋体" w:cs="宋体"/>
                <w:color w:val="auto"/>
                <w:sz w:val="21"/>
                <w:szCs w:val="21"/>
              </w:rPr>
              <w:t>方案较清晰、完整、严谨、合理，措施一般，符合规范要求得</w:t>
            </w:r>
            <w:r>
              <w:rPr>
                <w:rFonts w:ascii="宋体" w:hAnsi="宋体" w:cs="宋体"/>
                <w:color w:val="auto"/>
                <w:sz w:val="21"/>
                <w:szCs w:val="21"/>
              </w:rPr>
              <w:t>8</w:t>
            </w:r>
            <w:r>
              <w:rPr>
                <w:rFonts w:hint="eastAsia" w:ascii="宋体" w:hAnsi="宋体" w:cs="宋体"/>
                <w:color w:val="auto"/>
                <w:sz w:val="21"/>
                <w:szCs w:val="21"/>
              </w:rPr>
              <w:t>分；</w:t>
            </w:r>
          </w:p>
          <w:p w14:paraId="601ACABF">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不合理或无描述，不得分。</w:t>
            </w:r>
          </w:p>
        </w:tc>
      </w:tr>
      <w:tr w14:paraId="0AA8BA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12" w:type="dxa"/>
            <w:vMerge w:val="continue"/>
            <w:tcBorders>
              <w:left w:val="single" w:color="auto" w:sz="6" w:space="0"/>
              <w:right w:val="single" w:color="auto" w:sz="6" w:space="0"/>
            </w:tcBorders>
            <w:noWrap w:val="0"/>
            <w:vAlign w:val="center"/>
          </w:tcPr>
          <w:p w14:paraId="1318D772">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B89936D">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质量保证措施及方案</w:t>
            </w:r>
          </w:p>
        </w:tc>
        <w:tc>
          <w:tcPr>
            <w:tcW w:w="864" w:type="dxa"/>
            <w:tcBorders>
              <w:top w:val="single" w:color="auto" w:sz="6" w:space="0"/>
              <w:left w:val="single" w:color="auto" w:sz="6" w:space="0"/>
              <w:bottom w:val="single" w:color="auto" w:sz="6" w:space="0"/>
              <w:right w:val="single" w:color="auto" w:sz="6" w:space="0"/>
            </w:tcBorders>
            <w:noWrap w:val="0"/>
            <w:vAlign w:val="center"/>
          </w:tcPr>
          <w:p w14:paraId="142FC139">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ascii="宋体" w:hAnsi="宋体" w:cs="宋体"/>
                <w:color w:val="auto"/>
                <w:sz w:val="21"/>
                <w:szCs w:val="21"/>
              </w:rPr>
              <w:t>10</w:t>
            </w:r>
          </w:p>
        </w:tc>
        <w:tc>
          <w:tcPr>
            <w:tcW w:w="6073" w:type="dxa"/>
            <w:tcBorders>
              <w:top w:val="single" w:color="auto" w:sz="6" w:space="0"/>
              <w:left w:val="single" w:color="auto" w:sz="6" w:space="0"/>
              <w:bottom w:val="single" w:color="auto" w:sz="6" w:space="0"/>
              <w:right w:val="single" w:color="auto" w:sz="6" w:space="0"/>
            </w:tcBorders>
            <w:noWrap w:val="0"/>
            <w:vAlign w:val="center"/>
          </w:tcPr>
          <w:p w14:paraId="277F7BC3">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（1）</w:t>
            </w:r>
            <w:r>
              <w:rPr>
                <w:rFonts w:ascii="宋体" w:hAnsi="宋体" w:cs="宋体"/>
                <w:color w:val="auto"/>
                <w:sz w:val="21"/>
                <w:szCs w:val="21"/>
              </w:rPr>
              <w:t>项目质量控制措施</w:t>
            </w:r>
            <w:r>
              <w:rPr>
                <w:rFonts w:hint="eastAsia" w:ascii="宋体" w:hAnsi="宋体" w:cs="宋体"/>
                <w:color w:val="auto"/>
                <w:sz w:val="21"/>
                <w:szCs w:val="21"/>
              </w:rPr>
              <w:t>到位，服务内容能够根据招标人实际需求调整，完全</w:t>
            </w:r>
            <w:r>
              <w:rPr>
                <w:rFonts w:ascii="宋体" w:hAnsi="宋体" w:cs="宋体"/>
                <w:color w:val="auto"/>
                <w:sz w:val="21"/>
                <w:szCs w:val="21"/>
              </w:rPr>
              <w:t>保障项目按计划推进并取得预期成果的得10分</w:t>
            </w:r>
            <w:r>
              <w:rPr>
                <w:rFonts w:hint="eastAsia" w:ascii="宋体" w:hAnsi="宋体" w:cs="宋体"/>
                <w:color w:val="auto"/>
                <w:sz w:val="21"/>
                <w:szCs w:val="21"/>
              </w:rPr>
              <w:t>。</w:t>
            </w:r>
          </w:p>
          <w:p w14:paraId="10FFA476">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（2）</w:t>
            </w:r>
            <w:r>
              <w:rPr>
                <w:rFonts w:ascii="宋体" w:hAnsi="宋体" w:cs="宋体"/>
                <w:color w:val="auto"/>
                <w:sz w:val="21"/>
                <w:szCs w:val="21"/>
              </w:rPr>
              <w:t>项目质量控制措施</w:t>
            </w:r>
            <w:r>
              <w:rPr>
                <w:rFonts w:hint="eastAsia" w:ascii="宋体" w:hAnsi="宋体" w:cs="宋体"/>
                <w:color w:val="auto"/>
                <w:sz w:val="21"/>
                <w:szCs w:val="21"/>
              </w:rPr>
              <w:t>较好，服务内容能够根据招标人实际需求调整，较好保障项目按计划推进并取得预期成果</w:t>
            </w:r>
            <w:r>
              <w:rPr>
                <w:rFonts w:ascii="宋体" w:hAnsi="宋体" w:cs="宋体"/>
                <w:color w:val="auto"/>
                <w:sz w:val="21"/>
                <w:szCs w:val="21"/>
              </w:rPr>
              <w:t>的得6分</w:t>
            </w:r>
            <w:r>
              <w:rPr>
                <w:rFonts w:hint="eastAsia" w:ascii="宋体" w:hAnsi="宋体" w:cs="宋体"/>
                <w:color w:val="auto"/>
                <w:sz w:val="21"/>
                <w:szCs w:val="21"/>
              </w:rPr>
              <w:t>。</w:t>
            </w:r>
          </w:p>
          <w:p w14:paraId="259C2748">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（3）</w:t>
            </w:r>
            <w:r>
              <w:rPr>
                <w:rFonts w:ascii="宋体" w:hAnsi="宋体" w:cs="宋体"/>
                <w:color w:val="auto"/>
                <w:sz w:val="21"/>
                <w:szCs w:val="21"/>
              </w:rPr>
              <w:t>项目质量控制措施</w:t>
            </w:r>
            <w:r>
              <w:rPr>
                <w:rFonts w:hint="eastAsia" w:ascii="宋体" w:hAnsi="宋体" w:cs="宋体"/>
                <w:color w:val="auto"/>
                <w:sz w:val="21"/>
                <w:szCs w:val="21"/>
              </w:rPr>
              <w:t>一般，服务内容不能根据招标人实际需求调整，基本保障</w:t>
            </w:r>
            <w:r>
              <w:rPr>
                <w:rFonts w:ascii="宋体" w:hAnsi="宋体" w:cs="宋体"/>
                <w:color w:val="auto"/>
                <w:sz w:val="21"/>
                <w:szCs w:val="21"/>
              </w:rPr>
              <w:t>项目按计划推进并取得预期成果的得3分。</w:t>
            </w:r>
          </w:p>
          <w:p w14:paraId="1E2101F2">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（4）方案不合理或不提供不得分。</w:t>
            </w:r>
          </w:p>
        </w:tc>
      </w:tr>
      <w:tr w14:paraId="25AC3F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929" w:type="dxa"/>
            <w:gridSpan w:val="2"/>
            <w:tcBorders>
              <w:top w:val="single" w:color="auto" w:sz="6" w:space="0"/>
              <w:left w:val="single" w:color="auto" w:sz="6" w:space="0"/>
              <w:bottom w:val="single" w:color="auto" w:sz="6" w:space="0"/>
              <w:right w:val="single" w:color="auto" w:sz="4" w:space="0"/>
            </w:tcBorders>
            <w:noWrap w:val="0"/>
            <w:vAlign w:val="center"/>
          </w:tcPr>
          <w:p w14:paraId="41FFCD70">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1"/>
                <w:szCs w:val="21"/>
              </w:rPr>
            </w:pPr>
            <w:r>
              <w:rPr>
                <w:rFonts w:ascii="宋体" w:hAnsi="宋体" w:cs="宋体"/>
                <w:color w:val="auto"/>
                <w:sz w:val="21"/>
                <w:szCs w:val="21"/>
              </w:rPr>
              <w:t>合计</w:t>
            </w:r>
          </w:p>
        </w:tc>
        <w:tc>
          <w:tcPr>
            <w:tcW w:w="864" w:type="dxa"/>
            <w:tcBorders>
              <w:top w:val="single" w:color="auto" w:sz="6" w:space="0"/>
              <w:left w:val="single" w:color="auto" w:sz="4" w:space="0"/>
              <w:bottom w:val="single" w:color="auto" w:sz="6" w:space="0"/>
              <w:right w:val="single" w:color="auto" w:sz="4" w:space="0"/>
            </w:tcBorders>
            <w:noWrap w:val="0"/>
            <w:vAlign w:val="center"/>
          </w:tcPr>
          <w:p w14:paraId="5D186823">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0</w:t>
            </w:r>
          </w:p>
        </w:tc>
        <w:tc>
          <w:tcPr>
            <w:tcW w:w="6073" w:type="dxa"/>
            <w:tcBorders>
              <w:top w:val="single" w:color="auto" w:sz="6" w:space="0"/>
              <w:left w:val="single" w:color="auto" w:sz="4" w:space="0"/>
              <w:bottom w:val="single" w:color="auto" w:sz="6" w:space="0"/>
              <w:right w:val="single" w:color="auto" w:sz="6" w:space="0"/>
            </w:tcBorders>
            <w:noWrap w:val="0"/>
            <w:vAlign w:val="center"/>
          </w:tcPr>
          <w:p w14:paraId="616EB254">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1"/>
                <w:szCs w:val="21"/>
              </w:rPr>
            </w:pPr>
            <w:r>
              <w:rPr>
                <w:rFonts w:hint="eastAsia" w:ascii="宋体" w:hAnsi="宋体" w:cs="宋体"/>
                <w:color w:val="auto"/>
                <w:sz w:val="21"/>
                <w:szCs w:val="21"/>
              </w:rPr>
              <w:t>/</w:t>
            </w:r>
          </w:p>
        </w:tc>
      </w:tr>
    </w:tbl>
    <w:p w14:paraId="5703BE07">
      <w:pPr>
        <w:pStyle w:val="19"/>
        <w:rPr>
          <w:color w:val="auto"/>
          <w:sz w:val="22"/>
          <w:szCs w:val="24"/>
        </w:rPr>
      </w:pPr>
    </w:p>
    <w:p w14:paraId="3A269EA6">
      <w:pPr>
        <w:pStyle w:val="12"/>
        <w:keepNext w:val="0"/>
        <w:keepLines w:val="0"/>
        <w:pageBreakBefore w:val="0"/>
        <w:widowControl w:val="0"/>
        <w:kinsoku/>
        <w:wordWrap/>
        <w:overflowPunct/>
        <w:topLinePunct w:val="0"/>
        <w:autoSpaceDE/>
        <w:autoSpaceDN/>
        <w:bidi w:val="0"/>
        <w:adjustRightInd/>
        <w:snapToGrid/>
        <w:spacing w:after="0" w:line="594" w:lineRule="exact"/>
        <w:ind w:left="0" w:leftChars="0"/>
        <w:jc w:val="center"/>
        <w:textAlignment w:val="auto"/>
        <w:rPr>
          <w:rFonts w:hint="eastAsia" w:ascii="方正黑体_GBK" w:hAnsi="方正黑体_GBK" w:eastAsia="方正黑体_GBK" w:cs="方正黑体_GBK"/>
          <w:b w:val="0"/>
          <w:bCs/>
          <w:color w:val="auto"/>
          <w:kern w:val="2"/>
          <w:sz w:val="32"/>
          <w:szCs w:val="32"/>
          <w:lang w:val="en-US" w:eastAsia="zh-CN" w:bidi="ar-SA"/>
        </w:rPr>
      </w:pPr>
      <w:r>
        <w:rPr>
          <w:color w:val="auto"/>
          <w:sz w:val="18"/>
          <w:szCs w:val="18"/>
        </w:rPr>
        <w:br w:type="page"/>
      </w:r>
      <w:r>
        <w:rPr>
          <w:rFonts w:hint="eastAsia" w:ascii="方正黑体_GBK" w:hAnsi="方正黑体_GBK" w:eastAsia="方正黑体_GBK" w:cs="方正黑体_GBK"/>
          <w:b w:val="0"/>
          <w:bCs/>
          <w:color w:val="auto"/>
          <w:kern w:val="2"/>
          <w:sz w:val="32"/>
          <w:szCs w:val="32"/>
          <w:lang w:val="en-US" w:eastAsia="zh-CN" w:bidi="ar-SA"/>
        </w:rPr>
        <w:t>商务评分表（30分）</w:t>
      </w:r>
    </w:p>
    <w:p w14:paraId="6BF4AD9B">
      <w:pPr>
        <w:pStyle w:val="12"/>
        <w:keepNext w:val="0"/>
        <w:keepLines w:val="0"/>
        <w:pageBreakBefore w:val="0"/>
        <w:widowControl w:val="0"/>
        <w:kinsoku/>
        <w:wordWrap/>
        <w:overflowPunct/>
        <w:topLinePunct w:val="0"/>
        <w:autoSpaceDE/>
        <w:autoSpaceDN/>
        <w:bidi w:val="0"/>
        <w:adjustRightInd/>
        <w:snapToGrid/>
        <w:spacing w:after="0" w:line="594" w:lineRule="exact"/>
        <w:ind w:left="0" w:leftChars="0"/>
        <w:jc w:val="center"/>
        <w:textAlignment w:val="auto"/>
        <w:rPr>
          <w:rFonts w:hint="eastAsia" w:ascii="方正黑体_GBK" w:hAnsi="方正黑体_GBK" w:eastAsia="方正黑体_GBK" w:cs="方正黑体_GBK"/>
          <w:b w:val="0"/>
          <w:bCs/>
          <w:color w:val="auto"/>
          <w:kern w:val="2"/>
          <w:sz w:val="32"/>
          <w:szCs w:val="32"/>
          <w:lang w:val="en-US" w:eastAsia="zh-CN" w:bidi="ar-SA"/>
        </w:rPr>
      </w:pPr>
    </w:p>
    <w:tbl>
      <w:tblPr>
        <w:tblStyle w:val="16"/>
        <w:tblW w:w="9822" w:type="dxa"/>
        <w:tblInd w:w="-41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5"/>
        <w:gridCol w:w="1329"/>
        <w:gridCol w:w="749"/>
        <w:gridCol w:w="6589"/>
      </w:tblGrid>
      <w:tr w14:paraId="5CAD44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55" w:type="dxa"/>
            <w:tcBorders>
              <w:top w:val="single" w:color="auto" w:sz="6" w:space="0"/>
              <w:left w:val="single" w:color="auto" w:sz="6" w:space="0"/>
              <w:bottom w:val="single" w:color="auto" w:sz="6" w:space="0"/>
              <w:right w:val="single" w:color="auto" w:sz="6" w:space="0"/>
            </w:tcBorders>
            <w:shd w:val="clear" w:color="auto" w:fill="D7D7D7"/>
            <w:noWrap w:val="0"/>
            <w:vAlign w:val="center"/>
          </w:tcPr>
          <w:p w14:paraId="17DAC26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评审项目</w:t>
            </w:r>
          </w:p>
        </w:tc>
        <w:tc>
          <w:tcPr>
            <w:tcW w:w="1329" w:type="dxa"/>
            <w:tcBorders>
              <w:top w:val="single" w:color="auto" w:sz="6" w:space="0"/>
              <w:left w:val="single" w:color="auto" w:sz="6" w:space="0"/>
              <w:bottom w:val="single" w:color="auto" w:sz="6" w:space="0"/>
              <w:right w:val="single" w:color="auto" w:sz="6" w:space="0"/>
            </w:tcBorders>
            <w:shd w:val="clear" w:color="auto" w:fill="D7D7D7"/>
            <w:noWrap w:val="0"/>
            <w:vAlign w:val="center"/>
          </w:tcPr>
          <w:p w14:paraId="24CFE84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分项内容</w:t>
            </w:r>
          </w:p>
        </w:tc>
        <w:tc>
          <w:tcPr>
            <w:tcW w:w="749" w:type="dxa"/>
            <w:tcBorders>
              <w:top w:val="single" w:color="auto" w:sz="6" w:space="0"/>
              <w:left w:val="single" w:color="auto" w:sz="6" w:space="0"/>
              <w:bottom w:val="single" w:color="auto" w:sz="6" w:space="0"/>
              <w:right w:val="single" w:color="auto" w:sz="6" w:space="0"/>
            </w:tcBorders>
            <w:shd w:val="clear" w:color="auto" w:fill="D7D7D7"/>
            <w:noWrap w:val="0"/>
            <w:vAlign w:val="center"/>
          </w:tcPr>
          <w:p w14:paraId="61176DB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6589" w:type="dxa"/>
            <w:tcBorders>
              <w:top w:val="single" w:color="auto" w:sz="6" w:space="0"/>
              <w:left w:val="single" w:color="auto" w:sz="6" w:space="0"/>
              <w:bottom w:val="single" w:color="auto" w:sz="6" w:space="0"/>
              <w:right w:val="single" w:color="auto" w:sz="6" w:space="0"/>
            </w:tcBorders>
            <w:shd w:val="clear" w:color="auto" w:fill="D7D7D7"/>
            <w:noWrap w:val="0"/>
            <w:vAlign w:val="center"/>
          </w:tcPr>
          <w:p w14:paraId="1346971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评分说明</w:t>
            </w:r>
          </w:p>
        </w:tc>
      </w:tr>
      <w:tr w14:paraId="6B226D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12" w:hRule="atLeast"/>
        </w:trPr>
        <w:tc>
          <w:tcPr>
            <w:tcW w:w="1155" w:type="dxa"/>
            <w:tcBorders>
              <w:left w:val="single" w:color="auto" w:sz="6" w:space="0"/>
              <w:right w:val="single" w:color="auto" w:sz="6" w:space="0"/>
            </w:tcBorders>
            <w:noWrap w:val="0"/>
            <w:vAlign w:val="center"/>
          </w:tcPr>
          <w:p w14:paraId="6A7C8B85">
            <w:pPr>
              <w:rPr>
                <w:rFonts w:hint="eastAsia" w:ascii="宋体" w:hAnsi="宋体" w:eastAsia="宋体" w:cs="宋体"/>
                <w:color w:val="auto"/>
                <w:sz w:val="21"/>
                <w:szCs w:val="21"/>
              </w:rPr>
            </w:pPr>
            <w:r>
              <w:rPr>
                <w:rFonts w:hint="eastAsia" w:ascii="宋体" w:hAnsi="宋体" w:eastAsia="宋体" w:cs="宋体"/>
                <w:color w:val="auto"/>
                <w:sz w:val="21"/>
                <w:szCs w:val="21"/>
              </w:rPr>
              <w:t>人员情况（</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分）</w:t>
            </w:r>
          </w:p>
        </w:tc>
        <w:tc>
          <w:tcPr>
            <w:tcW w:w="1329" w:type="dxa"/>
            <w:tcBorders>
              <w:top w:val="single" w:color="auto" w:sz="6" w:space="0"/>
              <w:left w:val="single" w:color="auto" w:sz="6" w:space="0"/>
              <w:right w:val="single" w:color="auto" w:sz="6" w:space="0"/>
            </w:tcBorders>
            <w:noWrap w:val="0"/>
            <w:vAlign w:val="center"/>
          </w:tcPr>
          <w:p w14:paraId="055689E6">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项目管理团队能力</w:t>
            </w:r>
          </w:p>
        </w:tc>
        <w:tc>
          <w:tcPr>
            <w:tcW w:w="749" w:type="dxa"/>
            <w:tcBorders>
              <w:top w:val="single" w:color="auto" w:sz="6" w:space="0"/>
              <w:left w:val="single" w:color="auto" w:sz="6" w:space="0"/>
              <w:bottom w:val="single" w:color="auto" w:sz="6" w:space="0"/>
              <w:right w:val="single" w:color="auto" w:sz="6" w:space="0"/>
            </w:tcBorders>
            <w:noWrap w:val="0"/>
            <w:vAlign w:val="center"/>
          </w:tcPr>
          <w:p w14:paraId="3050B738">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6589" w:type="dxa"/>
            <w:tcBorders>
              <w:top w:val="single" w:color="auto" w:sz="6" w:space="0"/>
              <w:left w:val="single" w:color="auto" w:sz="6" w:space="0"/>
              <w:right w:val="single" w:color="auto" w:sz="6" w:space="0"/>
            </w:tcBorders>
            <w:noWrap w:val="0"/>
            <w:vAlign w:val="top"/>
          </w:tcPr>
          <w:p w14:paraId="0EDC7CB0">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目负责人具有全国性学术组织会长、副会长职务的，得3分；项目团队成员（含负责人）具有法学专业正高级职称的，每1人得2分，项目团队成员（含负责人）具有法学专业副高级或中级职称的，每1人得1分。满分8分。同一人获得多个职称，只算1个。</w:t>
            </w:r>
          </w:p>
          <w:p w14:paraId="4F53CA6B">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2.项目负责人为省级社科</w:t>
            </w:r>
            <w:r>
              <w:rPr>
                <w:rFonts w:hint="default" w:ascii="宋体" w:hAnsi="宋体" w:eastAsia="宋体" w:cs="宋体"/>
                <w:color w:val="auto"/>
                <w:sz w:val="21"/>
                <w:szCs w:val="21"/>
                <w:lang w:val="en-US" w:eastAsia="zh-CN"/>
              </w:rPr>
              <w:t>研究基地</w:t>
            </w:r>
            <w:r>
              <w:rPr>
                <w:rFonts w:hint="eastAsia" w:ascii="宋体" w:hAnsi="宋体" w:eastAsia="宋体" w:cs="宋体"/>
                <w:color w:val="auto"/>
                <w:sz w:val="21"/>
                <w:szCs w:val="21"/>
                <w:lang w:val="en-US" w:eastAsia="zh-CN"/>
              </w:rPr>
              <w:t>负责人或者实际负责人（主持常务工作）的，得3分。满分3分。</w:t>
            </w:r>
          </w:p>
          <w:p w14:paraId="27A04C03">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3.项目团队成员具有法学博士学位的，每人1分，满分2分。</w:t>
            </w:r>
          </w:p>
          <w:p w14:paraId="2D94B1B8">
            <w:pPr>
              <w:rPr>
                <w:rFonts w:hint="eastAsia" w:ascii="宋体" w:hAnsi="宋体" w:eastAsia="宋体" w:cs="宋体"/>
                <w:color w:val="auto"/>
                <w:sz w:val="21"/>
                <w:szCs w:val="21"/>
              </w:rPr>
            </w:pPr>
          </w:p>
          <w:p w14:paraId="12FAC18F">
            <w:pPr>
              <w:rPr>
                <w:rFonts w:hint="eastAsia" w:ascii="宋体" w:hAnsi="宋体" w:eastAsia="宋体" w:cs="宋体"/>
                <w:color w:val="auto"/>
                <w:sz w:val="21"/>
                <w:szCs w:val="21"/>
              </w:rPr>
            </w:pPr>
            <w:r>
              <w:rPr>
                <w:rFonts w:hint="eastAsia" w:ascii="宋体" w:hAnsi="宋体" w:eastAsia="宋体" w:cs="宋体"/>
                <w:color w:val="auto"/>
                <w:sz w:val="21"/>
                <w:szCs w:val="21"/>
              </w:rPr>
              <w:t>以上人员须提供相关证书复印件</w:t>
            </w:r>
            <w:r>
              <w:rPr>
                <w:rFonts w:hint="eastAsia" w:ascii="宋体" w:hAnsi="宋体" w:eastAsia="宋体" w:cs="宋体"/>
                <w:color w:val="auto"/>
                <w:sz w:val="21"/>
                <w:szCs w:val="21"/>
                <w:lang w:eastAsia="zh-CN"/>
              </w:rPr>
              <w:t>、工作经验证明为准</w:t>
            </w:r>
            <w:r>
              <w:rPr>
                <w:rFonts w:hint="eastAsia" w:ascii="宋体" w:hAnsi="宋体" w:eastAsia="宋体" w:cs="宋体"/>
                <w:color w:val="auto"/>
                <w:sz w:val="21"/>
                <w:szCs w:val="21"/>
              </w:rPr>
              <w:t>，未能提供该人员证明的，可以在</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文件中提供相关承诺（承诺书原件须加盖公章，格式自行编制，承诺书内容包括但不限于以下内容：若我单位成交，合同签订时保证按响应文件中所配备投入本项目的人员全部</w:t>
            </w:r>
            <w:r>
              <w:rPr>
                <w:rFonts w:hint="eastAsia" w:ascii="宋体" w:hAnsi="宋体" w:eastAsia="宋体" w:cs="宋体"/>
                <w:color w:val="auto"/>
                <w:sz w:val="21"/>
                <w:szCs w:val="21"/>
                <w:lang w:val="en-US" w:eastAsia="zh-CN"/>
              </w:rPr>
              <w:t>参与项目工作</w:t>
            </w:r>
            <w:r>
              <w:rPr>
                <w:rFonts w:hint="eastAsia" w:ascii="宋体" w:hAnsi="宋体" w:eastAsia="宋体" w:cs="宋体"/>
                <w:color w:val="auto"/>
                <w:sz w:val="21"/>
                <w:szCs w:val="21"/>
              </w:rPr>
              <w:t>，否则视为我单位放弃成交资格），视为满足评审要求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不提供不得分。</w:t>
            </w:r>
          </w:p>
        </w:tc>
      </w:tr>
      <w:tr w14:paraId="674727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55" w:type="dxa"/>
            <w:tcBorders>
              <w:left w:val="single" w:color="auto" w:sz="6" w:space="0"/>
              <w:right w:val="single" w:color="auto" w:sz="6" w:space="0"/>
            </w:tcBorders>
            <w:noWrap w:val="0"/>
            <w:vAlign w:val="center"/>
          </w:tcPr>
          <w:p w14:paraId="1C129D93">
            <w:pPr>
              <w:rPr>
                <w:rFonts w:hint="eastAsia" w:ascii="宋体" w:hAnsi="宋体" w:eastAsia="宋体" w:cs="宋体"/>
                <w:color w:val="auto"/>
                <w:sz w:val="21"/>
                <w:szCs w:val="21"/>
              </w:rPr>
            </w:pPr>
            <w:r>
              <w:rPr>
                <w:rFonts w:hint="eastAsia" w:ascii="宋体" w:hAnsi="宋体" w:eastAsia="宋体" w:cs="宋体"/>
                <w:color w:val="auto"/>
                <w:sz w:val="21"/>
                <w:szCs w:val="21"/>
              </w:rPr>
              <w:t>业绩情况（</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分）</w:t>
            </w:r>
          </w:p>
        </w:tc>
        <w:tc>
          <w:tcPr>
            <w:tcW w:w="1329" w:type="dxa"/>
            <w:tcBorders>
              <w:top w:val="single" w:color="auto" w:sz="6" w:space="0"/>
              <w:left w:val="single" w:color="auto" w:sz="6" w:space="0"/>
              <w:bottom w:val="single" w:color="auto" w:sz="6" w:space="0"/>
              <w:right w:val="single" w:color="auto" w:sz="6" w:space="0"/>
            </w:tcBorders>
            <w:noWrap w:val="0"/>
            <w:vAlign w:val="center"/>
          </w:tcPr>
          <w:p w14:paraId="1BCFFD13">
            <w:pPr>
              <w:rPr>
                <w:rFonts w:hint="eastAsia" w:ascii="宋体" w:hAnsi="宋体" w:eastAsia="宋体" w:cs="宋体"/>
                <w:color w:val="auto"/>
                <w:sz w:val="21"/>
                <w:szCs w:val="21"/>
              </w:rPr>
            </w:pPr>
            <w:r>
              <w:rPr>
                <w:rFonts w:hint="eastAsia" w:ascii="宋体" w:hAnsi="宋体" w:eastAsia="宋体" w:cs="宋体"/>
                <w:color w:val="auto"/>
                <w:sz w:val="21"/>
                <w:szCs w:val="21"/>
              </w:rPr>
              <w:t>类似业绩</w:t>
            </w:r>
          </w:p>
        </w:tc>
        <w:tc>
          <w:tcPr>
            <w:tcW w:w="749" w:type="dxa"/>
            <w:tcBorders>
              <w:left w:val="single" w:color="auto" w:sz="6" w:space="0"/>
              <w:bottom w:val="single" w:color="auto" w:sz="6" w:space="0"/>
              <w:right w:val="single" w:color="auto" w:sz="6" w:space="0"/>
            </w:tcBorders>
            <w:noWrap w:val="0"/>
            <w:vAlign w:val="center"/>
          </w:tcPr>
          <w:p w14:paraId="6FABCCC5">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6589" w:type="dxa"/>
            <w:tcBorders>
              <w:left w:val="single" w:color="auto" w:sz="6" w:space="0"/>
              <w:bottom w:val="single" w:color="auto" w:sz="6" w:space="0"/>
              <w:right w:val="single" w:color="auto" w:sz="6" w:space="0"/>
            </w:tcBorders>
            <w:noWrap w:val="0"/>
            <w:vAlign w:val="center"/>
          </w:tcPr>
          <w:p w14:paraId="4D616A97">
            <w:pPr>
              <w:rPr>
                <w:rFonts w:hint="eastAsia" w:ascii="宋体" w:hAnsi="宋体" w:eastAsia="宋体" w:cs="宋体"/>
                <w:color w:val="auto"/>
                <w:sz w:val="21"/>
                <w:szCs w:val="21"/>
              </w:rPr>
            </w:pPr>
            <w:r>
              <w:rPr>
                <w:rFonts w:hint="eastAsia" w:ascii="宋体" w:hAnsi="宋体" w:eastAsia="宋体" w:cs="宋体"/>
                <w:color w:val="auto"/>
                <w:sz w:val="21"/>
                <w:szCs w:val="21"/>
              </w:rPr>
              <w:t>1.项目负责人曾主持国家级重点科研项目，每个业绩得3分，曾主持国家级一般科研项目，每个业绩得2分；满分5分。</w:t>
            </w:r>
          </w:p>
          <w:p w14:paraId="0D43B728">
            <w:pPr>
              <w:rPr>
                <w:rFonts w:hint="eastAsia" w:ascii="宋体" w:hAnsi="宋体" w:eastAsia="宋体" w:cs="宋体"/>
                <w:color w:val="auto"/>
                <w:sz w:val="21"/>
                <w:szCs w:val="21"/>
              </w:rPr>
            </w:pPr>
            <w:r>
              <w:rPr>
                <w:rFonts w:hint="eastAsia" w:ascii="宋体" w:hAnsi="宋体" w:eastAsia="宋体" w:cs="宋体"/>
                <w:color w:val="auto"/>
                <w:sz w:val="21"/>
                <w:szCs w:val="21"/>
              </w:rPr>
              <w:t>2.项目负责人曾获得省级科研成果奖一等奖的，每次得3分，二等级或三等奖的，每次2分；项目团队成员（含负责人）曾获得省级、副省级科研成果奖的，每次得2分。本项满分7分。</w:t>
            </w:r>
          </w:p>
          <w:p w14:paraId="35E71AA8">
            <w:pPr>
              <w:rPr>
                <w:rFonts w:hint="eastAsia" w:ascii="宋体" w:hAnsi="宋体" w:eastAsia="宋体" w:cs="宋体"/>
                <w:color w:val="auto"/>
                <w:sz w:val="21"/>
                <w:szCs w:val="21"/>
              </w:rPr>
            </w:pPr>
            <w:r>
              <w:rPr>
                <w:rFonts w:hint="eastAsia" w:ascii="宋体" w:hAnsi="宋体" w:eastAsia="宋体" w:cs="宋体"/>
                <w:color w:val="auto"/>
                <w:sz w:val="21"/>
                <w:szCs w:val="21"/>
              </w:rPr>
              <w:t>须提供相关证书复印件、工作经验证明，未能提供证明的，可以在响应文件中提供相关承诺，不提供不得分。</w:t>
            </w:r>
          </w:p>
        </w:tc>
      </w:tr>
      <w:tr w14:paraId="7EA4B0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36" w:hRule="atLeast"/>
        </w:trPr>
        <w:tc>
          <w:tcPr>
            <w:tcW w:w="1155" w:type="dxa"/>
            <w:tcBorders>
              <w:left w:val="single" w:color="auto" w:sz="6" w:space="0"/>
              <w:right w:val="single" w:color="auto" w:sz="6" w:space="0"/>
            </w:tcBorders>
            <w:noWrap w:val="0"/>
            <w:vAlign w:val="center"/>
          </w:tcPr>
          <w:p w14:paraId="393EAB4A">
            <w:pPr>
              <w:rPr>
                <w:rFonts w:hint="eastAsia" w:ascii="宋体" w:hAnsi="宋体" w:eastAsia="宋体" w:cs="宋体"/>
                <w:color w:val="auto"/>
                <w:sz w:val="21"/>
                <w:szCs w:val="21"/>
              </w:rPr>
            </w:pPr>
            <w:r>
              <w:rPr>
                <w:rFonts w:hint="eastAsia" w:ascii="宋体" w:hAnsi="宋体" w:eastAsia="宋体" w:cs="宋体"/>
                <w:color w:val="auto"/>
                <w:sz w:val="21"/>
                <w:szCs w:val="21"/>
              </w:rPr>
              <w:t>企业综合能力（</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1329" w:type="dxa"/>
            <w:tcBorders>
              <w:top w:val="single" w:color="auto" w:sz="6" w:space="0"/>
              <w:left w:val="single" w:color="auto" w:sz="6" w:space="0"/>
              <w:bottom w:val="single" w:color="auto" w:sz="6" w:space="0"/>
              <w:right w:val="single" w:color="auto" w:sz="6" w:space="0"/>
            </w:tcBorders>
            <w:noWrap w:val="0"/>
            <w:vAlign w:val="center"/>
          </w:tcPr>
          <w:p w14:paraId="3C139C65">
            <w:pPr>
              <w:rPr>
                <w:rFonts w:hint="eastAsia" w:ascii="宋体" w:hAnsi="宋体" w:eastAsia="宋体" w:cs="宋体"/>
                <w:color w:val="auto"/>
                <w:sz w:val="21"/>
                <w:szCs w:val="21"/>
              </w:rPr>
            </w:pPr>
            <w:r>
              <w:rPr>
                <w:rFonts w:hint="eastAsia" w:ascii="宋体" w:hAnsi="宋体" w:eastAsia="宋体" w:cs="宋体"/>
                <w:color w:val="auto"/>
                <w:sz w:val="21"/>
                <w:szCs w:val="21"/>
              </w:rPr>
              <w:t>资质情况</w:t>
            </w:r>
          </w:p>
        </w:tc>
        <w:tc>
          <w:tcPr>
            <w:tcW w:w="749" w:type="dxa"/>
            <w:tcBorders>
              <w:left w:val="single" w:color="auto" w:sz="6" w:space="0"/>
              <w:right w:val="single" w:color="auto" w:sz="6" w:space="0"/>
            </w:tcBorders>
            <w:noWrap w:val="0"/>
            <w:vAlign w:val="center"/>
          </w:tcPr>
          <w:p w14:paraId="06F50DF0">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589" w:type="dxa"/>
            <w:tcBorders>
              <w:left w:val="single" w:color="auto" w:sz="6" w:space="0"/>
              <w:right w:val="single" w:color="auto" w:sz="6" w:space="0"/>
            </w:tcBorders>
            <w:noWrap w:val="0"/>
            <w:vAlign w:val="center"/>
          </w:tcPr>
          <w:p w14:paraId="2EB441D0">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项目负责人为省级以上人大常委会立法咨询与评估专家的，得3分。</w:t>
            </w:r>
          </w:p>
          <w:p w14:paraId="6F566673">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项目组成员（含负责人）为副省级城市市级以上人大常委会立法咨询与评估专家的，每人得2分。</w:t>
            </w:r>
          </w:p>
        </w:tc>
      </w:tr>
      <w:tr w14:paraId="2EB5EB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484" w:type="dxa"/>
            <w:gridSpan w:val="2"/>
            <w:tcBorders>
              <w:left w:val="single" w:color="auto" w:sz="6" w:space="0"/>
              <w:right w:val="single" w:color="auto" w:sz="4" w:space="0"/>
            </w:tcBorders>
            <w:noWrap w:val="0"/>
            <w:vAlign w:val="center"/>
          </w:tcPr>
          <w:p w14:paraId="1774F8F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749" w:type="dxa"/>
            <w:tcBorders>
              <w:left w:val="single" w:color="auto" w:sz="4" w:space="0"/>
              <w:right w:val="single" w:color="auto" w:sz="4" w:space="0"/>
            </w:tcBorders>
            <w:noWrap w:val="0"/>
            <w:vAlign w:val="center"/>
          </w:tcPr>
          <w:p w14:paraId="130B44B5">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30</w:t>
            </w:r>
          </w:p>
        </w:tc>
        <w:tc>
          <w:tcPr>
            <w:tcW w:w="6589" w:type="dxa"/>
            <w:tcBorders>
              <w:left w:val="single" w:color="auto" w:sz="4" w:space="0"/>
              <w:right w:val="single" w:color="auto" w:sz="6" w:space="0"/>
            </w:tcBorders>
            <w:noWrap w:val="0"/>
            <w:vAlign w:val="center"/>
          </w:tcPr>
          <w:p w14:paraId="02BCE47B">
            <w:pPr>
              <w:rPr>
                <w:rFonts w:hint="eastAsia" w:ascii="宋体" w:hAnsi="宋体" w:eastAsia="宋体" w:cs="宋体"/>
                <w:color w:val="auto"/>
                <w:sz w:val="21"/>
                <w:szCs w:val="21"/>
              </w:rPr>
            </w:pPr>
            <w:r>
              <w:rPr>
                <w:rFonts w:hint="eastAsia" w:ascii="宋体" w:hAnsi="宋体" w:eastAsia="宋体" w:cs="宋体"/>
                <w:color w:val="auto"/>
                <w:sz w:val="21"/>
                <w:szCs w:val="21"/>
              </w:rPr>
              <w:t>/</w:t>
            </w:r>
          </w:p>
        </w:tc>
      </w:tr>
    </w:tbl>
    <w:p w14:paraId="7F3D3F50">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lang w:eastAsia="zh-CN"/>
        </w:rPr>
        <w:t>注：各评委按规定的范围内进行量化打分，并统计总分。</w:t>
      </w:r>
    </w:p>
    <w:p w14:paraId="5027802A">
      <w:pPr>
        <w:rPr>
          <w:rFonts w:hint="eastAsia" w:ascii="方正小标宋_GBK" w:hAnsi="方正小标宋_GBK" w:eastAsia="方正小标宋_GBK" w:cs="方正小标宋_GBK"/>
          <w:b w:val="0"/>
          <w:bCs w:val="0"/>
          <w:color w:val="auto"/>
          <w:spacing w:val="0"/>
          <w:w w:val="100"/>
          <w:sz w:val="44"/>
          <w:szCs w:val="44"/>
        </w:rPr>
      </w:pPr>
    </w:p>
    <w:p w14:paraId="07DAE55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auto"/>
          <w:spacing w:val="0"/>
          <w:w w:val="100"/>
          <w:sz w:val="44"/>
          <w:szCs w:val="44"/>
        </w:rPr>
      </w:pPr>
      <w:r>
        <w:rPr>
          <w:rFonts w:hint="eastAsia" w:ascii="方正小标宋_GBK" w:hAnsi="方正小标宋_GBK" w:eastAsia="方正小标宋_GBK" w:cs="方正小标宋_GBK"/>
          <w:b w:val="0"/>
          <w:bCs w:val="0"/>
          <w:color w:val="auto"/>
          <w:spacing w:val="0"/>
          <w:w w:val="100"/>
          <w:sz w:val="44"/>
          <w:szCs w:val="44"/>
        </w:rPr>
        <w:br w:type="page"/>
      </w:r>
      <w:r>
        <w:rPr>
          <w:rFonts w:hint="eastAsia" w:ascii="方正小标宋_GBK" w:hAnsi="方正小标宋_GBK" w:eastAsia="方正小标宋_GBK" w:cs="方正小标宋_GBK"/>
          <w:b w:val="0"/>
          <w:bCs w:val="0"/>
          <w:color w:val="auto"/>
          <w:spacing w:val="0"/>
          <w:w w:val="100"/>
          <w:sz w:val="44"/>
          <w:szCs w:val="44"/>
        </w:rPr>
        <w:t>第四章  合同格式</w:t>
      </w:r>
    </w:p>
    <w:p w14:paraId="20B06D4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auto"/>
          <w:spacing w:val="0"/>
          <w:w w:val="100"/>
          <w:sz w:val="44"/>
          <w:szCs w:val="44"/>
        </w:rPr>
      </w:pPr>
    </w:p>
    <w:p w14:paraId="38CC6E12">
      <w:pPr>
        <w:tabs>
          <w:tab w:val="left" w:pos="8591"/>
        </w:tabs>
        <w:spacing w:before="50"/>
        <w:ind w:left="4529"/>
        <w:rPr>
          <w:rFonts w:ascii="黑体" w:hAnsi="黑体" w:eastAsia="黑体"/>
          <w:b/>
          <w:color w:val="auto"/>
          <w:sz w:val="32"/>
          <w:szCs w:val="32"/>
        </w:rPr>
      </w:pPr>
      <w:r>
        <w:rPr>
          <w:rFonts w:hint="eastAsia" w:ascii="黑体" w:hAnsi="黑体" w:eastAsia="黑体"/>
          <w:b/>
          <w:color w:val="auto"/>
          <w:sz w:val="32"/>
          <w:szCs w:val="32"/>
        </w:rPr>
        <w:t>合同号：</w:t>
      </w:r>
      <w:r>
        <w:rPr>
          <w:rFonts w:ascii="黑体" w:hAnsi="黑体" w:eastAsia="黑体"/>
          <w:b/>
          <w:color w:val="auto"/>
          <w:w w:val="103"/>
          <w:sz w:val="32"/>
          <w:szCs w:val="32"/>
          <w:u w:val="single"/>
        </w:rPr>
        <w:t xml:space="preserve"> </w:t>
      </w:r>
      <w:r>
        <w:rPr>
          <w:rFonts w:ascii="黑体" w:hAnsi="黑体" w:eastAsia="黑体"/>
          <w:b/>
          <w:color w:val="auto"/>
          <w:sz w:val="32"/>
          <w:szCs w:val="32"/>
          <w:u w:val="single"/>
        </w:rPr>
        <w:tab/>
      </w:r>
    </w:p>
    <w:p w14:paraId="283F0C8F">
      <w:pPr>
        <w:pStyle w:val="8"/>
        <w:rPr>
          <w:rFonts w:ascii="仿宋" w:hAnsi="仿宋" w:eastAsia="仿宋"/>
          <w:b/>
          <w:color w:val="auto"/>
          <w:sz w:val="20"/>
        </w:rPr>
      </w:pPr>
    </w:p>
    <w:p w14:paraId="137F46D2">
      <w:pPr>
        <w:pStyle w:val="8"/>
        <w:rPr>
          <w:rFonts w:ascii="仿宋" w:hAnsi="仿宋" w:eastAsia="仿宋"/>
          <w:b/>
          <w:color w:val="auto"/>
          <w:sz w:val="20"/>
        </w:rPr>
      </w:pPr>
    </w:p>
    <w:p w14:paraId="53C695F9">
      <w:pPr>
        <w:spacing w:line="594" w:lineRule="exact"/>
        <w:jc w:val="center"/>
        <w:rPr>
          <w:rFonts w:hint="eastAsia" w:ascii="方正小标宋_GBK" w:hAnsi="方正小标宋_GBK" w:eastAsia="方正小标宋_GBK" w:cs="方正小标宋_GBK"/>
          <w:b w:val="0"/>
          <w:bCs w:val="0"/>
          <w:color w:val="auto"/>
          <w:w w:val="100"/>
          <w:sz w:val="52"/>
          <w:szCs w:val="52"/>
        </w:rPr>
      </w:pPr>
      <w:r>
        <w:rPr>
          <w:rFonts w:hint="eastAsia" w:ascii="方正小标宋_GBK" w:hAnsi="方正小标宋_GBK" w:eastAsia="方正小标宋_GBK" w:cs="方正小标宋_GBK"/>
          <w:b w:val="0"/>
          <w:bCs w:val="0"/>
          <w:color w:val="auto"/>
          <w:w w:val="100"/>
          <w:sz w:val="52"/>
          <w:szCs w:val="52"/>
        </w:rPr>
        <w:t>《广东省高层建筑消防安全管理规定</w:t>
      </w:r>
      <w:r>
        <w:rPr>
          <w:rFonts w:hint="eastAsia" w:ascii="方正小标宋_GBK" w:hAnsi="方正小标宋_GBK" w:eastAsia="方正小标宋_GBK" w:cs="方正小标宋_GBK"/>
          <w:b w:val="0"/>
          <w:bCs w:val="0"/>
          <w:color w:val="auto"/>
          <w:w w:val="100"/>
          <w:sz w:val="52"/>
          <w:szCs w:val="52"/>
          <w:lang w:eastAsia="zh-CN"/>
        </w:rPr>
        <w:t>（</w:t>
      </w:r>
      <w:r>
        <w:rPr>
          <w:rFonts w:hint="eastAsia" w:ascii="方正小标宋_GBK" w:hAnsi="方正小标宋_GBK" w:eastAsia="方正小标宋_GBK" w:cs="方正小标宋_GBK"/>
          <w:b w:val="0"/>
          <w:bCs w:val="0"/>
          <w:color w:val="auto"/>
          <w:w w:val="100"/>
          <w:sz w:val="52"/>
          <w:szCs w:val="52"/>
          <w:lang w:val="en-US" w:eastAsia="zh-CN"/>
        </w:rPr>
        <w:t>草案</w:t>
      </w:r>
      <w:r>
        <w:rPr>
          <w:rFonts w:hint="eastAsia" w:ascii="方正小标宋_GBK" w:hAnsi="方正小标宋_GBK" w:eastAsia="方正小标宋_GBK" w:cs="方正小标宋_GBK"/>
          <w:b w:val="0"/>
          <w:bCs w:val="0"/>
          <w:color w:val="auto"/>
          <w:w w:val="100"/>
          <w:sz w:val="52"/>
          <w:szCs w:val="52"/>
          <w:lang w:eastAsia="zh-CN"/>
        </w:rPr>
        <w:t>）</w:t>
      </w:r>
      <w:r>
        <w:rPr>
          <w:rFonts w:hint="eastAsia" w:ascii="方正小标宋_GBK" w:hAnsi="方正小标宋_GBK" w:eastAsia="方正小标宋_GBK" w:cs="方正小标宋_GBK"/>
          <w:b w:val="0"/>
          <w:bCs w:val="0"/>
          <w:color w:val="auto"/>
          <w:w w:val="100"/>
          <w:sz w:val="52"/>
          <w:szCs w:val="52"/>
        </w:rPr>
        <w:t>》三个评估项目</w:t>
      </w:r>
    </w:p>
    <w:p w14:paraId="46660FA1">
      <w:pPr>
        <w:pStyle w:val="8"/>
        <w:spacing w:before="3"/>
        <w:rPr>
          <w:rFonts w:ascii="仿宋" w:hAnsi="仿宋" w:eastAsia="仿宋"/>
          <w:b/>
          <w:color w:val="auto"/>
          <w:sz w:val="59"/>
        </w:rPr>
      </w:pPr>
    </w:p>
    <w:p w14:paraId="5930C174">
      <w:pPr>
        <w:pStyle w:val="14"/>
        <w:spacing w:line="501" w:lineRule="auto"/>
        <w:ind w:left="3999" w:right="4142"/>
        <w:jc w:val="both"/>
        <w:rPr>
          <w:rFonts w:hint="eastAsia" w:ascii="方正黑体_GBK" w:hAnsi="方正黑体_GBK" w:eastAsia="方正黑体_GBK" w:cs="方正黑体_GBK"/>
          <w:b w:val="0"/>
          <w:bCs w:val="0"/>
          <w:color w:val="auto"/>
          <w:sz w:val="84"/>
          <w:szCs w:val="84"/>
        </w:rPr>
      </w:pPr>
      <w:r>
        <w:rPr>
          <w:rFonts w:hint="eastAsia" w:ascii="方正黑体_GBK" w:hAnsi="方正黑体_GBK" w:eastAsia="方正黑体_GBK" w:cs="方正黑体_GBK"/>
          <w:b w:val="0"/>
          <w:bCs w:val="0"/>
          <w:color w:val="auto"/>
          <w:sz w:val="84"/>
          <w:szCs w:val="84"/>
        </w:rPr>
        <w:t>合同</w:t>
      </w:r>
    </w:p>
    <w:p w14:paraId="39FC71BE">
      <w:pPr>
        <w:pStyle w:val="8"/>
        <w:spacing w:before="9"/>
        <w:rPr>
          <w:rFonts w:ascii="仿宋" w:hAnsi="仿宋" w:eastAsia="仿宋"/>
          <w:b/>
          <w:color w:val="auto"/>
          <w:sz w:val="49"/>
        </w:rPr>
      </w:pPr>
    </w:p>
    <w:p w14:paraId="6F39E405">
      <w:pPr>
        <w:tabs>
          <w:tab w:val="left" w:pos="3169"/>
          <w:tab w:val="left" w:pos="3329"/>
          <w:tab w:val="left" w:pos="7809"/>
        </w:tabs>
        <w:spacing w:line="324" w:lineRule="auto"/>
        <w:ind w:left="769" w:right="1052"/>
        <w:rPr>
          <w:rFonts w:hint="eastAsia" w:ascii="方正黑体_GBK" w:hAnsi="方正黑体_GBK" w:eastAsia="方正黑体_GBK" w:cs="方正黑体_GBK"/>
          <w:b w:val="0"/>
          <w:bCs/>
          <w:color w:val="auto"/>
          <w:sz w:val="32"/>
          <w:szCs w:val="32"/>
          <w:u w:val="single"/>
        </w:rPr>
      </w:pPr>
      <w:r>
        <w:rPr>
          <w:rFonts w:hint="eastAsia" w:ascii="方正黑体_GBK" w:hAnsi="方正黑体_GBK" w:eastAsia="方正黑体_GBK" w:cs="方正黑体_GBK"/>
          <w:b w:val="0"/>
          <w:bCs/>
          <w:color w:val="auto"/>
          <w:spacing w:val="3"/>
          <w:sz w:val="32"/>
          <w:szCs w:val="32"/>
        </w:rPr>
        <w:t>聘请方：</w:t>
      </w:r>
      <w:r>
        <w:rPr>
          <w:rFonts w:hint="eastAsia" w:ascii="方正黑体_GBK" w:hAnsi="方正黑体_GBK" w:eastAsia="方正黑体_GBK" w:cs="方正黑体_GBK"/>
          <w:b w:val="0"/>
          <w:bCs/>
          <w:color w:val="auto"/>
          <w:spacing w:val="3"/>
          <w:sz w:val="32"/>
          <w:szCs w:val="32"/>
          <w:u w:val="single"/>
        </w:rPr>
        <w:tab/>
      </w:r>
      <w:r>
        <w:rPr>
          <w:rFonts w:hint="eastAsia" w:ascii="方正黑体_GBK" w:hAnsi="方正黑体_GBK" w:eastAsia="方正黑体_GBK" w:cs="方正黑体_GBK"/>
          <w:b w:val="0"/>
          <w:bCs/>
          <w:color w:val="auto"/>
          <w:spacing w:val="3"/>
          <w:sz w:val="32"/>
          <w:szCs w:val="32"/>
          <w:u w:val="single"/>
        </w:rPr>
        <w:t>广东省消防救援总队</w:t>
      </w:r>
      <w:r>
        <w:rPr>
          <w:rFonts w:hint="eastAsia" w:ascii="方正黑体_GBK" w:hAnsi="方正黑体_GBK" w:eastAsia="方正黑体_GBK" w:cs="方正黑体_GBK"/>
          <w:b w:val="0"/>
          <w:bCs/>
          <w:color w:val="auto"/>
          <w:sz w:val="32"/>
          <w:szCs w:val="32"/>
          <w:u w:val="single"/>
        </w:rPr>
        <w:tab/>
      </w:r>
    </w:p>
    <w:p w14:paraId="294332BC">
      <w:pPr>
        <w:tabs>
          <w:tab w:val="left" w:pos="3169"/>
          <w:tab w:val="left" w:pos="3329"/>
          <w:tab w:val="left" w:pos="7809"/>
        </w:tabs>
        <w:spacing w:line="324" w:lineRule="auto"/>
        <w:ind w:left="769" w:right="1052"/>
        <w:rPr>
          <w:rFonts w:ascii="黑体" w:hAnsi="黑体" w:eastAsia="黑体"/>
          <w:b/>
          <w:color w:val="auto"/>
          <w:sz w:val="31"/>
        </w:rPr>
      </w:pPr>
      <w:r>
        <w:rPr>
          <w:rFonts w:hint="eastAsia" w:ascii="方正黑体_GBK" w:hAnsi="方正黑体_GBK" w:eastAsia="方正黑体_GBK" w:cs="方正黑体_GBK"/>
          <w:b w:val="0"/>
          <w:bCs/>
          <w:color w:val="auto"/>
          <w:spacing w:val="3"/>
          <w:sz w:val="32"/>
          <w:szCs w:val="32"/>
        </w:rPr>
        <w:t>受聘方：</w:t>
      </w:r>
      <w:r>
        <w:rPr>
          <w:rFonts w:hint="eastAsia" w:ascii="方正黑体_GBK" w:hAnsi="方正黑体_GBK" w:eastAsia="方正黑体_GBK" w:cs="方正黑体_GBK"/>
          <w:b w:val="0"/>
          <w:bCs/>
          <w:color w:val="auto"/>
          <w:spacing w:val="3"/>
          <w:sz w:val="32"/>
          <w:szCs w:val="32"/>
          <w:u w:val="single"/>
        </w:rPr>
        <w:tab/>
      </w:r>
      <w:r>
        <w:rPr>
          <w:rFonts w:hint="eastAsia" w:ascii="方正黑体_GBK" w:hAnsi="方正黑体_GBK" w:eastAsia="方正黑体_GBK" w:cs="方正黑体_GBK"/>
          <w:b w:val="0"/>
          <w:bCs/>
          <w:color w:val="auto"/>
          <w:spacing w:val="3"/>
          <w:sz w:val="32"/>
          <w:szCs w:val="32"/>
          <w:u w:val="single"/>
        </w:rPr>
        <w:tab/>
      </w:r>
      <w:r>
        <w:rPr>
          <w:rFonts w:hint="eastAsia" w:ascii="方正黑体_GBK" w:hAnsi="方正黑体_GBK" w:eastAsia="方正黑体_GBK" w:cs="方正黑体_GBK"/>
          <w:b w:val="0"/>
          <w:bCs/>
          <w:color w:val="auto"/>
          <w:sz w:val="32"/>
          <w:szCs w:val="32"/>
          <w:u w:val="single"/>
        </w:rPr>
        <w:tab/>
      </w:r>
    </w:p>
    <w:p w14:paraId="170308FF">
      <w:pPr>
        <w:spacing w:line="324" w:lineRule="auto"/>
        <w:rPr>
          <w:rFonts w:ascii="仿宋" w:hAnsi="仿宋" w:eastAsia="仿宋"/>
          <w:color w:val="auto"/>
          <w:sz w:val="31"/>
        </w:rPr>
        <w:sectPr>
          <w:headerReference r:id="rId5" w:type="default"/>
          <w:footerReference r:id="rId6" w:type="default"/>
          <w:pgSz w:w="11910" w:h="16840"/>
          <w:pgMar w:top="1540" w:right="1360" w:bottom="280" w:left="1680" w:header="720" w:footer="720" w:gutter="0"/>
          <w:pgBorders>
            <w:top w:val="none" w:sz="0" w:space="0"/>
            <w:left w:val="none" w:sz="0" w:space="0"/>
            <w:bottom w:val="none" w:sz="0" w:space="0"/>
            <w:right w:val="none" w:sz="0" w:space="0"/>
          </w:pgBorders>
          <w:pgNumType w:start="1"/>
          <w:cols w:space="720" w:num="1"/>
        </w:sectPr>
      </w:pPr>
    </w:p>
    <w:p w14:paraId="3E8421FA">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根据《中华人民共和国民法典》</w:t>
      </w:r>
      <w:r>
        <w:rPr>
          <w:rFonts w:hint="eastAsia" w:ascii="仿宋" w:hAnsi="仿宋" w:eastAsia="仿宋" w:cs="仿宋"/>
          <w:color w:val="auto"/>
          <w:sz w:val="21"/>
          <w:szCs w:val="21"/>
          <w:lang w:val="en-US" w:eastAsia="zh-CN"/>
        </w:rPr>
        <w:t>及相关法律法规规定</w:t>
      </w:r>
      <w:r>
        <w:rPr>
          <w:rFonts w:hint="eastAsia" w:ascii="仿宋" w:hAnsi="仿宋" w:eastAsia="仿宋" w:cs="仿宋"/>
          <w:color w:val="auto"/>
          <w:sz w:val="21"/>
          <w:szCs w:val="21"/>
        </w:rPr>
        <w:t>，</w:t>
      </w:r>
      <w:r>
        <w:rPr>
          <w:rFonts w:hint="default" w:ascii="Times New Roman" w:hAnsi="Times New Roman" w:eastAsia="方正仿宋_GBK" w:cs="Times New Roman"/>
          <w:color w:val="auto"/>
          <w:sz w:val="21"/>
          <w:szCs w:val="21"/>
        </w:rPr>
        <w:t>经双方协商，本着平等互利和诚实信用的原则，一致同意签订本合同如下。</w:t>
      </w:r>
    </w:p>
    <w:p w14:paraId="11DFF12D">
      <w:pPr>
        <w:pStyle w:val="22"/>
        <w:keepNext w:val="0"/>
        <w:keepLines w:val="0"/>
        <w:pageBreakBefore w:val="0"/>
        <w:widowControl w:val="0"/>
        <w:kinsoku/>
        <w:wordWrap/>
        <w:overflowPunct/>
        <w:topLinePunct w:val="0"/>
        <w:autoSpaceDE/>
        <w:autoSpaceDN/>
        <w:bidi w:val="0"/>
        <w:adjustRightInd/>
        <w:snapToGrid/>
        <w:spacing w:line="400" w:lineRule="exact"/>
        <w:ind w:left="0" w:firstLine="420" w:firstLineChars="200"/>
        <w:contextualSpacing/>
        <w:textAlignment w:val="auto"/>
        <w:outlineLvl w:val="1"/>
        <w:rPr>
          <w:rFonts w:hint="eastAsia" w:ascii="方正黑体_GBK" w:hAnsi="方正黑体_GBK" w:eastAsia="方正黑体_GBK" w:cs="方正黑体_GBK"/>
          <w:b w:val="0"/>
          <w:bCs w:val="0"/>
          <w:color w:val="auto"/>
          <w:sz w:val="21"/>
          <w:szCs w:val="21"/>
        </w:rPr>
      </w:pPr>
      <w:bookmarkStart w:id="10" w:name="_Toc78604605"/>
      <w:bookmarkStart w:id="11" w:name="_Toc78604606"/>
      <w:r>
        <w:rPr>
          <w:rFonts w:hint="eastAsia" w:ascii="方正黑体_GBK" w:hAnsi="方正黑体_GBK" w:eastAsia="方正黑体_GBK" w:cs="方正黑体_GBK"/>
          <w:b w:val="0"/>
          <w:bCs w:val="0"/>
          <w:color w:val="auto"/>
          <w:sz w:val="21"/>
          <w:szCs w:val="21"/>
        </w:rPr>
        <w:t>第一条 项目名称</w:t>
      </w:r>
    </w:p>
    <w:p w14:paraId="0481C6CE">
      <w:pPr>
        <w:pStyle w:val="22"/>
        <w:keepNext w:val="0"/>
        <w:keepLines w:val="0"/>
        <w:pageBreakBefore w:val="0"/>
        <w:widowControl w:val="0"/>
        <w:kinsoku/>
        <w:wordWrap/>
        <w:overflowPunct/>
        <w:topLinePunct w:val="0"/>
        <w:autoSpaceDE/>
        <w:autoSpaceDN/>
        <w:bidi w:val="0"/>
        <w:adjustRightInd/>
        <w:snapToGrid/>
        <w:spacing w:line="400" w:lineRule="exact"/>
        <w:ind w:left="0" w:firstLine="420" w:firstLineChars="200"/>
        <w:contextualSpacing/>
        <w:textAlignment w:val="auto"/>
        <w:outlineLvl w:val="1"/>
        <w:rPr>
          <w:rFonts w:hint="default" w:ascii="Times New Roman" w:hAnsi="Times New Roman" w:eastAsia="方正仿宋_GBK" w:cs="Times New Roman"/>
          <w:bCs/>
          <w:color w:val="auto"/>
          <w:sz w:val="21"/>
          <w:szCs w:val="21"/>
          <w:highlight w:val="none"/>
        </w:rPr>
      </w:pPr>
      <w:r>
        <w:rPr>
          <w:rFonts w:hint="default" w:ascii="Times New Roman" w:hAnsi="Times New Roman" w:eastAsia="方正仿宋_GBK" w:cs="Times New Roman"/>
          <w:bCs/>
          <w:color w:val="auto"/>
          <w:sz w:val="21"/>
          <w:szCs w:val="21"/>
          <w:highlight w:val="none"/>
        </w:rPr>
        <w:t>《广东省高层建筑消防安全管理规定</w:t>
      </w:r>
      <w:r>
        <w:rPr>
          <w:rFonts w:hint="eastAsia" w:ascii="Times New Roman" w:hAnsi="Times New Roman" w:eastAsia="方正仿宋_GBK" w:cs="Times New Roman"/>
          <w:bCs/>
          <w:color w:val="auto"/>
          <w:sz w:val="21"/>
          <w:szCs w:val="21"/>
          <w:highlight w:val="none"/>
          <w:lang w:eastAsia="zh-CN"/>
        </w:rPr>
        <w:t>（</w:t>
      </w:r>
      <w:r>
        <w:rPr>
          <w:rFonts w:hint="eastAsia" w:ascii="Times New Roman" w:hAnsi="Times New Roman" w:eastAsia="方正仿宋_GBK" w:cs="Times New Roman"/>
          <w:bCs/>
          <w:color w:val="auto"/>
          <w:sz w:val="21"/>
          <w:szCs w:val="21"/>
          <w:highlight w:val="none"/>
          <w:lang w:val="en-US" w:eastAsia="zh-CN"/>
        </w:rPr>
        <w:t>草案</w:t>
      </w:r>
      <w:r>
        <w:rPr>
          <w:rFonts w:hint="eastAsia" w:ascii="Times New Roman" w:hAnsi="Times New Roman" w:eastAsia="方正仿宋_GBK" w:cs="Times New Roman"/>
          <w:bCs/>
          <w:color w:val="auto"/>
          <w:sz w:val="21"/>
          <w:szCs w:val="21"/>
          <w:highlight w:val="none"/>
          <w:lang w:eastAsia="zh-CN"/>
        </w:rPr>
        <w:t>）</w:t>
      </w:r>
      <w:r>
        <w:rPr>
          <w:rFonts w:hint="default" w:ascii="Times New Roman" w:hAnsi="Times New Roman" w:eastAsia="方正仿宋_GBK" w:cs="Times New Roman"/>
          <w:bCs/>
          <w:color w:val="auto"/>
          <w:sz w:val="21"/>
          <w:szCs w:val="21"/>
          <w:highlight w:val="none"/>
        </w:rPr>
        <w:t>》三个评估项目</w:t>
      </w:r>
    </w:p>
    <w:p w14:paraId="23E5759B">
      <w:pPr>
        <w:pStyle w:val="22"/>
        <w:keepNext w:val="0"/>
        <w:keepLines w:val="0"/>
        <w:pageBreakBefore w:val="0"/>
        <w:widowControl w:val="0"/>
        <w:kinsoku/>
        <w:wordWrap/>
        <w:overflowPunct/>
        <w:topLinePunct w:val="0"/>
        <w:autoSpaceDE/>
        <w:autoSpaceDN/>
        <w:bidi w:val="0"/>
        <w:adjustRightInd/>
        <w:snapToGrid/>
        <w:spacing w:line="400" w:lineRule="exact"/>
        <w:ind w:left="0" w:firstLine="420" w:firstLineChars="200"/>
        <w:contextualSpacing/>
        <w:textAlignment w:val="auto"/>
        <w:outlineLvl w:val="1"/>
        <w:rPr>
          <w:rFonts w:hint="default" w:ascii="方正黑体_GBK" w:hAnsi="方正黑体_GBK" w:eastAsia="方正黑体_GBK" w:cs="方正黑体_GBK"/>
          <w:b w:val="0"/>
          <w:bCs w:val="0"/>
          <w:color w:val="auto"/>
          <w:sz w:val="21"/>
          <w:szCs w:val="21"/>
        </w:rPr>
      </w:pPr>
      <w:r>
        <w:rPr>
          <w:rFonts w:hint="default" w:ascii="方正黑体_GBK" w:hAnsi="方正黑体_GBK" w:eastAsia="方正黑体_GBK" w:cs="方正黑体_GBK"/>
          <w:b w:val="0"/>
          <w:bCs w:val="0"/>
          <w:color w:val="auto"/>
          <w:sz w:val="21"/>
          <w:szCs w:val="21"/>
        </w:rPr>
        <w:t>第二条 服务期限</w:t>
      </w:r>
    </w:p>
    <w:p w14:paraId="3E4C732E">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highlight w:val="none"/>
        </w:rPr>
      </w:pPr>
      <w:r>
        <w:rPr>
          <w:rFonts w:hint="default" w:ascii="Times New Roman" w:hAnsi="Times New Roman" w:eastAsia="方正仿宋_GBK" w:cs="Times New Roman"/>
          <w:bCs/>
          <w:color w:val="auto"/>
          <w:sz w:val="21"/>
          <w:szCs w:val="21"/>
        </w:rPr>
        <w:t>本合同服务期</w:t>
      </w:r>
      <w:r>
        <w:rPr>
          <w:rFonts w:hint="default" w:ascii="Times New Roman" w:hAnsi="Times New Roman" w:eastAsia="方正仿宋_GBK" w:cs="Times New Roman"/>
          <w:bCs/>
          <w:color w:val="auto"/>
          <w:sz w:val="21"/>
          <w:szCs w:val="21"/>
          <w:highlight w:val="none"/>
        </w:rPr>
        <w:t>限为</w:t>
      </w:r>
      <w:r>
        <w:rPr>
          <w:rFonts w:hint="default" w:ascii="Times New Roman" w:hAnsi="Times New Roman" w:eastAsia="方正仿宋_GBK" w:cs="Times New Roman"/>
          <w:bCs/>
          <w:color w:val="auto"/>
          <w:sz w:val="21"/>
          <w:szCs w:val="21"/>
          <w:highlight w:val="none"/>
          <w:lang w:val="en-US" w:eastAsia="zh-CN"/>
        </w:rPr>
        <w:t>90天</w:t>
      </w:r>
      <w:r>
        <w:rPr>
          <w:rFonts w:hint="default" w:ascii="Times New Roman" w:hAnsi="Times New Roman" w:eastAsia="方正仿宋_GBK" w:cs="Times New Roman"/>
          <w:bCs/>
          <w:color w:val="auto"/>
          <w:sz w:val="21"/>
          <w:szCs w:val="21"/>
          <w:highlight w:val="none"/>
        </w:rPr>
        <w:t>，自</w:t>
      </w:r>
      <w:r>
        <w:rPr>
          <w:rFonts w:hint="eastAsia" w:ascii="Times New Roman" w:hAnsi="Times New Roman" w:eastAsia="方正仿宋_GBK" w:cs="Times New Roman"/>
          <w:bCs/>
          <w:color w:val="auto"/>
          <w:sz w:val="21"/>
          <w:szCs w:val="21"/>
          <w:highlight w:val="none"/>
          <w:lang w:val="en-US" w:eastAsia="zh-CN"/>
        </w:rPr>
        <w:t>本</w:t>
      </w:r>
      <w:r>
        <w:rPr>
          <w:rFonts w:hint="default" w:ascii="Times New Roman" w:hAnsi="Times New Roman" w:eastAsia="方正仿宋_GBK" w:cs="Times New Roman"/>
          <w:bCs/>
          <w:color w:val="auto"/>
          <w:sz w:val="21"/>
          <w:szCs w:val="21"/>
          <w:highlight w:val="none"/>
        </w:rPr>
        <w:t>合同</w:t>
      </w:r>
      <w:r>
        <w:rPr>
          <w:rFonts w:hint="eastAsia" w:ascii="Times New Roman" w:hAnsi="Times New Roman" w:eastAsia="方正仿宋_GBK" w:cs="Times New Roman"/>
          <w:bCs/>
          <w:color w:val="auto"/>
          <w:sz w:val="21"/>
          <w:szCs w:val="21"/>
          <w:highlight w:val="none"/>
          <w:lang w:val="en-US" w:eastAsia="zh-CN"/>
        </w:rPr>
        <w:t>生效</w:t>
      </w:r>
      <w:r>
        <w:rPr>
          <w:rFonts w:hint="default" w:ascii="Times New Roman" w:hAnsi="Times New Roman" w:eastAsia="方正仿宋_GBK" w:cs="Times New Roman"/>
          <w:bCs/>
          <w:color w:val="auto"/>
          <w:sz w:val="21"/>
          <w:szCs w:val="21"/>
          <w:highlight w:val="none"/>
        </w:rPr>
        <w:t>之日起计算。</w:t>
      </w:r>
    </w:p>
    <w:p w14:paraId="4E6A6E12">
      <w:pPr>
        <w:pStyle w:val="22"/>
        <w:keepNext w:val="0"/>
        <w:keepLines w:val="0"/>
        <w:pageBreakBefore w:val="0"/>
        <w:widowControl w:val="0"/>
        <w:kinsoku/>
        <w:wordWrap/>
        <w:overflowPunct/>
        <w:topLinePunct w:val="0"/>
        <w:autoSpaceDE/>
        <w:autoSpaceDN/>
        <w:bidi w:val="0"/>
        <w:adjustRightInd/>
        <w:snapToGrid/>
        <w:spacing w:line="400" w:lineRule="exact"/>
        <w:ind w:left="0" w:firstLine="420" w:firstLineChars="200"/>
        <w:contextualSpacing/>
        <w:textAlignment w:val="auto"/>
        <w:outlineLvl w:val="1"/>
        <w:rPr>
          <w:rFonts w:hint="default" w:ascii="方正黑体_GBK" w:hAnsi="方正黑体_GBK" w:eastAsia="方正黑体_GBK" w:cs="方正黑体_GBK"/>
          <w:b w:val="0"/>
          <w:bCs w:val="0"/>
          <w:color w:val="auto"/>
          <w:sz w:val="21"/>
          <w:szCs w:val="21"/>
        </w:rPr>
      </w:pPr>
      <w:r>
        <w:rPr>
          <w:rFonts w:hint="default" w:ascii="方正黑体_GBK" w:hAnsi="方正黑体_GBK" w:eastAsia="方正黑体_GBK" w:cs="方正黑体_GBK"/>
          <w:b w:val="0"/>
          <w:bCs w:val="0"/>
          <w:color w:val="auto"/>
          <w:sz w:val="21"/>
          <w:szCs w:val="21"/>
        </w:rPr>
        <w:t>第三条 服务内容</w:t>
      </w:r>
    </w:p>
    <w:p w14:paraId="64486455">
      <w:pPr>
        <w:pStyle w:val="22"/>
        <w:keepNext w:val="0"/>
        <w:keepLines w:val="0"/>
        <w:pageBreakBefore w:val="0"/>
        <w:widowControl w:val="0"/>
        <w:kinsoku/>
        <w:wordWrap/>
        <w:overflowPunct/>
        <w:topLinePunct w:val="0"/>
        <w:autoSpaceDE/>
        <w:autoSpaceDN/>
        <w:bidi w:val="0"/>
        <w:adjustRightInd/>
        <w:snapToGrid/>
        <w:spacing w:line="400" w:lineRule="exact"/>
        <w:ind w:left="0" w:firstLine="420" w:firstLineChars="200"/>
        <w:contextualSpacing/>
        <w:textAlignment w:val="auto"/>
        <w:outlineLvl w:val="1"/>
        <w:rPr>
          <w:rFonts w:hint="default" w:ascii="Times New Roman" w:hAnsi="Times New Roman" w:eastAsia="方正仿宋_GBK" w:cs="Times New Roman"/>
          <w:bCs/>
          <w:color w:val="auto"/>
          <w:sz w:val="21"/>
          <w:szCs w:val="21"/>
        </w:rPr>
      </w:pPr>
      <w:r>
        <w:rPr>
          <w:rFonts w:hint="default" w:ascii="Times New Roman" w:hAnsi="Times New Roman" w:eastAsia="方正仿宋_GBK" w:cs="Times New Roman"/>
          <w:bCs/>
          <w:color w:val="auto"/>
          <w:sz w:val="21"/>
          <w:szCs w:val="21"/>
          <w:lang w:val="en-US" w:eastAsia="zh-CN"/>
        </w:rPr>
        <w:t>1</w:t>
      </w:r>
      <w:r>
        <w:rPr>
          <w:rFonts w:hint="eastAsia" w:ascii="Times New Roman" w:hAnsi="Times New Roman" w:eastAsia="方正仿宋_GBK" w:cs="Times New Roman"/>
          <w:bCs/>
          <w:color w:val="auto"/>
          <w:sz w:val="21"/>
          <w:szCs w:val="21"/>
          <w:lang w:val="en-US" w:eastAsia="zh-CN"/>
        </w:rPr>
        <w:t>.</w:t>
      </w:r>
      <w:r>
        <w:rPr>
          <w:rFonts w:hint="default" w:ascii="Times New Roman" w:hAnsi="Times New Roman" w:eastAsia="方正仿宋_GBK" w:cs="Times New Roman"/>
          <w:bCs/>
          <w:color w:val="auto"/>
          <w:sz w:val="21"/>
          <w:szCs w:val="21"/>
        </w:rPr>
        <w:t>乙方依照</w:t>
      </w:r>
      <w:r>
        <w:rPr>
          <w:rFonts w:hint="eastAsia" w:ascii="Times New Roman" w:hAnsi="Times New Roman" w:eastAsia="方正仿宋_GBK" w:cs="Times New Roman"/>
          <w:bCs/>
          <w:color w:val="auto"/>
          <w:sz w:val="21"/>
          <w:szCs w:val="21"/>
          <w:lang w:val="en-US" w:eastAsia="zh-CN"/>
        </w:rPr>
        <w:t>评估</w:t>
      </w:r>
      <w:r>
        <w:rPr>
          <w:rFonts w:hint="default" w:ascii="Times New Roman" w:hAnsi="Times New Roman" w:eastAsia="方正仿宋_GBK" w:cs="Times New Roman"/>
          <w:bCs/>
          <w:color w:val="auto"/>
          <w:sz w:val="21"/>
          <w:szCs w:val="21"/>
          <w:lang w:eastAsia="zh-CN"/>
        </w:rPr>
        <w:t>要求</w:t>
      </w:r>
      <w:r>
        <w:rPr>
          <w:rFonts w:hint="default" w:ascii="Times New Roman" w:hAnsi="Times New Roman" w:eastAsia="方正仿宋_GBK" w:cs="Times New Roman"/>
          <w:bCs/>
          <w:color w:val="auto"/>
          <w:sz w:val="21"/>
          <w:szCs w:val="21"/>
        </w:rPr>
        <w:t>，对《广东省高层建筑消防安全管理规定</w:t>
      </w:r>
      <w:r>
        <w:rPr>
          <w:rFonts w:hint="eastAsia" w:ascii="Times New Roman" w:hAnsi="Times New Roman" w:eastAsia="方正仿宋_GBK" w:cs="Times New Roman"/>
          <w:bCs/>
          <w:color w:val="auto"/>
          <w:sz w:val="21"/>
          <w:szCs w:val="21"/>
          <w:lang w:eastAsia="zh-CN"/>
        </w:rPr>
        <w:t>（</w:t>
      </w:r>
      <w:r>
        <w:rPr>
          <w:rFonts w:hint="eastAsia" w:ascii="Times New Roman" w:hAnsi="Times New Roman" w:eastAsia="方正仿宋_GBK" w:cs="Times New Roman"/>
          <w:bCs/>
          <w:color w:val="auto"/>
          <w:sz w:val="21"/>
          <w:szCs w:val="21"/>
          <w:lang w:val="en-US" w:eastAsia="zh-CN"/>
        </w:rPr>
        <w:t>草案</w:t>
      </w:r>
      <w:r>
        <w:rPr>
          <w:rFonts w:hint="eastAsia" w:ascii="Times New Roman" w:hAnsi="Times New Roman" w:eastAsia="方正仿宋_GBK" w:cs="Times New Roman"/>
          <w:bCs/>
          <w:color w:val="auto"/>
          <w:sz w:val="21"/>
          <w:szCs w:val="21"/>
          <w:lang w:eastAsia="zh-CN"/>
        </w:rPr>
        <w:t>）</w:t>
      </w:r>
      <w:r>
        <w:rPr>
          <w:rFonts w:hint="default" w:ascii="Times New Roman" w:hAnsi="Times New Roman" w:eastAsia="方正仿宋_GBK" w:cs="Times New Roman"/>
          <w:bCs/>
          <w:color w:val="auto"/>
          <w:sz w:val="21"/>
          <w:szCs w:val="21"/>
        </w:rPr>
        <w:t>》三个评估项目</w:t>
      </w:r>
      <w:r>
        <w:rPr>
          <w:rFonts w:hint="eastAsia" w:ascii="Times New Roman" w:hAnsi="Times New Roman" w:eastAsia="方正仿宋_GBK" w:cs="Times New Roman"/>
          <w:bCs/>
          <w:color w:val="auto"/>
          <w:sz w:val="21"/>
          <w:szCs w:val="21"/>
          <w:lang w:val="en-US" w:eastAsia="zh-CN"/>
        </w:rPr>
        <w:t>开展研究</w:t>
      </w:r>
      <w:r>
        <w:rPr>
          <w:rFonts w:hint="default" w:ascii="Times New Roman" w:hAnsi="Times New Roman" w:eastAsia="方正仿宋_GBK" w:cs="Times New Roman"/>
          <w:bCs/>
          <w:color w:val="auto"/>
          <w:sz w:val="21"/>
          <w:szCs w:val="21"/>
        </w:rPr>
        <w:t>，采用实地调查评估、电话调查评估和网络调查评估等方式进行，撰写完成评估报告。</w:t>
      </w:r>
    </w:p>
    <w:p w14:paraId="6A1285B6">
      <w:pPr>
        <w:pStyle w:val="22"/>
        <w:keepNext w:val="0"/>
        <w:keepLines w:val="0"/>
        <w:pageBreakBefore w:val="0"/>
        <w:widowControl w:val="0"/>
        <w:kinsoku/>
        <w:wordWrap/>
        <w:overflowPunct/>
        <w:topLinePunct w:val="0"/>
        <w:autoSpaceDE/>
        <w:autoSpaceDN/>
        <w:bidi w:val="0"/>
        <w:adjustRightInd/>
        <w:snapToGrid/>
        <w:spacing w:line="400" w:lineRule="exact"/>
        <w:ind w:left="0" w:firstLine="420" w:firstLineChars="200"/>
        <w:contextualSpacing/>
        <w:textAlignment w:val="auto"/>
        <w:outlineLvl w:val="1"/>
        <w:rPr>
          <w:rFonts w:hint="eastAsia" w:ascii="Times New Roman" w:hAnsi="Times New Roman" w:eastAsia="方正仿宋_GBK" w:cs="Times New Roman"/>
          <w:bCs/>
          <w:color w:val="auto"/>
          <w:sz w:val="21"/>
          <w:szCs w:val="21"/>
          <w:lang w:eastAsia="zh-CN"/>
        </w:rPr>
      </w:pPr>
      <w:r>
        <w:rPr>
          <w:rFonts w:hint="default" w:ascii="Times New Roman" w:hAnsi="Times New Roman" w:eastAsia="方正仿宋_GBK" w:cs="Times New Roman"/>
          <w:bCs/>
          <w:color w:val="auto"/>
          <w:sz w:val="21"/>
          <w:szCs w:val="21"/>
        </w:rPr>
        <w:t>2</w:t>
      </w:r>
      <w:r>
        <w:rPr>
          <w:rFonts w:hint="eastAsia" w:ascii="Times New Roman" w:hAnsi="Times New Roman" w:eastAsia="方正仿宋_GBK" w:cs="Times New Roman"/>
          <w:bCs/>
          <w:color w:val="auto"/>
          <w:sz w:val="21"/>
          <w:szCs w:val="21"/>
          <w:lang w:eastAsia="zh-CN"/>
        </w:rPr>
        <w:t>.</w:t>
      </w:r>
      <w:r>
        <w:rPr>
          <w:rFonts w:hint="default" w:ascii="Times New Roman" w:hAnsi="Times New Roman" w:eastAsia="方正仿宋_GBK" w:cs="Times New Roman"/>
          <w:bCs/>
          <w:color w:val="auto"/>
          <w:sz w:val="21"/>
          <w:szCs w:val="21"/>
        </w:rPr>
        <w:t>项目完成标准：乙方按</w:t>
      </w:r>
      <w:r>
        <w:rPr>
          <w:rFonts w:hint="default" w:ascii="Times New Roman" w:hAnsi="Times New Roman" w:eastAsia="方正仿宋_GBK" w:cs="Times New Roman"/>
          <w:bCs/>
          <w:color w:val="auto"/>
          <w:sz w:val="21"/>
          <w:szCs w:val="21"/>
          <w:lang w:val="en-US" w:eastAsia="zh-CN"/>
        </w:rPr>
        <w:t>甲方</w:t>
      </w:r>
      <w:r>
        <w:rPr>
          <w:rFonts w:hint="default" w:ascii="Times New Roman" w:hAnsi="Times New Roman" w:eastAsia="方正仿宋_GBK" w:cs="Times New Roman"/>
          <w:bCs/>
          <w:color w:val="auto"/>
          <w:sz w:val="21"/>
          <w:szCs w:val="21"/>
        </w:rPr>
        <w:t>要求完成</w:t>
      </w:r>
      <w:r>
        <w:rPr>
          <w:rFonts w:hint="eastAsia" w:ascii="Times New Roman" w:hAnsi="Times New Roman" w:eastAsia="方正仿宋_GBK" w:cs="Times New Roman"/>
          <w:bCs/>
          <w:color w:val="auto"/>
          <w:sz w:val="21"/>
          <w:szCs w:val="21"/>
          <w:lang w:val="en-US" w:eastAsia="zh-CN"/>
        </w:rPr>
        <w:t>评估</w:t>
      </w:r>
      <w:r>
        <w:rPr>
          <w:rFonts w:hint="default" w:ascii="Times New Roman" w:hAnsi="Times New Roman" w:eastAsia="方正仿宋_GBK" w:cs="Times New Roman"/>
          <w:bCs/>
          <w:color w:val="auto"/>
          <w:sz w:val="21"/>
          <w:szCs w:val="21"/>
        </w:rPr>
        <w:t>报告</w:t>
      </w:r>
      <w:r>
        <w:rPr>
          <w:rFonts w:hint="eastAsia" w:ascii="Times New Roman" w:hAnsi="Times New Roman" w:eastAsia="方正仿宋_GBK" w:cs="Times New Roman"/>
          <w:bCs/>
          <w:color w:val="auto"/>
          <w:sz w:val="21"/>
          <w:szCs w:val="21"/>
          <w:lang w:eastAsia="zh-CN"/>
        </w:rPr>
        <w:t>，</w:t>
      </w:r>
      <w:r>
        <w:rPr>
          <w:rFonts w:hint="eastAsia" w:ascii="Times New Roman" w:hAnsi="Times New Roman" w:eastAsia="方正仿宋_GBK" w:cs="Times New Roman"/>
          <w:bCs/>
          <w:color w:val="auto"/>
          <w:sz w:val="21"/>
          <w:szCs w:val="21"/>
          <w:lang w:val="en-US" w:eastAsia="zh-CN"/>
        </w:rPr>
        <w:t>并通过相关部门审查</w:t>
      </w:r>
      <w:r>
        <w:rPr>
          <w:rFonts w:hint="default" w:ascii="Times New Roman" w:hAnsi="Times New Roman" w:eastAsia="方正仿宋_GBK" w:cs="Times New Roman"/>
          <w:bCs/>
          <w:color w:val="auto"/>
          <w:sz w:val="21"/>
          <w:szCs w:val="21"/>
        </w:rPr>
        <w:t>。</w:t>
      </w:r>
    </w:p>
    <w:p w14:paraId="6967B5C1">
      <w:pPr>
        <w:pStyle w:val="22"/>
        <w:keepNext w:val="0"/>
        <w:keepLines w:val="0"/>
        <w:pageBreakBefore w:val="0"/>
        <w:widowControl w:val="0"/>
        <w:kinsoku/>
        <w:wordWrap/>
        <w:overflowPunct/>
        <w:topLinePunct w:val="0"/>
        <w:autoSpaceDE/>
        <w:autoSpaceDN/>
        <w:bidi w:val="0"/>
        <w:adjustRightInd/>
        <w:snapToGrid/>
        <w:spacing w:line="400" w:lineRule="exact"/>
        <w:ind w:left="0" w:firstLine="420" w:firstLineChars="200"/>
        <w:contextualSpacing/>
        <w:textAlignment w:val="auto"/>
        <w:outlineLvl w:val="1"/>
        <w:rPr>
          <w:rFonts w:hint="default" w:ascii="方正黑体_GBK" w:hAnsi="方正黑体_GBK" w:eastAsia="方正黑体_GBK" w:cs="方正黑体_GBK"/>
          <w:b/>
          <w:bCs/>
          <w:color w:val="auto"/>
          <w:sz w:val="21"/>
          <w:szCs w:val="21"/>
        </w:rPr>
      </w:pPr>
      <w:r>
        <w:rPr>
          <w:rFonts w:hint="default" w:ascii="方正黑体_GBK" w:hAnsi="方正黑体_GBK" w:eastAsia="方正黑体_GBK" w:cs="方正黑体_GBK"/>
          <w:b w:val="0"/>
          <w:bCs w:val="0"/>
          <w:color w:val="auto"/>
          <w:sz w:val="21"/>
          <w:szCs w:val="21"/>
        </w:rPr>
        <w:t xml:space="preserve">第四条 </w:t>
      </w:r>
      <w:r>
        <w:rPr>
          <w:rFonts w:hint="eastAsia" w:ascii="方正黑体_GBK" w:hAnsi="方正黑体_GBK" w:eastAsia="方正黑体_GBK" w:cs="方正黑体_GBK"/>
          <w:b/>
          <w:bCs/>
          <w:color w:val="auto"/>
          <w:sz w:val="21"/>
          <w:szCs w:val="21"/>
          <w:lang w:val="en-US" w:eastAsia="zh-CN"/>
        </w:rPr>
        <w:t>服务收费</w:t>
      </w:r>
    </w:p>
    <w:p w14:paraId="7ED736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方正仿宋_GBK" w:cs="Times New Roman"/>
          <w:bCs/>
          <w:color w:val="auto"/>
          <w:sz w:val="21"/>
          <w:szCs w:val="21"/>
        </w:rPr>
      </w:pPr>
      <w:r>
        <w:rPr>
          <w:rFonts w:hint="eastAsia" w:ascii="Times New Roman" w:hAnsi="Times New Roman" w:eastAsia="方正仿宋_GBK" w:cs="Times New Roman"/>
          <w:bCs/>
          <w:color w:val="auto"/>
          <w:sz w:val="21"/>
          <w:szCs w:val="21"/>
          <w:lang w:val="en-US" w:eastAsia="zh-CN"/>
        </w:rPr>
        <w:t>1.服务费用为</w:t>
      </w:r>
      <w:r>
        <w:rPr>
          <w:rFonts w:hint="default" w:ascii="Times New Roman" w:hAnsi="Times New Roman" w:eastAsia="方正仿宋_GBK" w:cs="Times New Roman"/>
          <w:bCs/>
          <w:color w:val="auto"/>
          <w:sz w:val="21"/>
          <w:szCs w:val="21"/>
        </w:rPr>
        <w:t>人民币小写：¥</w:t>
      </w:r>
      <w:r>
        <w:rPr>
          <w:rFonts w:hint="default" w:ascii="Times New Roman" w:hAnsi="Times New Roman" w:eastAsia="方正仿宋_GBK" w:cs="Times New Roman"/>
          <w:bCs/>
          <w:color w:val="auto"/>
          <w:sz w:val="21"/>
          <w:szCs w:val="21"/>
          <w:u w:val="single"/>
          <w:lang w:val="en-US" w:eastAsia="zh-CN"/>
        </w:rPr>
        <w:t>300000</w:t>
      </w:r>
      <w:r>
        <w:rPr>
          <w:rFonts w:hint="default" w:ascii="Times New Roman" w:hAnsi="Times New Roman" w:eastAsia="方正仿宋_GBK" w:cs="Times New Roman"/>
          <w:bCs/>
          <w:color w:val="auto"/>
          <w:sz w:val="21"/>
          <w:szCs w:val="21"/>
          <w:u w:val="single"/>
        </w:rPr>
        <w:t>元</w:t>
      </w:r>
      <w:r>
        <w:rPr>
          <w:rFonts w:hint="default" w:ascii="Times New Roman" w:hAnsi="Times New Roman" w:eastAsia="方正仿宋_GBK" w:cs="Times New Roman"/>
          <w:bCs/>
          <w:color w:val="auto"/>
          <w:sz w:val="21"/>
          <w:szCs w:val="21"/>
        </w:rPr>
        <w:t>，大写：</w:t>
      </w:r>
      <w:r>
        <w:rPr>
          <w:rFonts w:hint="default" w:ascii="Times New Roman" w:hAnsi="Times New Roman" w:eastAsia="方正仿宋_GBK" w:cs="Times New Roman"/>
          <w:bCs/>
          <w:color w:val="auto"/>
          <w:sz w:val="21"/>
          <w:szCs w:val="21"/>
          <w:u w:val="single"/>
          <w:lang w:val="en-US" w:eastAsia="zh-CN"/>
        </w:rPr>
        <w:t>叁拾万元整</w:t>
      </w:r>
      <w:r>
        <w:rPr>
          <w:rFonts w:hint="default" w:ascii="Times New Roman" w:hAnsi="Times New Roman" w:eastAsia="方正仿宋_GBK" w:cs="Times New Roman"/>
          <w:bCs/>
          <w:color w:val="auto"/>
          <w:sz w:val="21"/>
          <w:szCs w:val="21"/>
        </w:rPr>
        <w:t>。</w:t>
      </w:r>
    </w:p>
    <w:p w14:paraId="0EF26684">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方正仿宋_GBK" w:cs="Times New Roman"/>
          <w:bCs/>
          <w:color w:val="auto"/>
          <w:sz w:val="21"/>
          <w:szCs w:val="21"/>
        </w:rPr>
      </w:pPr>
      <w:r>
        <w:rPr>
          <w:rFonts w:hint="eastAsia" w:ascii="Times New Roman" w:hAnsi="Times New Roman" w:eastAsia="方正仿宋_GBK" w:cs="Times New Roman"/>
          <w:bCs/>
          <w:color w:val="auto"/>
          <w:sz w:val="21"/>
          <w:szCs w:val="21"/>
          <w:lang w:val="en-US" w:eastAsia="zh-CN"/>
        </w:rPr>
        <w:t>2.服务费用</w:t>
      </w:r>
      <w:r>
        <w:rPr>
          <w:rFonts w:hint="default" w:ascii="Times New Roman" w:hAnsi="Times New Roman" w:eastAsia="方正仿宋_GBK" w:cs="Times New Roman"/>
          <w:bCs/>
          <w:color w:val="auto"/>
          <w:sz w:val="21"/>
          <w:szCs w:val="21"/>
        </w:rPr>
        <w:t>包括</w:t>
      </w:r>
      <w:r>
        <w:rPr>
          <w:rFonts w:hint="default" w:ascii="Times New Roman" w:hAnsi="Times New Roman" w:eastAsia="方正仿宋_GBK" w:cs="Times New Roman"/>
          <w:bCs/>
          <w:color w:val="auto"/>
          <w:sz w:val="21"/>
          <w:szCs w:val="21"/>
          <w:lang w:eastAsia="zh-CN"/>
        </w:rPr>
        <w:t>：</w:t>
      </w:r>
      <w:r>
        <w:rPr>
          <w:rFonts w:hint="eastAsia" w:ascii="Times New Roman" w:hAnsi="Times New Roman" w:eastAsia="方正仿宋_GBK" w:cs="Times New Roman"/>
          <w:bCs/>
          <w:color w:val="auto"/>
          <w:sz w:val="21"/>
          <w:szCs w:val="21"/>
          <w:lang w:val="en-US" w:eastAsia="zh-CN"/>
        </w:rPr>
        <w:t>评估</w:t>
      </w:r>
      <w:r>
        <w:rPr>
          <w:rFonts w:hint="default" w:ascii="Times New Roman" w:hAnsi="Times New Roman" w:eastAsia="方正仿宋_GBK" w:cs="Times New Roman"/>
          <w:bCs/>
          <w:color w:val="auto"/>
          <w:sz w:val="21"/>
          <w:szCs w:val="21"/>
        </w:rPr>
        <w:t>服务及其他相关一切服务等所有费用以及税费。</w:t>
      </w:r>
      <w:r>
        <w:rPr>
          <w:rFonts w:hint="default" w:ascii="Times New Roman" w:hAnsi="Times New Roman" w:eastAsia="方正仿宋_GBK" w:cs="Times New Roman"/>
          <w:bCs/>
          <w:color w:val="auto"/>
          <w:sz w:val="21"/>
          <w:szCs w:val="21"/>
          <w:lang w:val="en-US" w:eastAsia="zh-CN"/>
        </w:rPr>
        <w:t>除双方另有约定外，</w:t>
      </w:r>
      <w:r>
        <w:rPr>
          <w:rFonts w:hint="default" w:ascii="Times New Roman" w:hAnsi="Times New Roman" w:eastAsia="方正仿宋_GBK" w:cs="Times New Roman"/>
          <w:bCs/>
          <w:color w:val="auto"/>
          <w:sz w:val="21"/>
          <w:szCs w:val="21"/>
        </w:rPr>
        <w:t>甲方无需</w:t>
      </w:r>
      <w:r>
        <w:rPr>
          <w:rFonts w:hint="eastAsia" w:ascii="Times New Roman" w:hAnsi="Times New Roman" w:eastAsia="方正仿宋_GBK" w:cs="Times New Roman"/>
          <w:bCs/>
          <w:color w:val="auto"/>
          <w:sz w:val="21"/>
          <w:szCs w:val="21"/>
          <w:lang w:val="en-US" w:eastAsia="zh-CN"/>
        </w:rPr>
        <w:t>就</w:t>
      </w:r>
      <w:r>
        <w:rPr>
          <w:rFonts w:hint="default" w:ascii="Times New Roman" w:hAnsi="Times New Roman" w:eastAsia="方正仿宋_GBK" w:cs="Times New Roman"/>
          <w:bCs/>
          <w:color w:val="auto"/>
          <w:sz w:val="21"/>
          <w:szCs w:val="21"/>
          <w:lang w:val="en-US" w:eastAsia="zh-CN"/>
        </w:rPr>
        <w:t>本合同项下委托事项</w:t>
      </w:r>
      <w:r>
        <w:rPr>
          <w:rFonts w:hint="default" w:ascii="Times New Roman" w:hAnsi="Times New Roman" w:eastAsia="方正仿宋_GBK" w:cs="Times New Roman"/>
          <w:bCs/>
          <w:color w:val="auto"/>
          <w:sz w:val="21"/>
          <w:szCs w:val="21"/>
        </w:rPr>
        <w:t>向乙方另行支付其他任何费用。</w:t>
      </w:r>
    </w:p>
    <w:bookmarkEnd w:id="10"/>
    <w:p w14:paraId="18283292">
      <w:pPr>
        <w:pStyle w:val="22"/>
        <w:keepNext w:val="0"/>
        <w:keepLines w:val="0"/>
        <w:pageBreakBefore w:val="0"/>
        <w:widowControl w:val="0"/>
        <w:kinsoku/>
        <w:wordWrap/>
        <w:overflowPunct/>
        <w:topLinePunct w:val="0"/>
        <w:autoSpaceDE/>
        <w:autoSpaceDN/>
        <w:bidi w:val="0"/>
        <w:adjustRightInd/>
        <w:snapToGrid/>
        <w:spacing w:line="400" w:lineRule="exact"/>
        <w:ind w:left="0" w:firstLine="420" w:firstLineChars="200"/>
        <w:contextualSpacing/>
        <w:textAlignment w:val="auto"/>
        <w:outlineLvl w:val="1"/>
        <w:rPr>
          <w:rFonts w:hint="default" w:ascii="方正黑体_GBK" w:hAnsi="方正黑体_GBK" w:eastAsia="方正黑体_GBK" w:cs="方正黑体_GBK"/>
          <w:b w:val="0"/>
          <w:bCs w:val="0"/>
          <w:color w:val="auto"/>
          <w:sz w:val="21"/>
          <w:szCs w:val="21"/>
        </w:rPr>
      </w:pPr>
      <w:r>
        <w:rPr>
          <w:rFonts w:hint="default" w:ascii="方正黑体_GBK" w:hAnsi="方正黑体_GBK" w:eastAsia="方正黑体_GBK" w:cs="方正黑体_GBK"/>
          <w:b w:val="0"/>
          <w:bCs w:val="0"/>
          <w:color w:val="auto"/>
          <w:sz w:val="21"/>
          <w:szCs w:val="21"/>
        </w:rPr>
        <w:t>第五条 付款方式</w:t>
      </w:r>
    </w:p>
    <w:p w14:paraId="715ACA87">
      <w:pPr>
        <w:autoSpaceDE/>
        <w:autoSpaceDN/>
        <w:adjustRightInd/>
        <w:spacing w:line="400" w:lineRule="exact"/>
        <w:ind w:firstLine="420" w:firstLineChars="200"/>
        <w:rPr>
          <w:rFonts w:hint="eastAsia" w:ascii="仿宋" w:hAnsi="仿宋" w:eastAsia="仿宋" w:cs="仿宋"/>
          <w:bCs/>
          <w:color w:val="auto"/>
          <w:szCs w:val="21"/>
          <w:highlight w:val="none"/>
        </w:rPr>
      </w:pPr>
      <w:r>
        <w:rPr>
          <w:rFonts w:hint="default" w:ascii="Times New Roman" w:hAnsi="Times New Roman" w:eastAsia="方正仿宋_GBK" w:cs="Times New Roman"/>
          <w:bCs/>
          <w:color w:val="auto"/>
          <w:sz w:val="21"/>
          <w:szCs w:val="21"/>
          <w:highlight w:val="none"/>
        </w:rPr>
        <w:t>1</w:t>
      </w:r>
      <w:r>
        <w:rPr>
          <w:rFonts w:hint="eastAsia" w:ascii="Times New Roman" w:hAnsi="Times New Roman" w:eastAsia="方正仿宋_GBK" w:cs="Times New Roman"/>
          <w:bCs/>
          <w:color w:val="auto"/>
          <w:sz w:val="21"/>
          <w:szCs w:val="21"/>
          <w:highlight w:val="none"/>
          <w:lang w:eastAsia="zh-CN"/>
        </w:rPr>
        <w:t>.</w:t>
      </w:r>
      <w:r>
        <w:rPr>
          <w:rFonts w:hint="default" w:ascii="Times New Roman" w:hAnsi="Times New Roman" w:eastAsia="方正仿宋_GBK" w:cs="Times New Roman"/>
          <w:bCs/>
          <w:color w:val="auto"/>
          <w:sz w:val="21"/>
          <w:szCs w:val="21"/>
          <w:highlight w:val="none"/>
          <w:lang w:val="en-US" w:eastAsia="zh-CN"/>
        </w:rPr>
        <w:t>甲方对</w:t>
      </w:r>
      <w:r>
        <w:rPr>
          <w:rFonts w:hint="default" w:ascii="Times New Roman" w:hAnsi="Times New Roman" w:eastAsia="方正仿宋_GBK" w:cs="Times New Roman"/>
          <w:bCs/>
          <w:color w:val="auto"/>
          <w:sz w:val="21"/>
          <w:szCs w:val="21"/>
          <w:highlight w:val="none"/>
        </w:rPr>
        <w:t>乙方提交</w:t>
      </w:r>
      <w:r>
        <w:rPr>
          <w:rFonts w:hint="default" w:ascii="Times New Roman" w:hAnsi="Times New Roman" w:eastAsia="方正仿宋_GBK" w:cs="Times New Roman"/>
          <w:bCs/>
          <w:color w:val="auto"/>
          <w:sz w:val="21"/>
          <w:szCs w:val="21"/>
          <w:highlight w:val="none"/>
          <w:lang w:val="en-US" w:eastAsia="zh-CN"/>
        </w:rPr>
        <w:t>的</w:t>
      </w:r>
      <w:r>
        <w:rPr>
          <w:rFonts w:hint="eastAsia" w:ascii="Times New Roman" w:hAnsi="Times New Roman" w:eastAsia="方正仿宋_GBK" w:cs="Times New Roman"/>
          <w:bCs/>
          <w:color w:val="auto"/>
          <w:sz w:val="21"/>
          <w:szCs w:val="21"/>
          <w:highlight w:val="none"/>
          <w:lang w:val="en-US" w:eastAsia="zh-CN"/>
        </w:rPr>
        <w:t>评估</w:t>
      </w:r>
      <w:r>
        <w:rPr>
          <w:rFonts w:hint="default" w:ascii="Times New Roman" w:hAnsi="Times New Roman" w:eastAsia="方正仿宋_GBK" w:cs="Times New Roman"/>
          <w:bCs/>
          <w:color w:val="auto"/>
          <w:sz w:val="21"/>
          <w:szCs w:val="21"/>
          <w:highlight w:val="none"/>
          <w:lang w:eastAsia="zh-CN"/>
        </w:rPr>
        <w:t>报告</w:t>
      </w:r>
      <w:r>
        <w:rPr>
          <w:rFonts w:hint="default" w:ascii="Times New Roman" w:hAnsi="Times New Roman" w:eastAsia="方正仿宋_GBK" w:cs="Times New Roman"/>
          <w:bCs/>
          <w:color w:val="auto"/>
          <w:sz w:val="21"/>
          <w:szCs w:val="21"/>
          <w:highlight w:val="none"/>
          <w:lang w:val="en-US" w:eastAsia="zh-CN"/>
        </w:rPr>
        <w:t>进行审核，审核无误后</w:t>
      </w:r>
      <w:r>
        <w:rPr>
          <w:rFonts w:hint="default" w:ascii="Times New Roman" w:hAnsi="Times New Roman" w:eastAsia="方正仿宋_GBK" w:cs="Times New Roman"/>
          <w:bCs/>
          <w:color w:val="auto"/>
          <w:sz w:val="21"/>
          <w:szCs w:val="21"/>
          <w:highlight w:val="none"/>
        </w:rPr>
        <w:t>由甲方出具书面确认函，乙方凭甲方书面确认函</w:t>
      </w:r>
      <w:r>
        <w:rPr>
          <w:rFonts w:hint="eastAsia" w:ascii="仿宋" w:hAnsi="仿宋" w:eastAsia="仿宋" w:cs="仿宋"/>
          <w:bCs/>
          <w:color w:val="auto"/>
          <w:sz w:val="21"/>
          <w:szCs w:val="21"/>
          <w:highlight w:val="none"/>
        </w:rPr>
        <w:t>及</w:t>
      </w:r>
      <w:r>
        <w:rPr>
          <w:rFonts w:hint="eastAsia" w:ascii="仿宋" w:hAnsi="仿宋" w:eastAsia="仿宋" w:cs="仿宋"/>
          <w:bCs/>
          <w:color w:val="auto"/>
          <w:sz w:val="21"/>
          <w:szCs w:val="21"/>
          <w:highlight w:val="none"/>
          <w:lang w:val="en-US" w:eastAsia="zh-CN"/>
        </w:rPr>
        <w:t>等额合法有效的发票</w:t>
      </w:r>
      <w:r>
        <w:rPr>
          <w:rFonts w:hint="eastAsia" w:ascii="仿宋" w:hAnsi="仿宋" w:eastAsia="仿宋" w:cs="仿宋"/>
          <w:bCs/>
          <w:color w:val="auto"/>
          <w:sz w:val="21"/>
          <w:szCs w:val="21"/>
          <w:highlight w:val="none"/>
        </w:rPr>
        <w:t>向甲方申请支付全部费用。</w:t>
      </w:r>
      <w:r>
        <w:rPr>
          <w:rFonts w:hint="eastAsia" w:ascii="仿宋" w:hAnsi="仿宋" w:eastAsia="仿宋" w:cs="仿宋"/>
          <w:bCs/>
          <w:color w:val="auto"/>
          <w:sz w:val="21"/>
          <w:szCs w:val="21"/>
          <w:highlight w:val="none"/>
          <w:lang w:val="en-US" w:eastAsia="zh-CN"/>
        </w:rPr>
        <w:t>甲方收到前述书面确认函和发票之日起30日内一次性向乙方支付人民币叁拾万元整（</w:t>
      </w:r>
      <w:r>
        <w:rPr>
          <w:rFonts w:hint="eastAsia" w:ascii="仿宋" w:hAnsi="仿宋" w:eastAsia="仿宋" w:cs="仿宋"/>
          <w:bCs/>
          <w:color w:val="auto"/>
          <w:sz w:val="21"/>
          <w:szCs w:val="21"/>
        </w:rPr>
        <w:t>¥</w:t>
      </w:r>
      <w:r>
        <w:rPr>
          <w:rFonts w:hint="eastAsia" w:ascii="仿宋" w:hAnsi="仿宋" w:eastAsia="仿宋" w:cs="仿宋"/>
          <w:bCs/>
          <w:color w:val="auto"/>
          <w:sz w:val="21"/>
          <w:szCs w:val="21"/>
          <w:highlight w:val="none"/>
          <w:lang w:val="en-US" w:eastAsia="zh-CN"/>
        </w:rPr>
        <w:t>300000元）（含税）。如</w:t>
      </w:r>
      <w:r>
        <w:rPr>
          <w:rFonts w:hint="eastAsia" w:ascii="仿宋" w:hAnsi="仿宋" w:eastAsia="仿宋" w:cs="仿宋"/>
          <w:bCs/>
          <w:color w:val="auto"/>
          <w:sz w:val="21"/>
          <w:szCs w:val="21"/>
          <w:highlight w:val="none"/>
        </w:rPr>
        <w:t>乙方未按要求提供发票的，甲方有权</w:t>
      </w:r>
      <w:r>
        <w:rPr>
          <w:rFonts w:hint="eastAsia" w:ascii="仿宋" w:hAnsi="仿宋" w:eastAsia="仿宋" w:cs="仿宋"/>
          <w:bCs/>
          <w:color w:val="auto"/>
          <w:sz w:val="21"/>
          <w:szCs w:val="21"/>
          <w:highlight w:val="none"/>
          <w:lang w:val="en-US" w:eastAsia="zh-CN"/>
        </w:rPr>
        <w:t>拒绝付款</w:t>
      </w:r>
      <w:r>
        <w:rPr>
          <w:rFonts w:hint="eastAsia" w:ascii="仿宋" w:hAnsi="仿宋" w:eastAsia="仿宋" w:cs="仿宋"/>
          <w:bCs/>
          <w:color w:val="auto"/>
          <w:sz w:val="21"/>
          <w:szCs w:val="21"/>
          <w:highlight w:val="none"/>
        </w:rPr>
        <w:t>且不视为违约</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乙方仍需按本</w:t>
      </w:r>
      <w:r>
        <w:rPr>
          <w:rFonts w:hint="eastAsia" w:ascii="仿宋" w:hAnsi="仿宋" w:eastAsia="仿宋" w:cs="仿宋"/>
          <w:bCs/>
          <w:color w:val="auto"/>
          <w:sz w:val="21"/>
          <w:szCs w:val="21"/>
          <w:highlight w:val="none"/>
          <w:lang w:val="en-US" w:eastAsia="zh-CN"/>
        </w:rPr>
        <w:t>合同</w:t>
      </w:r>
      <w:r>
        <w:rPr>
          <w:rFonts w:hint="eastAsia" w:ascii="仿宋" w:hAnsi="仿宋" w:eastAsia="仿宋" w:cs="仿宋"/>
          <w:bCs/>
          <w:color w:val="auto"/>
          <w:sz w:val="21"/>
          <w:szCs w:val="21"/>
          <w:highlight w:val="none"/>
        </w:rPr>
        <w:t>约定履行各项义务。</w:t>
      </w:r>
    </w:p>
    <w:p w14:paraId="458F77C8">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rPr>
      </w:pPr>
      <w:r>
        <w:rPr>
          <w:rFonts w:hint="default" w:ascii="Times New Roman" w:hAnsi="Times New Roman" w:eastAsia="方正仿宋_GBK" w:cs="Times New Roman"/>
          <w:bCs/>
          <w:color w:val="auto"/>
          <w:sz w:val="21"/>
          <w:szCs w:val="21"/>
          <w:lang w:val="en-US" w:eastAsia="zh-CN"/>
        </w:rPr>
        <w:t>2</w:t>
      </w:r>
      <w:r>
        <w:rPr>
          <w:rFonts w:hint="eastAsia" w:ascii="Times New Roman" w:hAnsi="Times New Roman" w:eastAsia="方正仿宋_GBK" w:cs="Times New Roman"/>
          <w:bCs/>
          <w:color w:val="auto"/>
          <w:sz w:val="21"/>
          <w:szCs w:val="21"/>
          <w:lang w:eastAsia="zh-CN"/>
        </w:rPr>
        <w:t>.</w:t>
      </w:r>
      <w:r>
        <w:rPr>
          <w:rFonts w:hint="default" w:ascii="Times New Roman" w:hAnsi="Times New Roman" w:eastAsia="方正仿宋_GBK" w:cs="Times New Roman"/>
          <w:bCs/>
          <w:color w:val="auto"/>
          <w:sz w:val="21"/>
          <w:szCs w:val="21"/>
        </w:rPr>
        <w:t>甲方按上述约定，将款项汇入乙方指定账户：</w:t>
      </w:r>
    </w:p>
    <w:p w14:paraId="11B8C18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rPr>
      </w:pPr>
      <w:r>
        <w:rPr>
          <w:rFonts w:hint="default" w:ascii="Times New Roman" w:hAnsi="Times New Roman" w:eastAsia="方正仿宋_GBK" w:cs="Times New Roman"/>
          <w:bCs/>
          <w:color w:val="auto"/>
          <w:sz w:val="21"/>
          <w:szCs w:val="21"/>
        </w:rPr>
        <w:t>开户名称：</w:t>
      </w:r>
    </w:p>
    <w:p w14:paraId="6E1F4AF5">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lang w:val="en-US" w:eastAsia="zh-CN"/>
        </w:rPr>
      </w:pPr>
      <w:r>
        <w:rPr>
          <w:rFonts w:hint="eastAsia" w:ascii="Times New Roman" w:hAnsi="Times New Roman" w:eastAsia="方正仿宋_GBK" w:cs="Times New Roman"/>
          <w:bCs/>
          <w:color w:val="auto"/>
          <w:sz w:val="21"/>
          <w:szCs w:val="21"/>
          <w:lang w:eastAsia="zh-CN"/>
        </w:rPr>
        <w:t>银行账号</w:t>
      </w:r>
      <w:r>
        <w:rPr>
          <w:rFonts w:hint="default" w:ascii="Times New Roman" w:hAnsi="Times New Roman" w:eastAsia="方正仿宋_GBK" w:cs="Times New Roman"/>
          <w:bCs/>
          <w:color w:val="auto"/>
          <w:sz w:val="21"/>
          <w:szCs w:val="21"/>
        </w:rPr>
        <w:t>：</w:t>
      </w:r>
    </w:p>
    <w:p w14:paraId="30FADF6A">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rPr>
      </w:pPr>
      <w:r>
        <w:rPr>
          <w:rFonts w:hint="default" w:ascii="Times New Roman" w:hAnsi="Times New Roman" w:eastAsia="方正仿宋_GBK" w:cs="Times New Roman"/>
          <w:bCs/>
          <w:color w:val="auto"/>
          <w:sz w:val="21"/>
          <w:szCs w:val="21"/>
        </w:rPr>
        <w:t>开户银行：</w:t>
      </w:r>
    </w:p>
    <w:p w14:paraId="1BD61591">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highlight w:val="none"/>
        </w:rPr>
      </w:pPr>
      <w:r>
        <w:rPr>
          <w:rFonts w:hint="default" w:ascii="Times New Roman" w:hAnsi="Times New Roman" w:eastAsia="方正仿宋_GBK" w:cs="Times New Roman"/>
          <w:bCs/>
          <w:color w:val="auto"/>
          <w:sz w:val="21"/>
          <w:szCs w:val="21"/>
          <w:highlight w:val="none"/>
          <w:lang w:val="en-US" w:eastAsia="zh-CN"/>
        </w:rPr>
        <w:t>3</w:t>
      </w:r>
      <w:r>
        <w:rPr>
          <w:rFonts w:hint="eastAsia" w:ascii="Times New Roman" w:hAnsi="Times New Roman" w:eastAsia="方正仿宋_GBK" w:cs="Times New Roman"/>
          <w:bCs/>
          <w:color w:val="auto"/>
          <w:sz w:val="21"/>
          <w:szCs w:val="21"/>
          <w:highlight w:val="none"/>
          <w:lang w:eastAsia="zh-CN"/>
        </w:rPr>
        <w:t>.</w:t>
      </w:r>
      <w:r>
        <w:rPr>
          <w:rFonts w:hint="default" w:ascii="Times New Roman" w:hAnsi="Times New Roman" w:eastAsia="方正仿宋_GBK" w:cs="Times New Roman"/>
          <w:bCs/>
          <w:color w:val="auto"/>
          <w:sz w:val="21"/>
          <w:szCs w:val="21"/>
          <w:highlight w:val="none"/>
        </w:rPr>
        <w:t>甲方开票信息：</w:t>
      </w:r>
    </w:p>
    <w:p w14:paraId="2E5D3568">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highlight w:val="none"/>
        </w:rPr>
      </w:pPr>
      <w:r>
        <w:rPr>
          <w:rFonts w:hint="default" w:ascii="Times New Roman" w:hAnsi="Times New Roman" w:eastAsia="方正仿宋_GBK" w:cs="Times New Roman"/>
          <w:bCs/>
          <w:color w:val="auto"/>
          <w:sz w:val="21"/>
          <w:szCs w:val="21"/>
          <w:highlight w:val="none"/>
        </w:rPr>
        <w:t>公司名称：</w:t>
      </w:r>
    </w:p>
    <w:p w14:paraId="5F7A8158">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highlight w:val="none"/>
        </w:rPr>
      </w:pPr>
      <w:r>
        <w:rPr>
          <w:rFonts w:hint="default" w:ascii="Times New Roman" w:hAnsi="Times New Roman" w:eastAsia="方正仿宋_GBK" w:cs="Times New Roman"/>
          <w:bCs/>
          <w:color w:val="auto"/>
          <w:sz w:val="21"/>
          <w:szCs w:val="21"/>
          <w:highlight w:val="none"/>
        </w:rPr>
        <w:t>纳税人识别号：</w:t>
      </w:r>
    </w:p>
    <w:p w14:paraId="1A62CC4D">
      <w:pPr>
        <w:spacing w:line="400" w:lineRule="exact"/>
        <w:ind w:firstLine="420" w:firstLineChars="200"/>
        <w:rPr>
          <w:rFonts w:hint="eastAsia" w:ascii="仿宋" w:hAnsi="仿宋" w:eastAsia="仿宋" w:cs="仿宋"/>
          <w:lang w:val="en-US" w:eastAsia="zh-CN"/>
        </w:rPr>
      </w:pPr>
      <w:r>
        <w:rPr>
          <w:rFonts w:hint="eastAsia" w:ascii="仿宋" w:hAnsi="仿宋" w:eastAsia="仿宋" w:cs="仿宋"/>
          <w:bCs/>
          <w:color w:val="auto"/>
          <w:sz w:val="21"/>
          <w:szCs w:val="21"/>
          <w:highlight w:val="none"/>
          <w:lang w:val="en-US" w:eastAsia="zh-CN"/>
        </w:rPr>
        <w:t>4.</w:t>
      </w:r>
      <w:r>
        <w:rPr>
          <w:rFonts w:hint="eastAsia" w:ascii="仿宋" w:hAnsi="仿宋" w:eastAsia="仿宋" w:cs="仿宋"/>
          <w:bCs/>
          <w:color w:val="auto"/>
          <w:sz w:val="21"/>
          <w:szCs w:val="21"/>
          <w:highlight w:val="none"/>
        </w:rPr>
        <w:t>乙方对其向甲方提供的收款银行账户信息的真实性、合法性、有效性、准确性、完整性负责。乙方需变更其银行账户的，应当提前3日以书面方式通知甲方。如因乙方提供的银行账户原因（包括但不限于账号</w:t>
      </w:r>
      <w:r>
        <w:rPr>
          <w:rFonts w:hint="eastAsia" w:ascii="仿宋" w:hAnsi="仿宋" w:eastAsia="仿宋" w:cs="仿宋"/>
          <w:bCs/>
          <w:color w:val="auto"/>
          <w:sz w:val="21"/>
          <w:szCs w:val="21"/>
          <w:highlight w:val="none"/>
          <w:lang w:val="en-US" w:eastAsia="zh-CN"/>
        </w:rPr>
        <w:t>错误</w:t>
      </w:r>
      <w:r>
        <w:rPr>
          <w:rFonts w:hint="eastAsia" w:ascii="仿宋" w:hAnsi="仿宋" w:eastAsia="仿宋" w:cs="仿宋"/>
          <w:bCs/>
          <w:color w:val="auto"/>
          <w:sz w:val="21"/>
          <w:szCs w:val="21"/>
          <w:highlight w:val="none"/>
        </w:rPr>
        <w:t>、被注销、被冻结等）或乙方不适当、不及时通知甲方，导致费用的支付发生任何不利后果的，由乙方承担全部责任。</w:t>
      </w:r>
    </w:p>
    <w:p w14:paraId="10454770">
      <w:pPr>
        <w:pStyle w:val="22"/>
        <w:keepNext w:val="0"/>
        <w:keepLines w:val="0"/>
        <w:pageBreakBefore w:val="0"/>
        <w:widowControl w:val="0"/>
        <w:kinsoku/>
        <w:wordWrap/>
        <w:overflowPunct/>
        <w:topLinePunct w:val="0"/>
        <w:autoSpaceDE/>
        <w:autoSpaceDN/>
        <w:bidi w:val="0"/>
        <w:adjustRightInd/>
        <w:snapToGrid/>
        <w:spacing w:line="400" w:lineRule="exact"/>
        <w:ind w:left="0" w:firstLine="420" w:firstLineChars="200"/>
        <w:contextualSpacing/>
        <w:textAlignment w:val="auto"/>
        <w:outlineLvl w:val="1"/>
        <w:rPr>
          <w:rFonts w:hint="default" w:ascii="方正黑体_GBK" w:hAnsi="方正黑体_GBK" w:eastAsia="方正黑体_GBK" w:cs="方正黑体_GBK"/>
          <w:b w:val="0"/>
          <w:bCs w:val="0"/>
          <w:color w:val="auto"/>
          <w:sz w:val="21"/>
          <w:szCs w:val="21"/>
        </w:rPr>
      </w:pPr>
      <w:r>
        <w:rPr>
          <w:rFonts w:hint="default" w:ascii="方正黑体_GBK" w:hAnsi="方正黑体_GBK" w:eastAsia="方正黑体_GBK" w:cs="方正黑体_GBK"/>
          <w:b w:val="0"/>
          <w:bCs w:val="0"/>
          <w:color w:val="auto"/>
          <w:sz w:val="21"/>
          <w:szCs w:val="21"/>
        </w:rPr>
        <w:t>第六条 服务要求</w:t>
      </w:r>
    </w:p>
    <w:p w14:paraId="4AEA1C52">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rPr>
      </w:pPr>
      <w:r>
        <w:rPr>
          <w:rFonts w:hint="default" w:ascii="Times New Roman" w:hAnsi="Times New Roman" w:eastAsia="方正仿宋_GBK" w:cs="Times New Roman"/>
          <w:bCs/>
          <w:color w:val="auto"/>
          <w:sz w:val="21"/>
          <w:szCs w:val="21"/>
          <w:lang w:val="en-US" w:eastAsia="zh-CN"/>
        </w:rPr>
        <w:t>1</w:t>
      </w:r>
      <w:r>
        <w:rPr>
          <w:rFonts w:hint="eastAsia" w:ascii="Times New Roman" w:hAnsi="Times New Roman" w:eastAsia="方正仿宋_GBK" w:cs="Times New Roman"/>
          <w:bCs/>
          <w:color w:val="auto"/>
          <w:sz w:val="21"/>
          <w:szCs w:val="21"/>
          <w:lang w:eastAsia="zh-CN"/>
        </w:rPr>
        <w:t>.</w:t>
      </w:r>
      <w:r>
        <w:rPr>
          <w:rFonts w:hint="eastAsia" w:ascii="Times New Roman" w:hAnsi="Times New Roman" w:eastAsia="方正仿宋_GBK" w:cs="Times New Roman"/>
          <w:bCs/>
          <w:color w:val="auto"/>
          <w:sz w:val="21"/>
          <w:szCs w:val="21"/>
          <w:lang w:val="en-US" w:eastAsia="zh-CN"/>
        </w:rPr>
        <w:t>本</w:t>
      </w:r>
      <w:r>
        <w:rPr>
          <w:rFonts w:hint="default" w:ascii="Times New Roman" w:hAnsi="Times New Roman" w:eastAsia="方正仿宋_GBK" w:cs="Times New Roman"/>
          <w:bCs/>
          <w:color w:val="auto"/>
          <w:sz w:val="21"/>
          <w:szCs w:val="21"/>
        </w:rPr>
        <w:t>合同</w:t>
      </w:r>
      <w:r>
        <w:rPr>
          <w:rFonts w:hint="eastAsia" w:ascii="Times New Roman" w:hAnsi="Times New Roman" w:eastAsia="方正仿宋_GBK" w:cs="Times New Roman"/>
          <w:bCs/>
          <w:color w:val="auto"/>
          <w:sz w:val="21"/>
          <w:szCs w:val="21"/>
          <w:lang w:val="en-US" w:eastAsia="zh-CN"/>
        </w:rPr>
        <w:t>生效之日起</w:t>
      </w:r>
      <w:r>
        <w:rPr>
          <w:rFonts w:hint="default" w:ascii="Times New Roman" w:hAnsi="Times New Roman" w:eastAsia="方正仿宋_GBK" w:cs="Times New Roman"/>
          <w:bCs/>
          <w:color w:val="auto"/>
          <w:sz w:val="21"/>
          <w:szCs w:val="21"/>
          <w:lang w:val="en-US" w:eastAsia="zh-CN"/>
        </w:rPr>
        <w:t>10</w:t>
      </w:r>
      <w:r>
        <w:rPr>
          <w:rFonts w:hint="default" w:ascii="Times New Roman" w:hAnsi="Times New Roman" w:eastAsia="方正仿宋_GBK" w:cs="Times New Roman"/>
          <w:bCs/>
          <w:color w:val="auto"/>
          <w:sz w:val="21"/>
          <w:szCs w:val="21"/>
        </w:rPr>
        <w:t>日内，乙方启动并完成</w:t>
      </w:r>
      <w:r>
        <w:rPr>
          <w:rFonts w:hint="eastAsia" w:ascii="Times New Roman" w:hAnsi="Times New Roman" w:eastAsia="方正仿宋_GBK" w:cs="Times New Roman"/>
          <w:bCs/>
          <w:color w:val="auto"/>
          <w:sz w:val="21"/>
          <w:szCs w:val="21"/>
          <w:lang w:val="en-US" w:eastAsia="zh-CN"/>
        </w:rPr>
        <w:t>评估</w:t>
      </w:r>
      <w:r>
        <w:rPr>
          <w:rFonts w:hint="default" w:ascii="Times New Roman" w:hAnsi="Times New Roman" w:eastAsia="方正仿宋_GBK" w:cs="Times New Roman"/>
          <w:bCs/>
          <w:color w:val="auto"/>
          <w:sz w:val="21"/>
          <w:szCs w:val="21"/>
        </w:rPr>
        <w:t>准备工作：信息收集与分析、工具和表单准备、</w:t>
      </w:r>
      <w:r>
        <w:rPr>
          <w:rFonts w:hint="eastAsia" w:ascii="Times New Roman" w:hAnsi="Times New Roman" w:eastAsia="方正仿宋_GBK" w:cs="Times New Roman"/>
          <w:bCs/>
          <w:color w:val="auto"/>
          <w:sz w:val="21"/>
          <w:szCs w:val="21"/>
          <w:lang w:val="en-US" w:eastAsia="zh-CN"/>
        </w:rPr>
        <w:t>评估</w:t>
      </w:r>
      <w:r>
        <w:rPr>
          <w:rFonts w:hint="default" w:ascii="Times New Roman" w:hAnsi="Times New Roman" w:eastAsia="方正仿宋_GBK" w:cs="Times New Roman"/>
          <w:bCs/>
          <w:color w:val="auto"/>
          <w:sz w:val="21"/>
          <w:szCs w:val="21"/>
        </w:rPr>
        <w:t>内容确定、</w:t>
      </w:r>
      <w:r>
        <w:rPr>
          <w:rFonts w:hint="eastAsia" w:ascii="Times New Roman" w:hAnsi="Times New Roman" w:eastAsia="方正仿宋_GBK" w:cs="Times New Roman"/>
          <w:bCs/>
          <w:color w:val="auto"/>
          <w:sz w:val="21"/>
          <w:szCs w:val="21"/>
          <w:lang w:val="en-US" w:eastAsia="zh-CN"/>
        </w:rPr>
        <w:t>评估</w:t>
      </w:r>
      <w:r>
        <w:rPr>
          <w:rFonts w:hint="default" w:ascii="Times New Roman" w:hAnsi="Times New Roman" w:eastAsia="方正仿宋_GBK" w:cs="Times New Roman"/>
          <w:bCs/>
          <w:color w:val="auto"/>
          <w:sz w:val="21"/>
          <w:szCs w:val="21"/>
        </w:rPr>
        <w:t>方案编制等；</w:t>
      </w:r>
    </w:p>
    <w:p w14:paraId="32960AED">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bCs/>
          <w:color w:val="auto"/>
          <w:sz w:val="21"/>
          <w:szCs w:val="21"/>
          <w:lang w:val="en-US" w:eastAsia="zh-CN"/>
        </w:rPr>
        <w:t>2</w:t>
      </w:r>
      <w:r>
        <w:rPr>
          <w:rFonts w:hint="eastAsia" w:ascii="Times New Roman" w:hAnsi="Times New Roman" w:eastAsia="方正仿宋_GBK" w:cs="Times New Roman"/>
          <w:bCs/>
          <w:color w:val="auto"/>
          <w:sz w:val="21"/>
          <w:szCs w:val="21"/>
          <w:lang w:eastAsia="zh-CN"/>
        </w:rPr>
        <w:t>.</w:t>
      </w:r>
      <w:r>
        <w:rPr>
          <w:rFonts w:hint="default" w:ascii="Times New Roman" w:hAnsi="Times New Roman" w:eastAsia="方正仿宋_GBK" w:cs="Times New Roman"/>
          <w:bCs/>
          <w:color w:val="auto"/>
          <w:sz w:val="21"/>
          <w:szCs w:val="21"/>
        </w:rPr>
        <w:t>乙方完成</w:t>
      </w:r>
      <w:r>
        <w:rPr>
          <w:rFonts w:hint="eastAsia" w:ascii="Times New Roman" w:hAnsi="Times New Roman" w:eastAsia="方正仿宋_GBK" w:cs="Times New Roman"/>
          <w:bCs/>
          <w:color w:val="auto"/>
          <w:sz w:val="21"/>
          <w:szCs w:val="21"/>
          <w:lang w:val="en-US" w:eastAsia="zh-CN"/>
        </w:rPr>
        <w:t>评估</w:t>
      </w:r>
      <w:r>
        <w:rPr>
          <w:rFonts w:hint="default" w:ascii="Times New Roman" w:hAnsi="Times New Roman" w:eastAsia="方正仿宋_GBK" w:cs="Times New Roman"/>
          <w:bCs/>
          <w:color w:val="auto"/>
          <w:sz w:val="21"/>
          <w:szCs w:val="21"/>
        </w:rPr>
        <w:t>准备工作后</w:t>
      </w:r>
      <w:r>
        <w:rPr>
          <w:rFonts w:hint="default" w:ascii="Times New Roman" w:hAnsi="Times New Roman" w:eastAsia="方正仿宋_GBK" w:cs="Times New Roman"/>
          <w:bCs/>
          <w:color w:val="auto"/>
          <w:sz w:val="21"/>
          <w:szCs w:val="21"/>
          <w:lang w:val="en-US" w:eastAsia="zh-CN"/>
        </w:rPr>
        <w:t>30</w:t>
      </w:r>
      <w:r>
        <w:rPr>
          <w:rFonts w:hint="default" w:ascii="Times New Roman" w:hAnsi="Times New Roman" w:eastAsia="方正仿宋_GBK" w:cs="Times New Roman"/>
          <w:bCs/>
          <w:color w:val="auto"/>
          <w:sz w:val="21"/>
          <w:szCs w:val="21"/>
        </w:rPr>
        <w:t>日内，乙方启动并完成</w:t>
      </w:r>
      <w:r>
        <w:rPr>
          <w:rFonts w:hint="eastAsia" w:ascii="Times New Roman" w:hAnsi="Times New Roman" w:eastAsia="方正仿宋_GBK" w:cs="Times New Roman"/>
          <w:bCs/>
          <w:color w:val="auto"/>
          <w:sz w:val="21"/>
          <w:szCs w:val="21"/>
          <w:lang w:val="en-US" w:eastAsia="zh-CN"/>
        </w:rPr>
        <w:t>评估</w:t>
      </w:r>
      <w:r>
        <w:rPr>
          <w:rFonts w:hint="default" w:ascii="Times New Roman" w:hAnsi="Times New Roman" w:eastAsia="方正仿宋_GBK" w:cs="Times New Roman"/>
          <w:bCs/>
          <w:color w:val="auto"/>
          <w:sz w:val="21"/>
          <w:szCs w:val="21"/>
          <w:lang w:eastAsia="zh-CN"/>
        </w:rPr>
        <w:t>执行</w:t>
      </w:r>
      <w:r>
        <w:rPr>
          <w:rFonts w:hint="default" w:ascii="Times New Roman" w:hAnsi="Times New Roman" w:eastAsia="方正仿宋_GBK" w:cs="Times New Roman"/>
          <w:bCs/>
          <w:color w:val="auto"/>
          <w:sz w:val="21"/>
          <w:szCs w:val="21"/>
        </w:rPr>
        <w:t>工作：</w:t>
      </w:r>
      <w:r>
        <w:rPr>
          <w:rFonts w:hint="eastAsia" w:ascii="Times New Roman" w:hAnsi="Times New Roman" w:eastAsia="方正仿宋_GBK" w:cs="Times New Roman"/>
          <w:bCs/>
          <w:color w:val="auto"/>
          <w:sz w:val="21"/>
          <w:szCs w:val="21"/>
          <w:lang w:val="en-US" w:eastAsia="zh-CN"/>
        </w:rPr>
        <w:t>评估</w:t>
      </w:r>
      <w:r>
        <w:rPr>
          <w:rFonts w:hint="default" w:ascii="Times New Roman" w:hAnsi="Times New Roman" w:eastAsia="方正仿宋_GBK" w:cs="Times New Roman"/>
          <w:bCs/>
          <w:color w:val="auto"/>
          <w:sz w:val="21"/>
          <w:szCs w:val="21"/>
        </w:rPr>
        <w:t>实施准备、</w:t>
      </w:r>
      <w:r>
        <w:rPr>
          <w:rFonts w:hint="eastAsia" w:ascii="Times New Roman" w:hAnsi="Times New Roman" w:eastAsia="方正仿宋_GBK" w:cs="Times New Roman"/>
          <w:bCs/>
          <w:color w:val="auto"/>
          <w:sz w:val="21"/>
          <w:szCs w:val="21"/>
          <w:lang w:val="en-US" w:eastAsia="zh-CN"/>
        </w:rPr>
        <w:t>评估</w:t>
      </w:r>
      <w:r>
        <w:rPr>
          <w:rFonts w:hint="default" w:ascii="Times New Roman" w:hAnsi="Times New Roman" w:eastAsia="方正仿宋_GBK" w:cs="Times New Roman"/>
          <w:bCs/>
          <w:color w:val="auto"/>
          <w:sz w:val="21"/>
          <w:szCs w:val="21"/>
          <w:lang w:eastAsia="zh-CN"/>
        </w:rPr>
        <w:t>执行</w:t>
      </w:r>
      <w:r>
        <w:rPr>
          <w:rFonts w:hint="default" w:ascii="Times New Roman" w:hAnsi="Times New Roman" w:eastAsia="方正仿宋_GBK" w:cs="Times New Roman"/>
          <w:bCs/>
          <w:color w:val="auto"/>
          <w:sz w:val="21"/>
          <w:szCs w:val="21"/>
        </w:rPr>
        <w:t>和</w:t>
      </w:r>
      <w:r>
        <w:rPr>
          <w:rFonts w:hint="default" w:ascii="Times New Roman" w:hAnsi="Times New Roman" w:eastAsia="方正仿宋_GBK" w:cs="Times New Roman"/>
          <w:bCs/>
          <w:color w:val="auto"/>
          <w:sz w:val="21"/>
          <w:szCs w:val="21"/>
          <w:lang w:eastAsia="zh-CN"/>
        </w:rPr>
        <w:t>调查数据审核</w:t>
      </w:r>
      <w:r>
        <w:rPr>
          <w:rFonts w:hint="default" w:ascii="Times New Roman" w:hAnsi="Times New Roman" w:eastAsia="方正仿宋_GBK" w:cs="Times New Roman"/>
          <w:bCs/>
          <w:color w:val="auto"/>
          <w:sz w:val="21"/>
          <w:szCs w:val="21"/>
        </w:rPr>
        <w:t>、</w:t>
      </w:r>
      <w:r>
        <w:rPr>
          <w:rFonts w:hint="eastAsia" w:ascii="Times New Roman" w:hAnsi="Times New Roman" w:eastAsia="方正仿宋_GBK" w:cs="Times New Roman"/>
          <w:bCs/>
          <w:color w:val="auto"/>
          <w:sz w:val="21"/>
          <w:szCs w:val="21"/>
          <w:lang w:val="en-US" w:eastAsia="zh-CN"/>
        </w:rPr>
        <w:t>评估</w:t>
      </w:r>
      <w:r>
        <w:rPr>
          <w:rFonts w:hint="default" w:ascii="Times New Roman" w:hAnsi="Times New Roman" w:eastAsia="方正仿宋_GBK" w:cs="Times New Roman"/>
          <w:bCs/>
          <w:color w:val="auto"/>
          <w:sz w:val="21"/>
          <w:szCs w:val="21"/>
          <w:lang w:eastAsia="zh-CN"/>
        </w:rPr>
        <w:t>报告编制</w:t>
      </w:r>
      <w:r>
        <w:rPr>
          <w:rFonts w:hint="default" w:ascii="Times New Roman" w:hAnsi="Times New Roman" w:eastAsia="方正仿宋_GBK" w:cs="Times New Roman"/>
          <w:bCs/>
          <w:color w:val="auto"/>
          <w:sz w:val="21"/>
          <w:szCs w:val="21"/>
        </w:rPr>
        <w:t>等，并</w:t>
      </w:r>
      <w:r>
        <w:rPr>
          <w:rFonts w:hint="default" w:ascii="Times New Roman" w:hAnsi="Times New Roman" w:eastAsia="方正仿宋_GBK" w:cs="Times New Roman"/>
          <w:color w:val="auto"/>
          <w:sz w:val="21"/>
          <w:szCs w:val="21"/>
        </w:rPr>
        <w:t>向甲方提交</w:t>
      </w:r>
      <w:r>
        <w:rPr>
          <w:rFonts w:hint="eastAsia" w:ascii="Times New Roman" w:hAnsi="Times New Roman" w:eastAsia="方正仿宋_GBK" w:cs="Times New Roman"/>
          <w:color w:val="auto"/>
          <w:sz w:val="21"/>
          <w:szCs w:val="21"/>
          <w:lang w:val="en-US" w:eastAsia="zh-CN"/>
        </w:rPr>
        <w:t>评估</w:t>
      </w:r>
      <w:r>
        <w:rPr>
          <w:rFonts w:hint="default" w:ascii="Times New Roman" w:hAnsi="Times New Roman" w:eastAsia="方正仿宋_GBK" w:cs="Times New Roman"/>
          <w:color w:val="auto"/>
          <w:sz w:val="21"/>
          <w:szCs w:val="21"/>
          <w:lang w:eastAsia="zh-CN"/>
        </w:rPr>
        <w:t>报告</w:t>
      </w:r>
      <w:r>
        <w:rPr>
          <w:rFonts w:hint="default" w:ascii="Times New Roman" w:hAnsi="Times New Roman" w:eastAsia="方正仿宋_GBK" w:cs="Times New Roman"/>
          <w:color w:val="auto"/>
          <w:sz w:val="21"/>
          <w:szCs w:val="21"/>
        </w:rPr>
        <w:t>；</w:t>
      </w:r>
    </w:p>
    <w:p w14:paraId="2761122E">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3</w:t>
      </w: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lang w:val="en-US" w:eastAsia="zh-CN"/>
        </w:rPr>
        <w:t>乙</w:t>
      </w:r>
      <w:r>
        <w:rPr>
          <w:rFonts w:hint="default" w:ascii="Times New Roman" w:hAnsi="Times New Roman" w:eastAsia="方正仿宋_GBK" w:cs="Times New Roman"/>
          <w:color w:val="auto"/>
          <w:sz w:val="21"/>
          <w:szCs w:val="21"/>
        </w:rPr>
        <w:t>方在</w:t>
      </w:r>
      <w:r>
        <w:rPr>
          <w:rFonts w:hint="eastAsia" w:ascii="Times New Roman" w:hAnsi="Times New Roman" w:eastAsia="方正仿宋_GBK" w:cs="Times New Roman"/>
          <w:bCs/>
          <w:color w:val="auto"/>
          <w:sz w:val="21"/>
          <w:szCs w:val="21"/>
          <w:lang w:val="en-US" w:eastAsia="zh-CN"/>
        </w:rPr>
        <w:t>评估</w:t>
      </w:r>
      <w:r>
        <w:rPr>
          <w:rFonts w:hint="default" w:ascii="Times New Roman" w:hAnsi="Times New Roman" w:eastAsia="方正仿宋_GBK" w:cs="Times New Roman"/>
          <w:bCs/>
          <w:color w:val="auto"/>
          <w:sz w:val="21"/>
          <w:szCs w:val="21"/>
        </w:rPr>
        <w:t>工作</w:t>
      </w:r>
      <w:r>
        <w:rPr>
          <w:rFonts w:hint="default" w:ascii="Times New Roman" w:hAnsi="Times New Roman" w:eastAsia="方正仿宋_GBK" w:cs="Times New Roman"/>
          <w:color w:val="auto"/>
          <w:sz w:val="21"/>
          <w:szCs w:val="21"/>
        </w:rPr>
        <w:t>实施过程中遇到的相关技术问题，由</w:t>
      </w:r>
      <w:r>
        <w:rPr>
          <w:rFonts w:hint="default" w:ascii="Times New Roman" w:hAnsi="Times New Roman" w:eastAsia="方正仿宋_GBK" w:cs="Times New Roman"/>
          <w:color w:val="auto"/>
          <w:sz w:val="21"/>
          <w:szCs w:val="21"/>
          <w:lang w:val="en-US" w:eastAsia="zh-CN"/>
        </w:rPr>
        <w:t>乙</w:t>
      </w:r>
      <w:r>
        <w:rPr>
          <w:rFonts w:hint="default" w:ascii="Times New Roman" w:hAnsi="Times New Roman" w:eastAsia="方正仿宋_GBK" w:cs="Times New Roman"/>
          <w:color w:val="auto"/>
          <w:sz w:val="21"/>
          <w:szCs w:val="21"/>
        </w:rPr>
        <w:t>方通过电话或邮件等方式向</w:t>
      </w:r>
      <w:r>
        <w:rPr>
          <w:rFonts w:hint="default" w:ascii="Times New Roman" w:hAnsi="Times New Roman" w:eastAsia="方正仿宋_GBK" w:cs="Times New Roman"/>
          <w:color w:val="auto"/>
          <w:sz w:val="21"/>
          <w:szCs w:val="21"/>
          <w:lang w:val="en-US" w:eastAsia="zh-CN"/>
        </w:rPr>
        <w:t>甲</w:t>
      </w:r>
      <w:r>
        <w:rPr>
          <w:rFonts w:hint="default" w:ascii="Times New Roman" w:hAnsi="Times New Roman" w:eastAsia="方正仿宋_GBK" w:cs="Times New Roman"/>
          <w:color w:val="auto"/>
          <w:sz w:val="21"/>
          <w:szCs w:val="21"/>
        </w:rPr>
        <w:t>方提出咨询，</w:t>
      </w:r>
      <w:r>
        <w:rPr>
          <w:rFonts w:hint="default" w:ascii="Times New Roman" w:hAnsi="Times New Roman" w:eastAsia="方正仿宋_GBK" w:cs="Times New Roman"/>
          <w:color w:val="auto"/>
          <w:sz w:val="21"/>
          <w:szCs w:val="21"/>
          <w:lang w:val="en-US" w:eastAsia="zh-CN"/>
        </w:rPr>
        <w:t>甲</w:t>
      </w:r>
      <w:r>
        <w:rPr>
          <w:rFonts w:hint="default" w:ascii="Times New Roman" w:hAnsi="Times New Roman" w:eastAsia="方正仿宋_GBK" w:cs="Times New Roman"/>
          <w:color w:val="auto"/>
          <w:sz w:val="21"/>
          <w:szCs w:val="21"/>
        </w:rPr>
        <w:t>方将及时提供电话或邮件咨询服务。</w:t>
      </w:r>
    </w:p>
    <w:p w14:paraId="1B54F43F">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rPr>
      </w:pPr>
      <w:r>
        <w:rPr>
          <w:rFonts w:hint="default" w:ascii="Times New Roman" w:hAnsi="Times New Roman" w:eastAsia="方正仿宋_GBK" w:cs="Times New Roman"/>
          <w:bCs/>
          <w:color w:val="auto"/>
          <w:sz w:val="21"/>
          <w:szCs w:val="21"/>
          <w:lang w:val="en-US" w:eastAsia="zh-CN"/>
        </w:rPr>
        <w:t>4</w:t>
      </w:r>
      <w:r>
        <w:rPr>
          <w:rFonts w:hint="eastAsia" w:ascii="Times New Roman" w:hAnsi="Times New Roman" w:eastAsia="方正仿宋_GBK" w:cs="Times New Roman"/>
          <w:bCs/>
          <w:color w:val="auto"/>
          <w:sz w:val="21"/>
          <w:szCs w:val="21"/>
          <w:lang w:eastAsia="zh-CN"/>
        </w:rPr>
        <w:t>.</w:t>
      </w:r>
      <w:r>
        <w:rPr>
          <w:rFonts w:hint="default" w:ascii="Times New Roman" w:hAnsi="Times New Roman" w:eastAsia="方正仿宋_GBK" w:cs="Times New Roman"/>
          <w:bCs/>
          <w:color w:val="auto"/>
          <w:sz w:val="21"/>
          <w:szCs w:val="21"/>
        </w:rPr>
        <w:t>乙方应按以上服务承诺完成各阶段相关服务工作，如因下述问题影响乙方工作进度，乙方不承担相应责任。如下：</w:t>
      </w:r>
    </w:p>
    <w:p w14:paraId="6E00510F">
      <w:pPr>
        <w:pStyle w:val="22"/>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rPr>
      </w:pPr>
      <w:r>
        <w:rPr>
          <w:rFonts w:hint="default" w:ascii="Times New Roman" w:hAnsi="Times New Roman" w:eastAsia="方正仿宋_GBK" w:cs="Times New Roman"/>
          <w:bCs/>
          <w:color w:val="auto"/>
          <w:sz w:val="21"/>
          <w:szCs w:val="21"/>
        </w:rPr>
        <w:t>甲方无法向乙方提供开展</w:t>
      </w:r>
      <w:r>
        <w:rPr>
          <w:rFonts w:hint="eastAsia" w:ascii="Times New Roman" w:hAnsi="Times New Roman" w:eastAsia="方正仿宋_GBK" w:cs="Times New Roman"/>
          <w:bCs/>
          <w:color w:val="auto"/>
          <w:sz w:val="21"/>
          <w:szCs w:val="21"/>
          <w:lang w:val="en-US" w:eastAsia="zh-CN"/>
        </w:rPr>
        <w:t>评估</w:t>
      </w:r>
      <w:r>
        <w:rPr>
          <w:rFonts w:hint="default" w:ascii="Times New Roman" w:hAnsi="Times New Roman" w:eastAsia="方正仿宋_GBK" w:cs="Times New Roman"/>
          <w:bCs/>
          <w:color w:val="auto"/>
          <w:sz w:val="21"/>
          <w:szCs w:val="21"/>
        </w:rPr>
        <w:t>工作相关配合工作；</w:t>
      </w:r>
    </w:p>
    <w:p w14:paraId="457A5621">
      <w:pPr>
        <w:pStyle w:val="22"/>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rPr>
      </w:pPr>
      <w:r>
        <w:rPr>
          <w:rFonts w:hint="default" w:ascii="Times New Roman" w:hAnsi="Times New Roman" w:eastAsia="方正仿宋_GBK" w:cs="Times New Roman"/>
          <w:bCs/>
          <w:color w:val="auto"/>
          <w:sz w:val="21"/>
          <w:szCs w:val="21"/>
        </w:rPr>
        <w:t>甲方未向乙方提供真实的</w:t>
      </w:r>
      <w:r>
        <w:rPr>
          <w:rFonts w:hint="eastAsia" w:ascii="Times New Roman" w:hAnsi="Times New Roman" w:eastAsia="方正仿宋_GBK" w:cs="Times New Roman"/>
          <w:bCs/>
          <w:color w:val="auto"/>
          <w:sz w:val="21"/>
          <w:szCs w:val="21"/>
          <w:lang w:val="en-US" w:eastAsia="zh-CN"/>
        </w:rPr>
        <w:t>评估</w:t>
      </w:r>
      <w:r>
        <w:rPr>
          <w:rFonts w:hint="default" w:ascii="Times New Roman" w:hAnsi="Times New Roman" w:eastAsia="方正仿宋_GBK" w:cs="Times New Roman"/>
          <w:bCs/>
          <w:color w:val="auto"/>
          <w:sz w:val="21"/>
          <w:szCs w:val="21"/>
        </w:rPr>
        <w:t>相关资料；</w:t>
      </w:r>
    </w:p>
    <w:p w14:paraId="618605BE">
      <w:pPr>
        <w:pStyle w:val="22"/>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rPr>
      </w:pPr>
      <w:r>
        <w:rPr>
          <w:rFonts w:hint="default" w:ascii="Times New Roman" w:hAnsi="Times New Roman" w:eastAsia="方正仿宋_GBK" w:cs="Times New Roman"/>
          <w:bCs/>
          <w:color w:val="auto"/>
          <w:sz w:val="21"/>
          <w:szCs w:val="21"/>
        </w:rPr>
        <w:t>其他非乙方原因的问题。</w:t>
      </w:r>
    </w:p>
    <w:bookmarkEnd w:id="11"/>
    <w:p w14:paraId="6B3DE63C">
      <w:pPr>
        <w:pStyle w:val="22"/>
        <w:keepNext w:val="0"/>
        <w:keepLines w:val="0"/>
        <w:pageBreakBefore w:val="0"/>
        <w:widowControl w:val="0"/>
        <w:kinsoku/>
        <w:wordWrap/>
        <w:overflowPunct/>
        <w:topLinePunct w:val="0"/>
        <w:autoSpaceDE/>
        <w:autoSpaceDN/>
        <w:bidi w:val="0"/>
        <w:adjustRightInd/>
        <w:snapToGrid/>
        <w:spacing w:line="400" w:lineRule="exact"/>
        <w:ind w:left="0" w:firstLine="420" w:firstLineChars="200"/>
        <w:contextualSpacing/>
        <w:textAlignment w:val="auto"/>
        <w:outlineLvl w:val="1"/>
        <w:rPr>
          <w:rFonts w:hint="default" w:ascii="方正黑体_GBK" w:hAnsi="方正黑体_GBK" w:eastAsia="方正黑体_GBK" w:cs="方正黑体_GBK"/>
          <w:b w:val="0"/>
          <w:bCs w:val="0"/>
          <w:color w:val="auto"/>
          <w:sz w:val="21"/>
          <w:szCs w:val="21"/>
        </w:rPr>
      </w:pPr>
      <w:bookmarkStart w:id="12" w:name="_Toc78604612"/>
      <w:r>
        <w:rPr>
          <w:rFonts w:hint="default" w:ascii="方正黑体_GBK" w:hAnsi="方正黑体_GBK" w:eastAsia="方正黑体_GBK" w:cs="方正黑体_GBK"/>
          <w:b w:val="0"/>
          <w:bCs w:val="0"/>
          <w:color w:val="auto"/>
          <w:sz w:val="21"/>
          <w:szCs w:val="21"/>
        </w:rPr>
        <w:t>第七条 权利和义务</w:t>
      </w:r>
    </w:p>
    <w:p w14:paraId="16E18EF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rPr>
      </w:pPr>
      <w:r>
        <w:rPr>
          <w:rFonts w:hint="default" w:ascii="Times New Roman" w:hAnsi="Times New Roman" w:eastAsia="方正仿宋_GBK" w:cs="Times New Roman"/>
          <w:bCs/>
          <w:color w:val="auto"/>
          <w:sz w:val="21"/>
          <w:szCs w:val="21"/>
        </w:rPr>
        <w:t>1</w:t>
      </w:r>
      <w:r>
        <w:rPr>
          <w:rFonts w:hint="eastAsia" w:ascii="Times New Roman" w:hAnsi="Times New Roman" w:eastAsia="方正仿宋_GBK" w:cs="Times New Roman"/>
          <w:bCs/>
          <w:color w:val="auto"/>
          <w:sz w:val="21"/>
          <w:szCs w:val="21"/>
          <w:lang w:eastAsia="zh-CN"/>
        </w:rPr>
        <w:t>.</w:t>
      </w:r>
      <w:r>
        <w:rPr>
          <w:rFonts w:hint="default" w:ascii="Times New Roman" w:hAnsi="Times New Roman" w:eastAsia="方正仿宋_GBK" w:cs="Times New Roman"/>
          <w:bCs/>
          <w:color w:val="auto"/>
          <w:sz w:val="21"/>
          <w:szCs w:val="21"/>
        </w:rPr>
        <w:t>甲方的权利和义务</w:t>
      </w:r>
    </w:p>
    <w:p w14:paraId="7F3DCF1C">
      <w:pPr>
        <w:pStyle w:val="22"/>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rPr>
      </w:pPr>
      <w:r>
        <w:rPr>
          <w:rFonts w:hint="default" w:ascii="Times New Roman" w:hAnsi="Times New Roman" w:eastAsia="方正仿宋_GBK" w:cs="Times New Roman"/>
          <w:bCs/>
          <w:color w:val="auto"/>
          <w:sz w:val="21"/>
          <w:szCs w:val="21"/>
        </w:rPr>
        <w:t>安排专人协助乙方进行</w:t>
      </w:r>
      <w:r>
        <w:rPr>
          <w:rFonts w:hint="eastAsia" w:ascii="Times New Roman" w:hAnsi="Times New Roman" w:eastAsia="方正仿宋_GBK" w:cs="Times New Roman"/>
          <w:bCs/>
          <w:color w:val="auto"/>
          <w:sz w:val="21"/>
          <w:szCs w:val="21"/>
          <w:lang w:val="en-US" w:eastAsia="zh-CN"/>
        </w:rPr>
        <w:t>评估</w:t>
      </w:r>
      <w:r>
        <w:rPr>
          <w:rFonts w:hint="default" w:ascii="Times New Roman" w:hAnsi="Times New Roman" w:eastAsia="方正仿宋_GBK" w:cs="Times New Roman"/>
          <w:bCs/>
          <w:color w:val="auto"/>
          <w:sz w:val="21"/>
          <w:szCs w:val="21"/>
        </w:rPr>
        <w:t>工作；</w:t>
      </w:r>
    </w:p>
    <w:p w14:paraId="688E88E3">
      <w:pPr>
        <w:pStyle w:val="22"/>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rPr>
      </w:pPr>
      <w:r>
        <w:rPr>
          <w:rFonts w:hint="default" w:ascii="Times New Roman" w:hAnsi="Times New Roman" w:eastAsia="方正仿宋_GBK" w:cs="Times New Roman"/>
          <w:bCs/>
          <w:color w:val="auto"/>
          <w:sz w:val="21"/>
          <w:szCs w:val="21"/>
        </w:rPr>
        <w:t>向乙方提供</w:t>
      </w:r>
      <w:r>
        <w:rPr>
          <w:rFonts w:hint="eastAsia" w:ascii="Times New Roman" w:hAnsi="Times New Roman" w:eastAsia="方正仿宋_GBK" w:cs="Times New Roman"/>
          <w:bCs/>
          <w:color w:val="auto"/>
          <w:sz w:val="21"/>
          <w:szCs w:val="21"/>
          <w:lang w:val="en-US" w:eastAsia="zh-CN"/>
        </w:rPr>
        <w:t>评估</w:t>
      </w:r>
      <w:r>
        <w:rPr>
          <w:rFonts w:hint="default" w:ascii="Times New Roman" w:hAnsi="Times New Roman" w:eastAsia="方正仿宋_GBK" w:cs="Times New Roman"/>
          <w:bCs/>
          <w:color w:val="auto"/>
          <w:sz w:val="21"/>
          <w:szCs w:val="21"/>
        </w:rPr>
        <w:t>所需的真实、准确、完整的文件、资料；</w:t>
      </w:r>
    </w:p>
    <w:p w14:paraId="7C766C80">
      <w:pPr>
        <w:pStyle w:val="22"/>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rPr>
      </w:pPr>
      <w:r>
        <w:rPr>
          <w:rFonts w:hint="default" w:ascii="Times New Roman" w:hAnsi="Times New Roman" w:eastAsia="方正仿宋_GBK" w:cs="Times New Roman"/>
          <w:bCs/>
          <w:color w:val="auto"/>
          <w:sz w:val="21"/>
          <w:szCs w:val="21"/>
        </w:rPr>
        <w:t>按照本合同约定按时支付合同款项。</w:t>
      </w:r>
    </w:p>
    <w:p w14:paraId="078E78FC">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rPr>
      </w:pPr>
      <w:r>
        <w:rPr>
          <w:rFonts w:hint="default" w:ascii="Times New Roman" w:hAnsi="Times New Roman" w:eastAsia="方正仿宋_GBK" w:cs="Times New Roman"/>
          <w:bCs/>
          <w:color w:val="auto"/>
          <w:sz w:val="21"/>
          <w:szCs w:val="21"/>
        </w:rPr>
        <w:t>2</w:t>
      </w:r>
      <w:r>
        <w:rPr>
          <w:rFonts w:hint="eastAsia" w:ascii="Times New Roman" w:hAnsi="Times New Roman" w:eastAsia="方正仿宋_GBK" w:cs="Times New Roman"/>
          <w:bCs/>
          <w:color w:val="auto"/>
          <w:sz w:val="21"/>
          <w:szCs w:val="21"/>
          <w:lang w:eastAsia="zh-CN"/>
        </w:rPr>
        <w:t>.</w:t>
      </w:r>
      <w:r>
        <w:rPr>
          <w:rFonts w:hint="default" w:ascii="Times New Roman" w:hAnsi="Times New Roman" w:eastAsia="方正仿宋_GBK" w:cs="Times New Roman"/>
          <w:bCs/>
          <w:color w:val="auto"/>
          <w:sz w:val="21"/>
          <w:szCs w:val="21"/>
        </w:rPr>
        <w:t>乙方的权利和义务</w:t>
      </w:r>
    </w:p>
    <w:p w14:paraId="48BBB86F">
      <w:pPr>
        <w:pStyle w:val="22"/>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rPr>
      </w:pPr>
      <w:r>
        <w:rPr>
          <w:rFonts w:hint="default" w:ascii="Times New Roman" w:hAnsi="Times New Roman" w:eastAsia="方正仿宋_GBK" w:cs="Times New Roman"/>
          <w:bCs/>
          <w:color w:val="auto"/>
          <w:sz w:val="21"/>
          <w:szCs w:val="21"/>
        </w:rPr>
        <w:t>负责按合同完成本项目的各项服务工作；</w:t>
      </w:r>
    </w:p>
    <w:p w14:paraId="7A8D4076">
      <w:pPr>
        <w:pStyle w:val="22"/>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rPr>
      </w:pPr>
      <w:r>
        <w:rPr>
          <w:rFonts w:hint="default" w:ascii="Times New Roman" w:hAnsi="Times New Roman" w:eastAsia="方正仿宋_GBK" w:cs="Times New Roman"/>
          <w:bCs/>
          <w:color w:val="auto"/>
          <w:sz w:val="21"/>
          <w:szCs w:val="21"/>
        </w:rPr>
        <w:t>负责按</w:t>
      </w:r>
      <w:r>
        <w:rPr>
          <w:rFonts w:hint="eastAsia" w:ascii="Times New Roman" w:hAnsi="Times New Roman" w:eastAsia="方正仿宋_GBK" w:cs="Times New Roman"/>
          <w:bCs/>
          <w:color w:val="auto"/>
          <w:sz w:val="21"/>
          <w:szCs w:val="21"/>
          <w:lang w:val="en-US" w:eastAsia="zh-CN"/>
        </w:rPr>
        <w:t>评估</w:t>
      </w:r>
      <w:r>
        <w:rPr>
          <w:rFonts w:hint="default" w:ascii="Times New Roman" w:hAnsi="Times New Roman" w:eastAsia="方正仿宋_GBK" w:cs="Times New Roman"/>
          <w:bCs/>
          <w:color w:val="auto"/>
          <w:sz w:val="21"/>
          <w:szCs w:val="21"/>
        </w:rPr>
        <w:t>相关标准要求</w:t>
      </w:r>
      <w:r>
        <w:rPr>
          <w:rFonts w:hint="default" w:ascii="Times New Roman" w:hAnsi="Times New Roman" w:eastAsia="方正仿宋_GBK" w:cs="Times New Roman"/>
          <w:bCs/>
          <w:color w:val="auto"/>
          <w:sz w:val="21"/>
          <w:szCs w:val="21"/>
          <w:lang w:eastAsia="zh-CN"/>
        </w:rPr>
        <w:t>开展</w:t>
      </w:r>
      <w:r>
        <w:rPr>
          <w:rFonts w:hint="eastAsia" w:ascii="Times New Roman" w:hAnsi="Times New Roman" w:eastAsia="方正仿宋_GBK" w:cs="Times New Roman"/>
          <w:bCs/>
          <w:color w:val="auto"/>
          <w:sz w:val="21"/>
          <w:szCs w:val="21"/>
          <w:lang w:val="en-US" w:eastAsia="zh-CN"/>
        </w:rPr>
        <w:t>评估</w:t>
      </w:r>
      <w:r>
        <w:rPr>
          <w:rFonts w:hint="default" w:ascii="Times New Roman" w:hAnsi="Times New Roman" w:eastAsia="方正仿宋_GBK" w:cs="Times New Roman"/>
          <w:bCs/>
          <w:color w:val="auto"/>
          <w:sz w:val="21"/>
          <w:szCs w:val="21"/>
        </w:rPr>
        <w:t>工作。</w:t>
      </w:r>
    </w:p>
    <w:p w14:paraId="4DC0F4AC">
      <w:pPr>
        <w:pStyle w:val="22"/>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rPr>
      </w:pPr>
      <w:r>
        <w:rPr>
          <w:rFonts w:hint="default" w:ascii="Times New Roman" w:hAnsi="Times New Roman" w:eastAsia="方正仿宋_GBK" w:cs="Times New Roman"/>
          <w:bCs/>
          <w:color w:val="auto"/>
          <w:sz w:val="21"/>
          <w:szCs w:val="21"/>
        </w:rPr>
        <w:t>乙方保证向甲方提供的服务成果是其独立实施完成，不存在任何侵犯第三方专利权、商标权、著作权等合法权益的情形。</w:t>
      </w:r>
    </w:p>
    <w:bookmarkEnd w:id="12"/>
    <w:p w14:paraId="4D350495">
      <w:pPr>
        <w:pStyle w:val="22"/>
        <w:keepNext w:val="0"/>
        <w:keepLines w:val="0"/>
        <w:pageBreakBefore w:val="0"/>
        <w:widowControl w:val="0"/>
        <w:kinsoku/>
        <w:wordWrap/>
        <w:overflowPunct/>
        <w:topLinePunct w:val="0"/>
        <w:autoSpaceDE/>
        <w:autoSpaceDN/>
        <w:bidi w:val="0"/>
        <w:adjustRightInd/>
        <w:snapToGrid/>
        <w:spacing w:line="400" w:lineRule="exact"/>
        <w:ind w:left="0" w:firstLine="420" w:firstLineChars="200"/>
        <w:contextualSpacing/>
        <w:textAlignment w:val="auto"/>
        <w:outlineLvl w:val="1"/>
        <w:rPr>
          <w:rFonts w:hint="default" w:ascii="方正黑体_GBK" w:hAnsi="方正黑体_GBK" w:eastAsia="方正黑体_GBK" w:cs="方正黑体_GBK"/>
          <w:b w:val="0"/>
          <w:bCs w:val="0"/>
          <w:color w:val="auto"/>
          <w:sz w:val="21"/>
          <w:szCs w:val="21"/>
        </w:rPr>
      </w:pPr>
      <w:r>
        <w:rPr>
          <w:rFonts w:hint="default" w:ascii="方正黑体_GBK" w:hAnsi="方正黑体_GBK" w:eastAsia="方正黑体_GBK" w:cs="方正黑体_GBK"/>
          <w:b w:val="0"/>
          <w:bCs w:val="0"/>
          <w:color w:val="auto"/>
          <w:sz w:val="21"/>
          <w:szCs w:val="21"/>
        </w:rPr>
        <w:t>第八条 违约责任</w:t>
      </w:r>
    </w:p>
    <w:p w14:paraId="46884D91">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1</w:t>
      </w: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rPr>
        <w:t>乙方未按</w:t>
      </w:r>
      <w:r>
        <w:rPr>
          <w:rFonts w:hint="eastAsia" w:ascii="仿宋" w:hAnsi="仿宋" w:eastAsia="仿宋" w:cs="仿宋"/>
          <w:bCs/>
          <w:color w:val="auto"/>
          <w:sz w:val="21"/>
          <w:szCs w:val="21"/>
          <w:lang w:val="en-US" w:eastAsia="zh-CN"/>
        </w:rPr>
        <w:t>合同约定的期限提交评估报告</w:t>
      </w:r>
      <w:r>
        <w:rPr>
          <w:rFonts w:hint="eastAsia" w:ascii="仿宋" w:hAnsi="仿宋" w:eastAsia="仿宋" w:cs="仿宋"/>
          <w:bCs/>
          <w:color w:val="auto"/>
          <w:sz w:val="21"/>
          <w:szCs w:val="21"/>
        </w:rPr>
        <w:t>时，</w:t>
      </w:r>
      <w:r>
        <w:rPr>
          <w:rFonts w:hint="eastAsia" w:ascii="仿宋" w:hAnsi="仿宋" w:eastAsia="仿宋" w:cs="仿宋"/>
          <w:bCs/>
          <w:color w:val="auto"/>
          <w:sz w:val="21"/>
          <w:szCs w:val="21"/>
          <w:lang w:val="en-US" w:eastAsia="zh-CN"/>
        </w:rPr>
        <w:t>每逾期一日，乙方应</w:t>
      </w:r>
      <w:r>
        <w:rPr>
          <w:rFonts w:hint="eastAsia" w:ascii="仿宋" w:hAnsi="仿宋" w:eastAsia="仿宋" w:cs="仿宋"/>
          <w:bCs/>
          <w:color w:val="auto"/>
          <w:sz w:val="21"/>
          <w:szCs w:val="21"/>
        </w:rPr>
        <w:t>按合同</w:t>
      </w:r>
      <w:r>
        <w:rPr>
          <w:rFonts w:hint="eastAsia" w:ascii="仿宋" w:hAnsi="仿宋" w:eastAsia="仿宋" w:cs="仿宋"/>
          <w:bCs/>
          <w:color w:val="auto"/>
          <w:sz w:val="21"/>
          <w:szCs w:val="21"/>
          <w:lang w:val="en-US" w:eastAsia="zh-CN"/>
        </w:rPr>
        <w:t>服务费用</w:t>
      </w:r>
      <w:r>
        <w:rPr>
          <w:rFonts w:hint="eastAsia" w:ascii="仿宋" w:hAnsi="仿宋" w:eastAsia="仿宋" w:cs="仿宋"/>
          <w:bCs/>
          <w:color w:val="auto"/>
          <w:sz w:val="21"/>
          <w:szCs w:val="21"/>
        </w:rPr>
        <w:t>的</w:t>
      </w:r>
      <w:r>
        <w:rPr>
          <w:rFonts w:hint="eastAsia" w:ascii="仿宋" w:hAnsi="仿宋" w:eastAsia="仿宋" w:cs="仿宋"/>
          <w:bCs/>
          <w:color w:val="auto"/>
          <w:sz w:val="21"/>
          <w:szCs w:val="21"/>
          <w:lang w:val="en-US" w:eastAsia="zh-CN"/>
        </w:rPr>
        <w:t>万分之一</w:t>
      </w:r>
      <w:r>
        <w:rPr>
          <w:rFonts w:hint="eastAsia" w:ascii="仿宋" w:hAnsi="仿宋" w:eastAsia="仿宋" w:cs="仿宋"/>
          <w:bCs/>
          <w:color w:val="auto"/>
          <w:sz w:val="21"/>
          <w:szCs w:val="21"/>
        </w:rPr>
        <w:t>向甲方支付违约金；逾期15日以上时</w:t>
      </w: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lang w:val="en-US" w:eastAsia="zh-CN"/>
        </w:rPr>
        <w:t>含15日</w:t>
      </w: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rPr>
        <w:t>，甲方有权</w:t>
      </w:r>
      <w:r>
        <w:rPr>
          <w:rFonts w:hint="eastAsia" w:ascii="仿宋" w:hAnsi="仿宋" w:eastAsia="仿宋" w:cs="仿宋"/>
          <w:bCs/>
          <w:color w:val="auto"/>
          <w:sz w:val="21"/>
          <w:szCs w:val="21"/>
          <w:lang w:val="en-US" w:eastAsia="zh-CN"/>
        </w:rPr>
        <w:t>单方解除</w:t>
      </w:r>
      <w:r>
        <w:rPr>
          <w:rFonts w:hint="eastAsia" w:ascii="仿宋" w:hAnsi="仿宋" w:eastAsia="仿宋" w:cs="仿宋"/>
          <w:bCs/>
          <w:color w:val="auto"/>
          <w:sz w:val="21"/>
          <w:szCs w:val="21"/>
        </w:rPr>
        <w:t>合同，</w:t>
      </w:r>
      <w:r>
        <w:rPr>
          <w:rFonts w:hint="eastAsia" w:ascii="仿宋" w:hAnsi="仿宋" w:eastAsia="仿宋" w:cs="仿宋"/>
          <w:bCs/>
          <w:color w:val="auto"/>
          <w:sz w:val="21"/>
          <w:szCs w:val="21"/>
          <w:lang w:val="en-US" w:eastAsia="zh-CN"/>
        </w:rPr>
        <w:t>乙方应按合同服务费用的20%承担违约金。</w:t>
      </w:r>
      <w:r>
        <w:rPr>
          <w:rFonts w:hint="eastAsia" w:ascii="仿宋" w:hAnsi="仿宋" w:eastAsia="仿宋" w:cs="仿宋"/>
          <w:bCs/>
          <w:color w:val="auto"/>
          <w:sz w:val="21"/>
          <w:szCs w:val="21"/>
        </w:rPr>
        <w:t>违约金不足以弥补</w:t>
      </w:r>
      <w:r>
        <w:rPr>
          <w:rFonts w:hint="eastAsia" w:ascii="仿宋" w:hAnsi="仿宋" w:eastAsia="仿宋" w:cs="仿宋"/>
          <w:bCs/>
          <w:color w:val="auto"/>
          <w:sz w:val="21"/>
          <w:szCs w:val="21"/>
          <w:lang w:val="en-US" w:eastAsia="zh-CN"/>
        </w:rPr>
        <w:t>甲方经济</w:t>
      </w:r>
      <w:r>
        <w:rPr>
          <w:rFonts w:hint="eastAsia" w:ascii="仿宋" w:hAnsi="仿宋" w:eastAsia="仿宋" w:cs="仿宋"/>
          <w:bCs/>
          <w:color w:val="auto"/>
          <w:sz w:val="21"/>
          <w:szCs w:val="21"/>
        </w:rPr>
        <w:t>损失的，乙方应按全额赔偿；</w:t>
      </w:r>
    </w:p>
    <w:p w14:paraId="48F2E5BA">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甲方</w:t>
      </w:r>
      <w:r>
        <w:rPr>
          <w:rFonts w:hint="eastAsia" w:ascii="仿宋" w:hAnsi="仿宋" w:eastAsia="仿宋" w:cs="仿宋"/>
          <w:color w:val="auto"/>
          <w:sz w:val="21"/>
          <w:szCs w:val="21"/>
          <w:lang w:val="en-US" w:eastAsia="zh-CN"/>
        </w:rPr>
        <w:t>无正当理由</w:t>
      </w:r>
      <w:r>
        <w:rPr>
          <w:rFonts w:hint="eastAsia" w:ascii="仿宋" w:hAnsi="仿宋" w:eastAsia="仿宋" w:cs="仿宋"/>
          <w:color w:val="auto"/>
          <w:sz w:val="21"/>
          <w:szCs w:val="21"/>
        </w:rPr>
        <w:t>未按</w:t>
      </w:r>
      <w:r>
        <w:rPr>
          <w:rFonts w:hint="eastAsia" w:ascii="仿宋" w:hAnsi="仿宋" w:eastAsia="仿宋" w:cs="仿宋"/>
          <w:color w:val="auto"/>
          <w:sz w:val="21"/>
          <w:szCs w:val="21"/>
          <w:lang w:val="en-US" w:eastAsia="zh-CN"/>
        </w:rPr>
        <w:t>合同约定的期限支付款项</w:t>
      </w:r>
      <w:r>
        <w:rPr>
          <w:rFonts w:hint="eastAsia" w:ascii="仿宋" w:hAnsi="仿宋" w:eastAsia="仿宋" w:cs="仿宋"/>
          <w:color w:val="auto"/>
          <w:sz w:val="21"/>
          <w:szCs w:val="21"/>
        </w:rPr>
        <w:t>时或无故拖延验收时，</w:t>
      </w:r>
      <w:r>
        <w:rPr>
          <w:rFonts w:hint="eastAsia" w:ascii="仿宋" w:hAnsi="仿宋" w:eastAsia="仿宋" w:cs="仿宋"/>
          <w:color w:val="auto"/>
          <w:sz w:val="21"/>
          <w:szCs w:val="21"/>
          <w:lang w:val="en-US" w:eastAsia="zh-CN"/>
        </w:rPr>
        <w:t>经乙方书面催告后7个工作日内仍未支付的，每逾期一日，</w:t>
      </w:r>
      <w:r>
        <w:rPr>
          <w:rFonts w:hint="eastAsia" w:ascii="仿宋" w:hAnsi="仿宋" w:eastAsia="仿宋" w:cs="仿宋"/>
          <w:color w:val="auto"/>
          <w:sz w:val="21"/>
          <w:szCs w:val="21"/>
        </w:rPr>
        <w:t>甲方</w:t>
      </w:r>
      <w:r>
        <w:rPr>
          <w:rFonts w:hint="eastAsia" w:ascii="仿宋" w:hAnsi="仿宋" w:eastAsia="仿宋" w:cs="仿宋"/>
          <w:color w:val="auto"/>
          <w:sz w:val="21"/>
          <w:szCs w:val="21"/>
          <w:lang w:val="en-US" w:eastAsia="zh-CN"/>
        </w:rPr>
        <w:t>应按应付未付金额的万分之一</w:t>
      </w:r>
      <w:r>
        <w:rPr>
          <w:rFonts w:hint="eastAsia" w:ascii="仿宋" w:hAnsi="仿宋" w:eastAsia="仿宋" w:cs="仿宋"/>
          <w:bCs/>
          <w:color w:val="auto"/>
          <w:sz w:val="21"/>
          <w:szCs w:val="21"/>
          <w:lang w:val="en-US" w:eastAsia="zh-CN"/>
        </w:rPr>
        <w:t>的标准承担</w:t>
      </w:r>
      <w:r>
        <w:rPr>
          <w:rFonts w:hint="eastAsia" w:ascii="仿宋" w:hAnsi="仿宋" w:eastAsia="仿宋" w:cs="仿宋"/>
          <w:color w:val="auto"/>
          <w:sz w:val="21"/>
          <w:szCs w:val="21"/>
          <w:lang w:val="en-US" w:eastAsia="zh-CN"/>
        </w:rPr>
        <w:t>违约</w:t>
      </w:r>
      <w:r>
        <w:rPr>
          <w:rFonts w:hint="eastAsia" w:ascii="仿宋" w:hAnsi="仿宋" w:eastAsia="仿宋" w:cs="仿宋"/>
          <w:color w:val="auto"/>
          <w:sz w:val="21"/>
          <w:szCs w:val="21"/>
        </w:rPr>
        <w:t>金。</w:t>
      </w:r>
      <w:r>
        <w:rPr>
          <w:rFonts w:hint="eastAsia" w:ascii="仿宋" w:hAnsi="仿宋" w:eastAsia="仿宋" w:cs="仿宋"/>
          <w:color w:val="auto"/>
          <w:sz w:val="21"/>
          <w:szCs w:val="21"/>
          <w:lang w:val="en-US" w:eastAsia="zh-CN"/>
        </w:rPr>
        <w:t>违约金合计不超过本合同服务费用的5%；</w:t>
      </w:r>
    </w:p>
    <w:p w14:paraId="00AF31BD">
      <w:pPr>
        <w:adjustRightInd/>
        <w:snapToGrid/>
        <w:spacing w:line="40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lang w:val="en-US" w:eastAsia="zh-CN"/>
        </w:rPr>
        <w:t>3.</w:t>
      </w:r>
      <w:r>
        <w:rPr>
          <w:rFonts w:hint="eastAsia" w:ascii="仿宋" w:hAnsi="仿宋" w:eastAsia="仿宋" w:cs="仿宋"/>
          <w:bCs/>
          <w:color w:val="auto"/>
          <w:szCs w:val="21"/>
        </w:rPr>
        <w:t>乙方提供的服务不符合遴选采购文件、响应文件或本合同约定的，甲方有权拒收，并且乙方</w:t>
      </w:r>
      <w:r>
        <w:rPr>
          <w:rFonts w:hint="eastAsia" w:ascii="仿宋" w:hAnsi="仿宋" w:eastAsia="仿宋" w:cs="仿宋"/>
          <w:bCs/>
          <w:color w:val="auto"/>
          <w:szCs w:val="21"/>
          <w:lang w:val="en-US" w:eastAsia="zh-CN"/>
        </w:rPr>
        <w:t>每次</w:t>
      </w:r>
      <w:r>
        <w:rPr>
          <w:rFonts w:hint="eastAsia" w:ascii="仿宋" w:hAnsi="仿宋" w:eastAsia="仿宋" w:cs="仿宋"/>
          <w:bCs/>
          <w:color w:val="auto"/>
          <w:szCs w:val="21"/>
        </w:rPr>
        <w:t>须向甲方支付合同</w:t>
      </w:r>
      <w:r>
        <w:rPr>
          <w:rFonts w:hint="eastAsia" w:ascii="仿宋" w:hAnsi="仿宋" w:eastAsia="仿宋" w:cs="仿宋"/>
          <w:bCs/>
          <w:color w:val="auto"/>
          <w:sz w:val="21"/>
          <w:szCs w:val="21"/>
          <w:lang w:val="en-US" w:eastAsia="zh-CN"/>
        </w:rPr>
        <w:t>服务费用</w:t>
      </w:r>
      <w:r>
        <w:rPr>
          <w:rFonts w:hint="eastAsia" w:ascii="仿宋" w:hAnsi="仿宋" w:eastAsia="仿宋" w:cs="仿宋"/>
          <w:bCs/>
          <w:color w:val="auto"/>
          <w:szCs w:val="21"/>
          <w:lang w:val="en-US"/>
        </w:rPr>
        <w:t>5</w:t>
      </w:r>
      <w:r>
        <w:rPr>
          <w:rFonts w:hint="eastAsia" w:ascii="仿宋" w:hAnsi="仿宋" w:eastAsia="仿宋" w:cs="仿宋"/>
          <w:bCs/>
          <w:color w:val="auto"/>
          <w:szCs w:val="21"/>
        </w:rPr>
        <w:t>%的违约金。乙方提供的服务不符合前述文件规定达三次以上的（含三次） ，甲方有权单方解除合同，并要求乙方支付合同</w:t>
      </w:r>
      <w:r>
        <w:rPr>
          <w:rFonts w:hint="eastAsia" w:ascii="仿宋" w:hAnsi="仿宋" w:eastAsia="仿宋" w:cs="仿宋"/>
          <w:bCs/>
          <w:color w:val="auto"/>
          <w:szCs w:val="21"/>
          <w:lang w:val="en-US" w:eastAsia="zh-CN"/>
        </w:rPr>
        <w:t>服务费用</w:t>
      </w:r>
      <w:r>
        <w:rPr>
          <w:rFonts w:hint="eastAsia" w:ascii="仿宋" w:hAnsi="仿宋" w:eastAsia="仿宋" w:cs="仿宋"/>
          <w:bCs/>
          <w:color w:val="auto"/>
          <w:szCs w:val="21"/>
        </w:rPr>
        <w:t>20%的违约金，由此造成的甲方经济损失由乙方承担</w:t>
      </w:r>
      <w:r>
        <w:rPr>
          <w:rFonts w:hint="eastAsia" w:ascii="仿宋" w:hAnsi="仿宋" w:eastAsia="仿宋" w:cs="仿宋"/>
          <w:bCs/>
          <w:color w:val="auto"/>
          <w:szCs w:val="21"/>
          <w:lang w:eastAsia="zh-CN"/>
        </w:rPr>
        <w:t>；</w:t>
      </w:r>
    </w:p>
    <w:p w14:paraId="6FFF8561">
      <w:pPr>
        <w:adjustRightInd/>
        <w:spacing w:line="400" w:lineRule="exact"/>
        <w:ind w:firstLine="420" w:firstLineChars="200"/>
        <w:rPr>
          <w:rFonts w:hint="eastAsia" w:ascii="仿宋" w:hAnsi="仿宋" w:eastAsia="仿宋" w:cs="仿宋"/>
          <w:lang w:val="en-US" w:eastAsia="zh-CN"/>
        </w:rPr>
      </w:pPr>
      <w:r>
        <w:rPr>
          <w:rFonts w:hint="eastAsia" w:ascii="仿宋" w:hAnsi="仿宋" w:eastAsia="仿宋" w:cs="仿宋"/>
          <w:bCs/>
          <w:color w:val="auto"/>
          <w:szCs w:val="21"/>
          <w:lang w:val="en-US" w:eastAsia="zh-CN"/>
        </w:rPr>
        <w:t>4.</w:t>
      </w:r>
      <w:r>
        <w:rPr>
          <w:rFonts w:hint="eastAsia" w:ascii="仿宋" w:hAnsi="仿宋" w:eastAsia="仿宋" w:cs="仿宋"/>
          <w:bCs/>
          <w:color w:val="auto"/>
          <w:szCs w:val="21"/>
        </w:rPr>
        <w:t>乙方应按照遴选采购文件、响应文件及本合同内约定的内容执行，如没有特别约定或约定未详尽，相应的违约责任或补充违约责任均为：甲方有权单方解除合同，未支付的费用不予支付</w:t>
      </w:r>
      <w:r>
        <w:rPr>
          <w:rFonts w:hint="eastAsia" w:ascii="仿宋" w:hAnsi="仿宋" w:eastAsia="仿宋" w:cs="仿宋"/>
          <w:bCs/>
          <w:color w:val="auto"/>
          <w:szCs w:val="21"/>
          <w:lang w:eastAsia="zh-Hans"/>
        </w:rPr>
        <w:t>，已支付的费用乙方应退还</w:t>
      </w:r>
      <w:r>
        <w:rPr>
          <w:rFonts w:hint="eastAsia" w:ascii="仿宋" w:hAnsi="仿宋" w:eastAsia="仿宋" w:cs="仿宋"/>
          <w:bCs/>
          <w:color w:val="auto"/>
          <w:szCs w:val="21"/>
        </w:rPr>
        <w:t>；同时乙方承担一切经济责任和法律责任，包括且不限于律师费、诉讼费、保全费、鉴定费用等，并向甲方支付合同总金额20%的违约金</w:t>
      </w:r>
      <w:r>
        <w:rPr>
          <w:rFonts w:hint="eastAsia" w:ascii="仿宋" w:hAnsi="仿宋" w:eastAsia="仿宋" w:cs="仿宋"/>
          <w:bCs/>
          <w:color w:val="auto"/>
          <w:szCs w:val="21"/>
          <w:lang w:eastAsia="zh-CN"/>
        </w:rPr>
        <w:t>；</w:t>
      </w:r>
    </w:p>
    <w:p w14:paraId="5F59E7B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5.本合同项下乙方应付违约金或赔偿金的情形，均为甲方有权在未付款项中扣除，也可要求乙方另行支付。</w:t>
      </w:r>
    </w:p>
    <w:p w14:paraId="61900F17">
      <w:pPr>
        <w:pStyle w:val="22"/>
        <w:keepNext w:val="0"/>
        <w:keepLines w:val="0"/>
        <w:pageBreakBefore w:val="0"/>
        <w:widowControl w:val="0"/>
        <w:kinsoku/>
        <w:wordWrap/>
        <w:overflowPunct/>
        <w:topLinePunct w:val="0"/>
        <w:autoSpaceDE/>
        <w:autoSpaceDN/>
        <w:bidi w:val="0"/>
        <w:adjustRightInd/>
        <w:snapToGrid/>
        <w:spacing w:line="400" w:lineRule="exact"/>
        <w:ind w:left="0" w:firstLine="420" w:firstLineChars="200"/>
        <w:contextualSpacing/>
        <w:textAlignment w:val="auto"/>
        <w:outlineLvl w:val="1"/>
        <w:rPr>
          <w:rFonts w:hint="default" w:ascii="方正黑体_GBK" w:hAnsi="方正黑体_GBK" w:eastAsia="方正黑体_GBK" w:cs="方正黑体_GBK"/>
          <w:b w:val="0"/>
          <w:bCs w:val="0"/>
          <w:color w:val="auto"/>
          <w:sz w:val="21"/>
          <w:szCs w:val="21"/>
        </w:rPr>
      </w:pPr>
      <w:r>
        <w:rPr>
          <w:rFonts w:hint="default" w:ascii="方正黑体_GBK" w:hAnsi="方正黑体_GBK" w:eastAsia="方正黑体_GBK" w:cs="方正黑体_GBK"/>
          <w:b w:val="0"/>
          <w:bCs w:val="0"/>
          <w:color w:val="auto"/>
          <w:sz w:val="21"/>
          <w:szCs w:val="21"/>
        </w:rPr>
        <w:t>第九条 争议的解决</w:t>
      </w:r>
    </w:p>
    <w:p w14:paraId="0FD13A86">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bCs/>
          <w:color w:val="auto"/>
          <w:sz w:val="21"/>
          <w:szCs w:val="21"/>
        </w:rPr>
      </w:pPr>
      <w:r>
        <w:rPr>
          <w:rFonts w:hint="default" w:ascii="Times New Roman" w:hAnsi="Times New Roman" w:eastAsia="方正仿宋_GBK" w:cs="Times New Roman"/>
          <w:bCs/>
          <w:color w:val="auto"/>
          <w:sz w:val="21"/>
          <w:szCs w:val="21"/>
        </w:rPr>
        <w:t>1</w:t>
      </w:r>
      <w:r>
        <w:rPr>
          <w:rFonts w:hint="eastAsia" w:ascii="Times New Roman" w:hAnsi="Times New Roman" w:eastAsia="方正仿宋_GBK" w:cs="Times New Roman"/>
          <w:bCs/>
          <w:color w:val="auto"/>
          <w:sz w:val="21"/>
          <w:szCs w:val="21"/>
          <w:lang w:eastAsia="zh-CN"/>
        </w:rPr>
        <w:t>.</w:t>
      </w:r>
      <w:r>
        <w:rPr>
          <w:rFonts w:hint="default" w:ascii="Times New Roman" w:hAnsi="Times New Roman" w:eastAsia="方正仿宋_GBK" w:cs="Times New Roman"/>
          <w:bCs/>
          <w:color w:val="auto"/>
          <w:sz w:val="21"/>
          <w:szCs w:val="21"/>
        </w:rPr>
        <w:t>合同履行过程中发生的任何争议，如双方未能通过友好协商解决，应向</w:t>
      </w:r>
      <w:r>
        <w:rPr>
          <w:rFonts w:hint="default" w:ascii="Times New Roman" w:hAnsi="Times New Roman" w:eastAsia="方正仿宋_GBK" w:cs="Times New Roman"/>
          <w:bCs/>
          <w:color w:val="auto"/>
          <w:sz w:val="21"/>
          <w:szCs w:val="21"/>
          <w:lang w:val="en-US" w:eastAsia="zh-CN"/>
        </w:rPr>
        <w:t>甲方所在地</w:t>
      </w:r>
      <w:r>
        <w:rPr>
          <w:rFonts w:hint="default" w:ascii="Times New Roman" w:hAnsi="Times New Roman" w:eastAsia="方正仿宋_GBK" w:cs="Times New Roman"/>
          <w:bCs/>
          <w:color w:val="auto"/>
          <w:sz w:val="21"/>
          <w:szCs w:val="21"/>
        </w:rPr>
        <w:t>人民法院提起诉讼</w:t>
      </w:r>
      <w:r>
        <w:rPr>
          <w:rFonts w:hint="default" w:ascii="Times New Roman" w:hAnsi="Times New Roman" w:eastAsia="方正仿宋_GBK" w:cs="Times New Roman"/>
          <w:bCs/>
          <w:color w:val="auto"/>
          <w:sz w:val="21"/>
          <w:szCs w:val="21"/>
          <w:lang w:eastAsia="zh-CN"/>
        </w:rPr>
        <w:t>。</w:t>
      </w:r>
      <w:r>
        <w:rPr>
          <w:rFonts w:hint="default" w:ascii="Times New Roman" w:hAnsi="Times New Roman" w:eastAsia="方正仿宋_GBK" w:cs="Times New Roman"/>
          <w:bCs/>
          <w:color w:val="auto"/>
          <w:sz w:val="21"/>
          <w:szCs w:val="21"/>
        </w:rPr>
        <w:t>守约方</w:t>
      </w:r>
      <w:r>
        <w:rPr>
          <w:rFonts w:hint="eastAsia" w:ascii="Times New Roman" w:hAnsi="Times New Roman" w:eastAsia="方正仿宋_GBK" w:cs="Times New Roman"/>
          <w:bCs/>
          <w:color w:val="auto"/>
          <w:sz w:val="21"/>
          <w:szCs w:val="21"/>
          <w:lang w:val="en-US" w:eastAsia="zh-CN"/>
        </w:rPr>
        <w:t>因违约方违约，</w:t>
      </w:r>
      <w:r>
        <w:rPr>
          <w:rFonts w:hint="default" w:ascii="Times New Roman" w:hAnsi="Times New Roman" w:eastAsia="方正仿宋_GBK" w:cs="Times New Roman"/>
          <w:bCs/>
          <w:color w:val="auto"/>
          <w:sz w:val="21"/>
          <w:szCs w:val="21"/>
        </w:rPr>
        <w:t>为解决纠纷、争议</w:t>
      </w:r>
      <w:r>
        <w:rPr>
          <w:rFonts w:hint="eastAsia" w:ascii="Times New Roman" w:hAnsi="Times New Roman" w:eastAsia="方正仿宋_GBK" w:cs="Times New Roman"/>
          <w:bCs/>
          <w:color w:val="auto"/>
          <w:sz w:val="21"/>
          <w:szCs w:val="21"/>
          <w:lang w:eastAsia="zh-CN"/>
        </w:rPr>
        <w:t>，</w:t>
      </w:r>
      <w:r>
        <w:rPr>
          <w:rFonts w:hint="eastAsia" w:ascii="Times New Roman" w:hAnsi="Times New Roman" w:eastAsia="方正仿宋_GBK" w:cs="Times New Roman"/>
          <w:bCs/>
          <w:color w:val="auto"/>
          <w:sz w:val="21"/>
          <w:szCs w:val="21"/>
          <w:lang w:val="en-US" w:eastAsia="zh-CN"/>
        </w:rPr>
        <w:t>维护自身权益</w:t>
      </w:r>
      <w:r>
        <w:rPr>
          <w:rFonts w:hint="default" w:ascii="Times New Roman" w:hAnsi="Times New Roman" w:eastAsia="方正仿宋_GBK" w:cs="Times New Roman"/>
          <w:bCs/>
          <w:color w:val="auto"/>
          <w:sz w:val="21"/>
          <w:szCs w:val="21"/>
        </w:rPr>
        <w:t>而产生的维权费用，包括且不限于律师费、诉讼费、保全费、担保费、鉴定费、交通费等</w:t>
      </w:r>
      <w:r>
        <w:rPr>
          <w:rFonts w:hint="eastAsia" w:ascii="Times New Roman" w:hAnsi="Times New Roman" w:eastAsia="方正仿宋_GBK" w:cs="Times New Roman"/>
          <w:bCs/>
          <w:color w:val="auto"/>
          <w:sz w:val="21"/>
          <w:szCs w:val="21"/>
          <w:lang w:val="en-US" w:eastAsia="zh-CN"/>
        </w:rPr>
        <w:t>各项必要、</w:t>
      </w:r>
      <w:r>
        <w:rPr>
          <w:rFonts w:hint="default" w:ascii="Times New Roman" w:hAnsi="Times New Roman" w:eastAsia="方正仿宋_GBK" w:cs="Times New Roman"/>
          <w:bCs/>
          <w:color w:val="auto"/>
          <w:sz w:val="21"/>
          <w:szCs w:val="21"/>
        </w:rPr>
        <w:t>合理维权费用，均由违约方承担。</w:t>
      </w:r>
    </w:p>
    <w:p w14:paraId="510227B8">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法院审理期间，除提交法院审理的事项外，</w:t>
      </w:r>
      <w:r>
        <w:rPr>
          <w:rFonts w:hint="eastAsia" w:ascii="Times New Roman" w:hAnsi="Times New Roman" w:eastAsia="方正仿宋_GBK" w:cs="Times New Roman"/>
          <w:color w:val="auto"/>
          <w:sz w:val="21"/>
          <w:szCs w:val="21"/>
          <w:lang w:eastAsia="zh-CN"/>
        </w:rPr>
        <w:t>其他</w:t>
      </w:r>
      <w:r>
        <w:rPr>
          <w:rFonts w:hint="default" w:ascii="Times New Roman" w:hAnsi="Times New Roman" w:eastAsia="方正仿宋_GBK" w:cs="Times New Roman"/>
          <w:color w:val="auto"/>
          <w:sz w:val="21"/>
          <w:szCs w:val="21"/>
        </w:rPr>
        <w:t>无争议的事项和条款仍应继续履行。</w:t>
      </w:r>
      <w:bookmarkStart w:id="13" w:name="_Toc78604613"/>
    </w:p>
    <w:p w14:paraId="62375554">
      <w:pPr>
        <w:pStyle w:val="22"/>
        <w:keepNext w:val="0"/>
        <w:keepLines w:val="0"/>
        <w:pageBreakBefore w:val="0"/>
        <w:widowControl w:val="0"/>
        <w:kinsoku/>
        <w:wordWrap/>
        <w:overflowPunct/>
        <w:topLinePunct w:val="0"/>
        <w:autoSpaceDE/>
        <w:autoSpaceDN/>
        <w:bidi w:val="0"/>
        <w:adjustRightInd/>
        <w:snapToGrid/>
        <w:spacing w:line="400" w:lineRule="exact"/>
        <w:ind w:left="0" w:firstLine="420" w:firstLineChars="200"/>
        <w:contextualSpacing/>
        <w:textAlignment w:val="auto"/>
        <w:outlineLvl w:val="1"/>
        <w:rPr>
          <w:rFonts w:hint="default" w:ascii="方正黑体_GBK" w:hAnsi="方正黑体_GBK" w:eastAsia="方正黑体_GBK" w:cs="方正黑体_GBK"/>
          <w:b w:val="0"/>
          <w:bCs w:val="0"/>
          <w:color w:val="auto"/>
          <w:sz w:val="21"/>
          <w:szCs w:val="21"/>
        </w:rPr>
      </w:pPr>
      <w:r>
        <w:rPr>
          <w:rFonts w:hint="default" w:ascii="方正黑体_GBK" w:hAnsi="方正黑体_GBK" w:eastAsia="方正黑体_GBK" w:cs="方正黑体_GBK"/>
          <w:b w:val="0"/>
          <w:bCs w:val="0"/>
          <w:color w:val="auto"/>
          <w:sz w:val="21"/>
          <w:szCs w:val="21"/>
        </w:rPr>
        <w:t>第十条 保密条款</w:t>
      </w:r>
    </w:p>
    <w:p w14:paraId="29FD258E">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1.甲、</w:t>
      </w:r>
      <w:r>
        <w:rPr>
          <w:rFonts w:hint="eastAsia" w:ascii="仿宋" w:hAnsi="仿宋" w:eastAsia="仿宋" w:cs="仿宋"/>
          <w:color w:val="auto"/>
          <w:sz w:val="21"/>
          <w:szCs w:val="21"/>
        </w:rPr>
        <w:t>乙</w:t>
      </w:r>
      <w:r>
        <w:rPr>
          <w:rFonts w:hint="eastAsia" w:ascii="仿宋" w:hAnsi="仿宋" w:eastAsia="仿宋" w:cs="仿宋"/>
          <w:color w:val="auto"/>
          <w:sz w:val="21"/>
          <w:szCs w:val="21"/>
          <w:lang w:val="en-US" w:eastAsia="zh-CN"/>
        </w:rPr>
        <w:t>双</w:t>
      </w:r>
      <w:r>
        <w:rPr>
          <w:rFonts w:hint="eastAsia" w:ascii="仿宋" w:hAnsi="仿宋" w:eastAsia="仿宋" w:cs="仿宋"/>
          <w:color w:val="auto"/>
          <w:sz w:val="21"/>
          <w:szCs w:val="21"/>
        </w:rPr>
        <w:t>方</w:t>
      </w:r>
      <w:r>
        <w:rPr>
          <w:rFonts w:hint="eastAsia" w:ascii="仿宋" w:hAnsi="仿宋" w:eastAsia="仿宋" w:cs="仿宋"/>
          <w:color w:val="auto"/>
          <w:kern w:val="2"/>
          <w:sz w:val="21"/>
          <w:szCs w:val="21"/>
          <w:lang w:val="en-US" w:eastAsia="zh-CN" w:bidi="ar"/>
        </w:rPr>
        <w:t>保证对履行本合同过程中所知悉的属于对方的人员信息、技术秘密、相关资料所记载的信息，以及其他管理信息严加保密</w:t>
      </w:r>
      <w:r>
        <w:rPr>
          <w:rFonts w:hint="eastAsia" w:ascii="仿宋" w:hAnsi="仿宋" w:eastAsia="仿宋" w:cs="仿宋"/>
          <w:color w:val="auto"/>
          <w:sz w:val="21"/>
          <w:szCs w:val="21"/>
        </w:rPr>
        <w:t>。</w:t>
      </w:r>
      <w:r>
        <w:rPr>
          <w:rFonts w:hint="eastAsia" w:ascii="仿宋" w:hAnsi="仿宋" w:eastAsia="仿宋" w:cs="仿宋"/>
          <w:color w:val="auto"/>
          <w:kern w:val="2"/>
          <w:sz w:val="21"/>
          <w:szCs w:val="21"/>
          <w:lang w:val="en-US" w:eastAsia="zh-CN" w:bidi="ar"/>
        </w:rPr>
        <w:t>除非接受法律监管机构的检查或经一方同意，另一方不得以任何方式向任何第三方泄露其知悉的秘密和双方未公开的资料和信息。本保密事项在本合同期满、解除或终止后仍然有效</w:t>
      </w:r>
      <w:r>
        <w:rPr>
          <w:rFonts w:hint="eastAsia" w:ascii="仿宋" w:hAnsi="仿宋" w:eastAsia="仿宋" w:cs="仿宋"/>
          <w:color w:val="auto"/>
          <w:sz w:val="21"/>
          <w:szCs w:val="21"/>
        </w:rPr>
        <w:t>。</w:t>
      </w:r>
    </w:p>
    <w:p w14:paraId="211F0E1D">
      <w:pPr>
        <w:autoSpaceDE/>
        <w:autoSpaceDN/>
        <w:adjustRightInd/>
        <w:spacing w:line="400" w:lineRule="exact"/>
        <w:ind w:firstLine="420" w:firstLineChars="200"/>
        <w:rPr>
          <w:rFonts w:hint="default"/>
          <w:lang w:val="en-US" w:eastAsia="zh-CN"/>
        </w:rPr>
      </w:pPr>
      <w:r>
        <w:rPr>
          <w:rFonts w:hint="default" w:ascii="Times New Roman" w:hAnsi="Times New Roman" w:eastAsia="方正仿宋_GBK" w:cs="Times New Roman"/>
          <w:color w:val="auto"/>
          <w:sz w:val="21"/>
          <w:szCs w:val="21"/>
          <w:lang w:val="en-US" w:eastAsia="zh-CN"/>
        </w:rPr>
        <w:t>2</w:t>
      </w:r>
      <w:r>
        <w:rPr>
          <w:rFonts w:hint="eastAsia" w:ascii="Times New Roman" w:hAnsi="Times New Roman"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lang w:val="en-US" w:eastAsia="zh-CN"/>
        </w:rPr>
        <w:t>如乙方未能遵守保密义务造成泄密的，甲方可依据有关规定追究乙方的责任。因乙方的泄密行为导致甲方被追究法律责任的，甲方在承担责任后有权向乙方追偿所产生的一切经济损失，同时乙方须向甲方支付合同总金额20%的违约金。</w:t>
      </w:r>
    </w:p>
    <w:p w14:paraId="44BF4ADA">
      <w:pPr>
        <w:pStyle w:val="22"/>
        <w:autoSpaceDE/>
        <w:autoSpaceDN/>
        <w:adjustRightInd/>
        <w:spacing w:line="400" w:lineRule="exact"/>
        <w:ind w:firstLine="420" w:firstLineChars="200"/>
        <w:contextualSpacing/>
        <w:outlineLvl w:val="1"/>
        <w:rPr>
          <w:rFonts w:hint="default" w:ascii="方正黑体_GBK" w:hAnsi="方正黑体_GBK" w:eastAsia="方正黑体_GBK" w:cs="方正黑体_GBK"/>
          <w:b w:val="0"/>
          <w:bCs w:val="0"/>
          <w:color w:val="auto"/>
          <w:szCs w:val="21"/>
          <w:lang w:val="en-US" w:eastAsia="zh-CN"/>
        </w:rPr>
      </w:pPr>
      <w:r>
        <w:rPr>
          <w:rFonts w:hint="default" w:ascii="方正黑体_GBK" w:hAnsi="方正黑体_GBK" w:eastAsia="方正黑体_GBK" w:cs="方正黑体_GBK"/>
          <w:color w:val="auto"/>
          <w:sz w:val="21"/>
          <w:szCs w:val="21"/>
          <w:lang w:val="en-US" w:eastAsia="zh-CN"/>
        </w:rPr>
        <w:t xml:space="preserve">第十一条 </w:t>
      </w:r>
      <w:r>
        <w:rPr>
          <w:rFonts w:hint="eastAsia" w:ascii="方正黑体_GBK" w:hAnsi="方正黑体_GBK" w:eastAsia="方正黑体_GBK" w:cs="方正黑体_GBK"/>
          <w:b/>
          <w:bCs/>
          <w:color w:val="auto"/>
          <w:sz w:val="21"/>
          <w:szCs w:val="21"/>
          <w:lang w:val="en-US" w:eastAsia="zh-CN"/>
        </w:rPr>
        <w:t>知识产权条款</w:t>
      </w:r>
    </w:p>
    <w:bookmarkEnd w:id="13"/>
    <w:p w14:paraId="49CB181D">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Cs w:val="0"/>
          <w:color w:val="auto"/>
          <w:kern w:val="2"/>
          <w:sz w:val="21"/>
          <w:szCs w:val="21"/>
          <w:lang w:val="en-US" w:eastAsia="zh-CN" w:bidi="ar"/>
        </w:rPr>
      </w:pPr>
      <w:bookmarkStart w:id="14" w:name="_Toc78604616"/>
      <w:r>
        <w:rPr>
          <w:rFonts w:hint="eastAsia" w:ascii="仿宋" w:hAnsi="仿宋" w:eastAsia="仿宋" w:cs="仿宋"/>
          <w:bCs w:val="0"/>
          <w:color w:val="auto"/>
          <w:kern w:val="2"/>
          <w:sz w:val="21"/>
          <w:szCs w:val="21"/>
          <w:lang w:val="en-US" w:eastAsia="zh-CN" w:bidi="ar"/>
        </w:rPr>
        <w:t>1.如因乙方提供的项目成果侵犯任何第三方的知识产权等合法权益，出现第三方主张侵权并追究甲方责任的，乙方应负责解决并赔偿因此给甲方造成的全部损失，包括但不限于甲方缴纳的罚款、向第三方支付的赔偿款以及为解决纠纷而支出的律师费、诉讼费、鉴定费、评估费、公证费、差旅费等，另应额外向甲方支付本合同总金额 20%的违约金。</w:t>
      </w:r>
    </w:p>
    <w:p w14:paraId="4F06FC27">
      <w:pPr>
        <w:spacing w:line="40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Cs w:val="0"/>
          <w:color w:val="auto"/>
          <w:kern w:val="2"/>
          <w:sz w:val="21"/>
          <w:szCs w:val="21"/>
          <w:lang w:val="en-US" w:eastAsia="zh-CN" w:bidi="ar"/>
        </w:rPr>
        <w:t>2.未经甲方书面许可，乙方不得对本合同项下作品进行使用，包括但不限于对外发表、复制发行、展览放映、广播、传播等。如未经甲方允许擅自使用的，甲方有权追究乙方责任，相关法律后果由乙方承担。</w:t>
      </w:r>
    </w:p>
    <w:p w14:paraId="101EB180">
      <w:pPr>
        <w:pStyle w:val="22"/>
        <w:keepNext w:val="0"/>
        <w:keepLines w:val="0"/>
        <w:pageBreakBefore w:val="0"/>
        <w:widowControl w:val="0"/>
        <w:kinsoku/>
        <w:wordWrap/>
        <w:overflowPunct/>
        <w:topLinePunct w:val="0"/>
        <w:autoSpaceDE/>
        <w:autoSpaceDN/>
        <w:bidi w:val="0"/>
        <w:adjustRightInd/>
        <w:snapToGrid/>
        <w:spacing w:line="400" w:lineRule="exact"/>
        <w:ind w:left="0" w:firstLine="420" w:firstLineChars="200"/>
        <w:contextualSpacing/>
        <w:textAlignment w:val="auto"/>
        <w:outlineLvl w:val="1"/>
        <w:rPr>
          <w:rFonts w:hint="default" w:ascii="方正黑体_GBK" w:hAnsi="方正黑体_GBK" w:eastAsia="方正黑体_GBK" w:cs="方正黑体_GBK"/>
          <w:b w:val="0"/>
          <w:bCs w:val="0"/>
          <w:color w:val="auto"/>
          <w:sz w:val="21"/>
          <w:szCs w:val="21"/>
        </w:rPr>
      </w:pPr>
      <w:r>
        <w:rPr>
          <w:rFonts w:hint="default" w:ascii="方正黑体_GBK" w:hAnsi="方正黑体_GBK" w:eastAsia="方正黑体_GBK" w:cs="方正黑体_GBK"/>
          <w:b w:val="0"/>
          <w:bCs w:val="0"/>
          <w:color w:val="auto"/>
          <w:sz w:val="21"/>
          <w:szCs w:val="21"/>
        </w:rPr>
        <w:t>第十</w:t>
      </w:r>
      <w:r>
        <w:rPr>
          <w:rFonts w:hint="eastAsia" w:ascii="方正黑体_GBK" w:hAnsi="方正黑体_GBK" w:eastAsia="方正黑体_GBK" w:cs="方正黑体_GBK"/>
          <w:b w:val="0"/>
          <w:bCs w:val="0"/>
          <w:color w:val="auto"/>
          <w:sz w:val="21"/>
          <w:szCs w:val="21"/>
          <w:lang w:val="en-US" w:eastAsia="zh-CN"/>
        </w:rPr>
        <w:t>二</w:t>
      </w:r>
      <w:r>
        <w:rPr>
          <w:rFonts w:hint="default" w:ascii="方正黑体_GBK" w:hAnsi="方正黑体_GBK" w:eastAsia="方正黑体_GBK" w:cs="方正黑体_GBK"/>
          <w:b w:val="0"/>
          <w:bCs w:val="0"/>
          <w:color w:val="auto"/>
          <w:sz w:val="21"/>
          <w:szCs w:val="21"/>
        </w:rPr>
        <w:t>条 不可抗力</w:t>
      </w:r>
      <w:bookmarkEnd w:id="14"/>
    </w:p>
    <w:p w14:paraId="7209E376">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lang w:val="en-US" w:eastAsia="zh-CN"/>
        </w:rPr>
        <w:t>1.</w:t>
      </w:r>
      <w:r>
        <w:rPr>
          <w:rFonts w:hint="eastAsia" w:ascii="仿宋" w:hAnsi="仿宋" w:eastAsia="仿宋" w:cs="仿宋"/>
          <w:bCs/>
          <w:color w:val="auto"/>
          <w:sz w:val="21"/>
          <w:szCs w:val="21"/>
        </w:rPr>
        <w:t>任何一方由于不可抗力原因不能履行合同时，应在不可抗力事件结束后</w:t>
      </w:r>
      <w:r>
        <w:rPr>
          <w:rFonts w:hint="eastAsia" w:ascii="仿宋" w:hAnsi="仿宋" w:eastAsia="仿宋" w:cs="仿宋"/>
          <w:bCs/>
          <w:color w:val="auto"/>
          <w:sz w:val="21"/>
          <w:szCs w:val="21"/>
          <w:lang w:val="en-US" w:eastAsia="zh-CN"/>
        </w:rPr>
        <w:t>3日</w:t>
      </w:r>
      <w:r>
        <w:rPr>
          <w:rFonts w:hint="eastAsia" w:ascii="仿宋" w:hAnsi="仿宋" w:eastAsia="仿宋" w:cs="仿宋"/>
          <w:bCs/>
          <w:color w:val="auto"/>
          <w:sz w:val="21"/>
          <w:szCs w:val="21"/>
        </w:rPr>
        <w:t>内向对方</w:t>
      </w:r>
      <w:r>
        <w:rPr>
          <w:rFonts w:hint="eastAsia" w:ascii="仿宋" w:hAnsi="仿宋" w:eastAsia="仿宋" w:cs="仿宋"/>
          <w:bCs/>
          <w:color w:val="auto"/>
          <w:sz w:val="21"/>
          <w:szCs w:val="21"/>
          <w:lang w:val="en-US" w:eastAsia="zh-CN"/>
        </w:rPr>
        <w:t>书面</w:t>
      </w:r>
      <w:r>
        <w:rPr>
          <w:rFonts w:hint="eastAsia" w:ascii="仿宋" w:hAnsi="仿宋" w:eastAsia="仿宋" w:cs="仿宋"/>
          <w:bCs/>
          <w:color w:val="auto"/>
          <w:sz w:val="21"/>
          <w:szCs w:val="21"/>
        </w:rPr>
        <w:t>通报</w:t>
      </w:r>
      <w:r>
        <w:rPr>
          <w:rFonts w:hint="eastAsia" w:ascii="仿宋" w:hAnsi="仿宋" w:eastAsia="仿宋" w:cs="仿宋"/>
          <w:bCs/>
          <w:color w:val="auto"/>
          <w:sz w:val="21"/>
          <w:szCs w:val="21"/>
          <w:lang w:val="en-US" w:eastAsia="zh-CN"/>
        </w:rPr>
        <w:t>并提供相应的证明文件</w:t>
      </w:r>
      <w:r>
        <w:rPr>
          <w:rFonts w:hint="eastAsia" w:ascii="仿宋" w:hAnsi="仿宋" w:eastAsia="仿宋" w:cs="仿宋"/>
          <w:bCs/>
          <w:color w:val="auto"/>
          <w:sz w:val="21"/>
          <w:szCs w:val="21"/>
        </w:rPr>
        <w:t>，</w:t>
      </w:r>
      <w:r>
        <w:rPr>
          <w:rFonts w:hint="eastAsia" w:ascii="仿宋" w:hAnsi="仿宋" w:eastAsia="仿宋" w:cs="仿宋"/>
          <w:bCs/>
          <w:color w:val="auto"/>
          <w:sz w:val="21"/>
          <w:szCs w:val="21"/>
          <w:lang w:val="en-US" w:eastAsia="zh-CN"/>
        </w:rPr>
        <w:t>并尽最大努力积极采取必要措施，</w:t>
      </w:r>
      <w:r>
        <w:rPr>
          <w:rFonts w:hint="eastAsia" w:ascii="仿宋" w:hAnsi="仿宋" w:eastAsia="仿宋" w:cs="仿宋"/>
          <w:bCs/>
          <w:color w:val="auto"/>
          <w:sz w:val="21"/>
          <w:szCs w:val="21"/>
        </w:rPr>
        <w:t>以减轻可能给对方造成的损失，在取得有关机构的不可抗力证明或双方谅解确认后，允许延期履行或修订合同，并根据情况可部分或全部免于承担违约责任。</w:t>
      </w:r>
    </w:p>
    <w:p w14:paraId="4F1D0351">
      <w:pPr>
        <w:snapToGrid/>
        <w:spacing w:line="40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kern w:val="2"/>
          <w:sz w:val="21"/>
          <w:szCs w:val="21"/>
          <w:lang w:val="en-US" w:eastAsia="zh-CN" w:bidi="ar"/>
        </w:rPr>
        <w:t xml:space="preserve">2.没有采取适当措施致使损失扩大的，该方不得就扩大损失的部分要求免责或赔偿。因合同一方迟延履行合同后发生不可抗力的，不能免除迟延履行方的相应责任。 </w:t>
      </w:r>
    </w:p>
    <w:p w14:paraId="3B7E9F09">
      <w:pPr>
        <w:pStyle w:val="22"/>
        <w:keepNext w:val="0"/>
        <w:keepLines w:val="0"/>
        <w:pageBreakBefore w:val="0"/>
        <w:widowControl w:val="0"/>
        <w:kinsoku/>
        <w:wordWrap/>
        <w:overflowPunct/>
        <w:topLinePunct w:val="0"/>
        <w:autoSpaceDE/>
        <w:autoSpaceDN/>
        <w:bidi w:val="0"/>
        <w:adjustRightInd/>
        <w:snapToGrid/>
        <w:spacing w:line="400" w:lineRule="exact"/>
        <w:ind w:left="0" w:firstLine="420" w:firstLineChars="200"/>
        <w:contextualSpacing/>
        <w:textAlignment w:val="auto"/>
        <w:outlineLvl w:val="1"/>
        <w:rPr>
          <w:rFonts w:hint="default" w:ascii="方正黑体_GBK" w:hAnsi="方正黑体_GBK" w:eastAsia="方正黑体_GBK" w:cs="方正黑体_GBK"/>
          <w:b w:val="0"/>
          <w:bCs w:val="0"/>
          <w:color w:val="auto"/>
          <w:sz w:val="21"/>
          <w:szCs w:val="21"/>
        </w:rPr>
      </w:pPr>
      <w:bookmarkStart w:id="15" w:name="_Toc78604618"/>
      <w:r>
        <w:rPr>
          <w:rFonts w:hint="default" w:ascii="方正黑体_GBK" w:hAnsi="方正黑体_GBK" w:eastAsia="方正黑体_GBK" w:cs="方正黑体_GBK"/>
          <w:b w:val="0"/>
          <w:bCs w:val="0"/>
          <w:color w:val="auto"/>
          <w:sz w:val="21"/>
          <w:szCs w:val="21"/>
        </w:rPr>
        <w:t>第十</w:t>
      </w:r>
      <w:r>
        <w:rPr>
          <w:rFonts w:hint="eastAsia" w:ascii="方正黑体_GBK" w:hAnsi="方正黑体_GBK" w:eastAsia="方正黑体_GBK" w:cs="方正黑体_GBK"/>
          <w:b w:val="0"/>
          <w:bCs w:val="0"/>
          <w:color w:val="auto"/>
          <w:sz w:val="21"/>
          <w:szCs w:val="21"/>
          <w:lang w:val="en-US" w:eastAsia="zh-CN"/>
        </w:rPr>
        <w:t>三</w:t>
      </w:r>
      <w:r>
        <w:rPr>
          <w:rFonts w:hint="default" w:ascii="方正黑体_GBK" w:hAnsi="方正黑体_GBK" w:eastAsia="方正黑体_GBK" w:cs="方正黑体_GBK"/>
          <w:b w:val="0"/>
          <w:bCs w:val="0"/>
          <w:color w:val="auto"/>
          <w:sz w:val="21"/>
          <w:szCs w:val="21"/>
        </w:rPr>
        <w:t>条 合同生效</w:t>
      </w:r>
      <w:bookmarkEnd w:id="15"/>
      <w:bookmarkStart w:id="16" w:name="_Toc78604619"/>
      <w:r>
        <w:rPr>
          <w:rFonts w:hint="default" w:ascii="方正黑体_GBK" w:hAnsi="方正黑体_GBK" w:eastAsia="方正黑体_GBK" w:cs="方正黑体_GBK"/>
          <w:b w:val="0"/>
          <w:bCs w:val="0"/>
          <w:color w:val="auto"/>
          <w:sz w:val="21"/>
          <w:szCs w:val="21"/>
        </w:rPr>
        <w:t>、终止</w:t>
      </w:r>
    </w:p>
    <w:p w14:paraId="7DEBF2A6">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仿宋" w:hAnsi="仿宋" w:eastAsia="仿宋" w:cs="仿宋"/>
          <w:b w:val="0"/>
          <w:bCs/>
          <w:color w:val="auto"/>
          <w:sz w:val="21"/>
          <w:szCs w:val="21"/>
          <w:lang w:bidi="ar"/>
        </w:rPr>
      </w:pPr>
      <w:r>
        <w:rPr>
          <w:rFonts w:hint="default" w:ascii="Times New Roman" w:hAnsi="Times New Roman" w:eastAsia="方正仿宋_GBK" w:cs="Times New Roman"/>
          <w:color w:val="auto"/>
          <w:sz w:val="21"/>
          <w:szCs w:val="21"/>
        </w:rPr>
        <w:t>本合同在甲乙双方</w:t>
      </w:r>
      <w:r>
        <w:rPr>
          <w:rFonts w:hint="default" w:ascii="Times New Roman" w:hAnsi="Times New Roman" w:eastAsia="方正仿宋_GBK" w:cs="Times New Roman"/>
          <w:color w:val="auto"/>
          <w:sz w:val="21"/>
          <w:szCs w:val="21"/>
          <w:lang w:val="en-US" w:eastAsia="zh-CN"/>
        </w:rPr>
        <w:t>法定</w:t>
      </w:r>
      <w:r>
        <w:rPr>
          <w:rFonts w:hint="default" w:ascii="Times New Roman" w:hAnsi="Times New Roman" w:eastAsia="方正仿宋_GBK" w:cs="Times New Roman"/>
          <w:color w:val="auto"/>
          <w:sz w:val="21"/>
          <w:szCs w:val="21"/>
        </w:rPr>
        <w:t>代表</w:t>
      </w:r>
      <w:r>
        <w:rPr>
          <w:rFonts w:hint="default" w:ascii="Times New Roman" w:hAnsi="Times New Roman" w:eastAsia="方正仿宋_GBK" w:cs="Times New Roman"/>
          <w:color w:val="auto"/>
          <w:sz w:val="21"/>
          <w:szCs w:val="21"/>
          <w:lang w:val="en-US" w:eastAsia="zh-CN"/>
        </w:rPr>
        <w:t>人或</w:t>
      </w:r>
      <w:r>
        <w:rPr>
          <w:rFonts w:hint="eastAsia" w:ascii="Times New Roman" w:hAnsi="Times New Roman" w:eastAsia="方正仿宋_GBK" w:cs="Times New Roman"/>
          <w:color w:val="auto"/>
          <w:sz w:val="21"/>
          <w:szCs w:val="21"/>
          <w:lang w:val="en-US" w:eastAsia="zh-CN"/>
        </w:rPr>
        <w:t>授权代表</w:t>
      </w:r>
      <w:r>
        <w:rPr>
          <w:rFonts w:hint="default" w:ascii="Times New Roman" w:hAnsi="Times New Roman" w:eastAsia="方正仿宋_GBK" w:cs="Times New Roman"/>
          <w:color w:val="auto"/>
          <w:sz w:val="21"/>
          <w:szCs w:val="21"/>
        </w:rPr>
        <w:t>签字</w:t>
      </w:r>
      <w:r>
        <w:rPr>
          <w:rFonts w:hint="default" w:ascii="Times New Roman" w:hAnsi="Times New Roman" w:eastAsia="方正仿宋_GBK" w:cs="Times New Roman"/>
          <w:color w:val="auto"/>
          <w:sz w:val="21"/>
          <w:szCs w:val="21"/>
          <w:lang w:val="en-US" w:eastAsia="zh-CN"/>
        </w:rPr>
        <w:t>且</w:t>
      </w:r>
      <w:r>
        <w:rPr>
          <w:rFonts w:hint="default" w:ascii="Times New Roman" w:hAnsi="Times New Roman" w:eastAsia="方正仿宋_GBK" w:cs="Times New Roman"/>
          <w:color w:val="auto"/>
          <w:sz w:val="21"/>
          <w:szCs w:val="21"/>
        </w:rPr>
        <w:t>盖章之日起生效，</w:t>
      </w:r>
      <w:r>
        <w:rPr>
          <w:rFonts w:hint="eastAsia" w:ascii="仿宋" w:hAnsi="仿宋" w:eastAsia="仿宋" w:cs="仿宋"/>
          <w:bCs/>
          <w:color w:val="auto"/>
          <w:kern w:val="2"/>
          <w:sz w:val="21"/>
          <w:szCs w:val="21"/>
          <w:lang w:val="en-US" w:eastAsia="zh-CN" w:bidi="ar"/>
        </w:rPr>
        <w:t>至</w:t>
      </w:r>
      <w:r>
        <w:rPr>
          <w:rFonts w:hint="eastAsia" w:ascii="仿宋" w:hAnsi="仿宋" w:eastAsia="仿宋" w:cs="仿宋"/>
          <w:bCs/>
          <w:color w:val="auto"/>
          <w:kern w:val="2"/>
          <w:sz w:val="21"/>
          <w:szCs w:val="21"/>
          <w:lang w:bidi="ar"/>
        </w:rPr>
        <w:t>双方履行</w:t>
      </w:r>
      <w:r>
        <w:rPr>
          <w:rFonts w:hint="eastAsia" w:ascii="仿宋" w:hAnsi="仿宋" w:eastAsia="仿宋" w:cs="仿宋"/>
          <w:bCs/>
          <w:color w:val="auto"/>
          <w:kern w:val="2"/>
          <w:sz w:val="21"/>
          <w:szCs w:val="21"/>
          <w:lang w:val="en-US" w:eastAsia="zh-CN" w:bidi="ar"/>
        </w:rPr>
        <w:t>完</w:t>
      </w:r>
      <w:r>
        <w:rPr>
          <w:rFonts w:hint="eastAsia" w:ascii="仿宋" w:hAnsi="仿宋" w:eastAsia="仿宋" w:cs="仿宋"/>
          <w:bCs/>
          <w:color w:val="auto"/>
          <w:kern w:val="2"/>
          <w:sz w:val="21"/>
          <w:szCs w:val="21"/>
          <w:lang w:bidi="ar"/>
        </w:rPr>
        <w:t>本</w:t>
      </w:r>
      <w:r>
        <w:rPr>
          <w:rFonts w:hint="eastAsia" w:ascii="仿宋" w:hAnsi="仿宋" w:eastAsia="仿宋" w:cs="仿宋"/>
          <w:bCs/>
          <w:color w:val="auto"/>
          <w:kern w:val="2"/>
          <w:sz w:val="21"/>
          <w:szCs w:val="21"/>
          <w:lang w:val="en-US" w:eastAsia="zh-CN" w:bidi="ar"/>
        </w:rPr>
        <w:t>合同</w:t>
      </w:r>
      <w:r>
        <w:rPr>
          <w:rFonts w:hint="eastAsia" w:ascii="仿宋" w:hAnsi="仿宋" w:eastAsia="仿宋" w:cs="仿宋"/>
          <w:bCs/>
          <w:color w:val="auto"/>
          <w:kern w:val="2"/>
          <w:sz w:val="21"/>
          <w:szCs w:val="21"/>
          <w:lang w:bidi="ar"/>
        </w:rPr>
        <w:t>约定的</w:t>
      </w:r>
      <w:r>
        <w:rPr>
          <w:rFonts w:hint="eastAsia" w:ascii="仿宋" w:hAnsi="仿宋" w:eastAsia="仿宋" w:cs="仿宋"/>
          <w:bCs/>
          <w:color w:val="auto"/>
          <w:kern w:val="2"/>
          <w:sz w:val="21"/>
          <w:szCs w:val="21"/>
          <w:lang w:val="en-US" w:eastAsia="zh-CN" w:bidi="ar"/>
        </w:rPr>
        <w:t>全部</w:t>
      </w:r>
      <w:r>
        <w:rPr>
          <w:rFonts w:hint="eastAsia" w:ascii="仿宋" w:hAnsi="仿宋" w:eastAsia="仿宋" w:cs="仿宋"/>
          <w:bCs/>
          <w:color w:val="auto"/>
          <w:kern w:val="2"/>
          <w:sz w:val="21"/>
          <w:szCs w:val="21"/>
          <w:lang w:bidi="ar"/>
        </w:rPr>
        <w:t>事项</w:t>
      </w:r>
      <w:r>
        <w:rPr>
          <w:rFonts w:hint="eastAsia" w:ascii="仿宋" w:hAnsi="仿宋" w:eastAsia="仿宋" w:cs="仿宋"/>
          <w:bCs/>
          <w:color w:val="auto"/>
          <w:kern w:val="2"/>
          <w:sz w:val="21"/>
          <w:szCs w:val="21"/>
          <w:lang w:val="en-US" w:eastAsia="zh-CN" w:bidi="ar"/>
        </w:rPr>
        <w:t>之日止。</w:t>
      </w:r>
    </w:p>
    <w:p w14:paraId="2AE4EED6">
      <w:pPr>
        <w:pStyle w:val="22"/>
        <w:keepNext w:val="0"/>
        <w:keepLines w:val="0"/>
        <w:pageBreakBefore w:val="0"/>
        <w:widowControl w:val="0"/>
        <w:kinsoku/>
        <w:wordWrap/>
        <w:overflowPunct/>
        <w:topLinePunct w:val="0"/>
        <w:autoSpaceDE/>
        <w:autoSpaceDN/>
        <w:bidi w:val="0"/>
        <w:adjustRightInd/>
        <w:snapToGrid/>
        <w:spacing w:line="400" w:lineRule="exact"/>
        <w:ind w:left="0" w:firstLine="420" w:firstLineChars="200"/>
        <w:contextualSpacing/>
        <w:textAlignment w:val="auto"/>
        <w:outlineLvl w:val="1"/>
        <w:rPr>
          <w:rFonts w:hint="default" w:ascii="方正黑体_GBK" w:hAnsi="方正黑体_GBK" w:eastAsia="方正黑体_GBK" w:cs="方正黑体_GBK"/>
          <w:b w:val="0"/>
          <w:bCs w:val="0"/>
          <w:color w:val="auto"/>
          <w:sz w:val="21"/>
          <w:szCs w:val="21"/>
        </w:rPr>
      </w:pPr>
      <w:r>
        <w:rPr>
          <w:rFonts w:hint="default" w:ascii="方正黑体_GBK" w:hAnsi="方正黑体_GBK" w:eastAsia="方正黑体_GBK" w:cs="方正黑体_GBK"/>
          <w:b w:val="0"/>
          <w:bCs w:val="0"/>
          <w:color w:val="auto"/>
          <w:sz w:val="21"/>
          <w:szCs w:val="21"/>
        </w:rPr>
        <w:t>第十</w:t>
      </w:r>
      <w:r>
        <w:rPr>
          <w:rFonts w:hint="eastAsia" w:ascii="方正黑体_GBK" w:hAnsi="方正黑体_GBK" w:eastAsia="方正黑体_GBK" w:cs="方正黑体_GBK"/>
          <w:b w:val="0"/>
          <w:bCs w:val="0"/>
          <w:color w:val="auto"/>
          <w:sz w:val="21"/>
          <w:szCs w:val="21"/>
          <w:lang w:val="en-US" w:eastAsia="zh-CN"/>
        </w:rPr>
        <w:t>四</w:t>
      </w:r>
      <w:r>
        <w:rPr>
          <w:rFonts w:hint="default" w:ascii="方正黑体_GBK" w:hAnsi="方正黑体_GBK" w:eastAsia="方正黑体_GBK" w:cs="方正黑体_GBK"/>
          <w:b w:val="0"/>
          <w:bCs w:val="0"/>
          <w:color w:val="auto"/>
          <w:sz w:val="21"/>
          <w:szCs w:val="21"/>
        </w:rPr>
        <w:t>条 其他</w:t>
      </w:r>
    </w:p>
    <w:bookmarkEnd w:id="16"/>
    <w:p w14:paraId="3E082947">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仿宋" w:hAnsi="仿宋" w:eastAsia="仿宋" w:cs="仿宋"/>
          <w:color w:val="auto"/>
          <w:sz w:val="21"/>
          <w:szCs w:val="21"/>
          <w:lang w:val="en-US" w:eastAsia="zh-CN"/>
        </w:rPr>
      </w:pPr>
      <w:r>
        <w:rPr>
          <w:rFonts w:hint="default" w:ascii="Times New Roman" w:hAnsi="Times New Roman" w:eastAsia="方正仿宋_GBK" w:cs="Times New Roman"/>
          <w:color w:val="auto"/>
          <w:sz w:val="21"/>
          <w:szCs w:val="21"/>
        </w:rPr>
        <w:t>1</w:t>
      </w: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本合同未尽事宜，合同各方另行商定，必要时签订补充协议。补充协议经合同各方签字盖章后作为本合同补充文件</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与本合同具有同等法律效力</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补充协议与本合同不一致之处，以补充协议为准。</w:t>
      </w:r>
    </w:p>
    <w:p w14:paraId="5753F5CE">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本合同一式</w:t>
      </w:r>
      <w:r>
        <w:rPr>
          <w:rFonts w:hint="default" w:ascii="Times New Roman" w:hAnsi="Times New Roman" w:eastAsia="方正仿宋_GBK" w:cs="Times New Roman"/>
          <w:color w:val="auto"/>
          <w:sz w:val="21"/>
          <w:szCs w:val="21"/>
          <w:lang w:val="en-US" w:eastAsia="zh-CN"/>
        </w:rPr>
        <w:t>三</w:t>
      </w:r>
      <w:r>
        <w:rPr>
          <w:rFonts w:hint="default" w:ascii="Times New Roman" w:hAnsi="Times New Roman" w:eastAsia="方正仿宋_GBK" w:cs="Times New Roman"/>
          <w:color w:val="auto"/>
          <w:sz w:val="21"/>
          <w:szCs w:val="21"/>
        </w:rPr>
        <w:t>份，甲方执</w:t>
      </w:r>
      <w:r>
        <w:rPr>
          <w:rFonts w:hint="default" w:ascii="Times New Roman" w:hAnsi="Times New Roman" w:eastAsia="方正仿宋_GBK" w:cs="Times New Roman"/>
          <w:color w:val="auto"/>
          <w:sz w:val="21"/>
          <w:szCs w:val="21"/>
          <w:lang w:val="en-US" w:eastAsia="zh-CN"/>
        </w:rPr>
        <w:t>两</w:t>
      </w:r>
      <w:r>
        <w:rPr>
          <w:rFonts w:hint="default" w:ascii="Times New Roman" w:hAnsi="Times New Roman" w:eastAsia="方正仿宋_GBK" w:cs="Times New Roman"/>
          <w:color w:val="auto"/>
          <w:sz w:val="21"/>
          <w:szCs w:val="21"/>
        </w:rPr>
        <w:t>份、乙方执一份</w:t>
      </w:r>
      <w:r>
        <w:rPr>
          <w:rFonts w:hint="eastAsia" w:ascii="Times New Roman" w:hAnsi="Times New Roman" w:eastAsia="方正仿宋_GBK" w:cs="Times New Roman"/>
          <w:color w:val="auto"/>
          <w:sz w:val="21"/>
          <w:szCs w:val="21"/>
          <w:lang w:eastAsia="zh-CN"/>
        </w:rPr>
        <w:t>，</w:t>
      </w:r>
      <w:r>
        <w:rPr>
          <w:rFonts w:hint="eastAsia" w:ascii="Times New Roman" w:hAnsi="Times New Roman" w:eastAsia="方正仿宋_GBK" w:cs="Times New Roman"/>
          <w:color w:val="auto"/>
          <w:sz w:val="21"/>
          <w:szCs w:val="21"/>
          <w:lang w:val="en-US" w:eastAsia="zh-CN"/>
        </w:rPr>
        <w:t>具有同等法律效力</w:t>
      </w:r>
      <w:r>
        <w:rPr>
          <w:rFonts w:hint="default" w:ascii="Times New Roman" w:hAnsi="Times New Roman" w:eastAsia="方正仿宋_GBK" w:cs="Times New Roman"/>
          <w:color w:val="auto"/>
          <w:sz w:val="21"/>
          <w:szCs w:val="21"/>
        </w:rPr>
        <w:t>。</w:t>
      </w:r>
    </w:p>
    <w:p w14:paraId="6360773E">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双方确认本合同</w:t>
      </w:r>
      <w:r>
        <w:rPr>
          <w:rFonts w:hint="default" w:ascii="Times New Roman" w:hAnsi="Times New Roman" w:eastAsia="方正仿宋_GBK" w:cs="Times New Roman"/>
          <w:color w:val="auto"/>
          <w:sz w:val="21"/>
          <w:szCs w:val="21"/>
          <w:lang w:val="en-US" w:eastAsia="zh-CN"/>
        </w:rPr>
        <w:t>签署页</w:t>
      </w:r>
      <w:r>
        <w:rPr>
          <w:rFonts w:hint="default" w:ascii="Times New Roman" w:hAnsi="Times New Roman" w:eastAsia="方正仿宋_GBK" w:cs="Times New Roman"/>
          <w:color w:val="auto"/>
          <w:sz w:val="21"/>
          <w:szCs w:val="21"/>
        </w:rPr>
        <w:t>所提供的通讯地址、联系方式等通讯信息均有效，一方及有关单位（包括但不限于人民法院、仲裁委员会、公证处）按此地址发出信函、文书等材料即视为相对方收到。如一方地址、电话、传真号码有变更，应在变更当日内书面通知对方，否则应承担相应责任。</w:t>
      </w:r>
    </w:p>
    <w:p w14:paraId="67C62131">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lang w:val="en-US" w:eastAsia="zh-CN"/>
        </w:rPr>
        <w:t>以下无正文</w:t>
      </w:r>
      <w:r>
        <w:rPr>
          <w:rFonts w:hint="eastAsia" w:ascii="Times New Roman" w:hAnsi="Times New Roman" w:eastAsia="方正仿宋_GBK" w:cs="Times New Roman"/>
          <w:color w:val="auto"/>
          <w:sz w:val="21"/>
          <w:szCs w:val="21"/>
          <w:lang w:val="en-US" w:eastAsia="zh-CN"/>
        </w:rPr>
        <w:t>，为本合同之签署页）</w:t>
      </w:r>
    </w:p>
    <w:p w14:paraId="2428ED25">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auto"/>
          <w:sz w:val="32"/>
          <w:szCs w:val="32"/>
        </w:rPr>
      </w:pPr>
    </w:p>
    <w:tbl>
      <w:tblPr>
        <w:tblStyle w:val="16"/>
        <w:tblW w:w="9202" w:type="dxa"/>
        <w:jc w:val="center"/>
        <w:tblLayout w:type="fixed"/>
        <w:tblCellMar>
          <w:top w:w="0" w:type="dxa"/>
          <w:left w:w="108" w:type="dxa"/>
          <w:bottom w:w="0" w:type="dxa"/>
          <w:right w:w="108" w:type="dxa"/>
        </w:tblCellMar>
      </w:tblPr>
      <w:tblGrid>
        <w:gridCol w:w="4532"/>
        <w:gridCol w:w="4670"/>
      </w:tblGrid>
      <w:tr w14:paraId="42605EE4">
        <w:trPr>
          <w:trHeight w:val="95" w:hRule="atLeast"/>
          <w:jc w:val="center"/>
        </w:trPr>
        <w:tc>
          <w:tcPr>
            <w:tcW w:w="4532" w:type="dxa"/>
            <w:noWrap w:val="0"/>
            <w:vAlign w:val="top"/>
          </w:tcPr>
          <w:p w14:paraId="6E6D30B3">
            <w:pPr>
              <w:adjustRightInd w:val="0"/>
              <w:snapToGrid w:val="0"/>
              <w:spacing w:line="480" w:lineRule="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rPr>
              <w:t>甲方</w:t>
            </w:r>
            <w:r>
              <w:rPr>
                <w:rFonts w:hint="eastAsia" w:ascii="Times New Roman" w:hAnsi="Times New Roman" w:eastAsia="方正仿宋_GBK" w:cs="Times New Roman"/>
                <w:color w:val="auto"/>
                <w:highlight w:val="none"/>
                <w:lang w:eastAsia="zh-CN"/>
              </w:rPr>
              <w:t>（</w:t>
            </w:r>
            <w:r>
              <w:rPr>
                <w:rFonts w:hint="default" w:ascii="Times New Roman" w:hAnsi="Times New Roman" w:eastAsia="方正仿宋_GBK" w:cs="Times New Roman"/>
                <w:color w:val="auto"/>
                <w:highlight w:val="none"/>
              </w:rPr>
              <w:t>盖章</w:t>
            </w:r>
            <w:r>
              <w:rPr>
                <w:rFonts w:hint="eastAsia" w:ascii="Times New Roman" w:hAnsi="Times New Roman" w:eastAsia="方正仿宋_GBK" w:cs="Times New Roman"/>
                <w:color w:val="auto"/>
                <w:highlight w:val="none"/>
                <w:lang w:eastAsia="zh-CN"/>
              </w:rPr>
              <w:t>）</w:t>
            </w:r>
            <w:r>
              <w:rPr>
                <w:rFonts w:hint="default" w:ascii="Times New Roman" w:hAnsi="Times New Roman" w:eastAsia="方正仿宋_GBK" w:cs="Times New Roman"/>
                <w:color w:val="auto"/>
                <w:highlight w:val="none"/>
              </w:rPr>
              <w:t>：</w:t>
            </w:r>
            <w:r>
              <w:rPr>
                <w:rFonts w:hint="eastAsia" w:ascii="Times New Roman" w:hAnsi="Times New Roman" w:eastAsia="方正仿宋_GBK" w:cs="Times New Roman"/>
                <w:color w:val="auto"/>
                <w:highlight w:val="none"/>
                <w:lang w:val="en-US" w:eastAsia="zh-CN"/>
              </w:rPr>
              <w:t>广东省消防救援总队</w:t>
            </w:r>
          </w:p>
          <w:p w14:paraId="7B5E1123">
            <w:pPr>
              <w:adjustRightInd w:val="0"/>
              <w:snapToGrid w:val="0"/>
              <w:spacing w:line="480" w:lineRule="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法定代表人或</w:t>
            </w:r>
            <w:r>
              <w:rPr>
                <w:rFonts w:hint="eastAsia" w:ascii="仿宋" w:hAnsi="仿宋" w:eastAsia="仿宋" w:cs="仿宋"/>
                <w:color w:val="auto"/>
                <w:lang w:val="en-US" w:eastAsia="zh-CN"/>
              </w:rPr>
              <w:t>授权代表（签字）</w:t>
            </w:r>
            <w:r>
              <w:rPr>
                <w:rFonts w:hint="default" w:ascii="Times New Roman" w:hAnsi="Times New Roman" w:eastAsia="方正仿宋_GBK" w:cs="Times New Roman"/>
                <w:color w:val="auto"/>
              </w:rPr>
              <w:t>：</w:t>
            </w:r>
          </w:p>
          <w:p w14:paraId="277C7007">
            <w:pPr>
              <w:adjustRightInd w:val="0"/>
              <w:snapToGrid w:val="0"/>
              <w:spacing w:line="480" w:lineRule="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rPr>
              <w:t>签约时间：  年   月   日</w:t>
            </w:r>
          </w:p>
          <w:p w14:paraId="42014665">
            <w:pPr>
              <w:adjustRightInd w:val="0"/>
              <w:snapToGrid w:val="0"/>
              <w:spacing w:line="480" w:lineRule="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地址：</w:t>
            </w:r>
          </w:p>
          <w:p w14:paraId="20AEF0E9">
            <w:pPr>
              <w:adjustRightInd w:val="0"/>
              <w:snapToGrid w:val="0"/>
              <w:spacing w:line="480" w:lineRule="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电话：</w:t>
            </w:r>
          </w:p>
          <w:p w14:paraId="06155D83">
            <w:pPr>
              <w:adjustRightInd w:val="0"/>
              <w:snapToGrid w:val="0"/>
              <w:spacing w:line="480" w:lineRule="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highlight w:val="none"/>
              </w:rPr>
              <w:t>传真：</w:t>
            </w:r>
          </w:p>
        </w:tc>
        <w:tc>
          <w:tcPr>
            <w:tcW w:w="4670" w:type="dxa"/>
            <w:noWrap w:val="0"/>
            <w:vAlign w:val="top"/>
          </w:tcPr>
          <w:p w14:paraId="28E7F679">
            <w:pPr>
              <w:adjustRightInd w:val="0"/>
              <w:snapToGrid w:val="0"/>
              <w:spacing w:line="480" w:lineRule="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乙方</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盖章</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w:t>
            </w:r>
          </w:p>
          <w:p w14:paraId="33D95825">
            <w:pPr>
              <w:adjustRightInd w:val="0"/>
              <w:snapToGrid w:val="0"/>
              <w:spacing w:line="480" w:lineRule="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法定</w:t>
            </w:r>
            <w:r>
              <w:rPr>
                <w:rFonts w:hint="default" w:ascii="Times New Roman" w:hAnsi="Times New Roman" w:eastAsia="方正仿宋_GBK" w:cs="Times New Roman"/>
                <w:color w:val="auto"/>
              </w:rPr>
              <w:t>代表</w:t>
            </w:r>
            <w:r>
              <w:rPr>
                <w:rFonts w:hint="default" w:ascii="Times New Roman" w:hAnsi="Times New Roman" w:eastAsia="方正仿宋_GBK" w:cs="Times New Roman"/>
                <w:color w:val="auto"/>
                <w:lang w:val="en-US" w:eastAsia="zh-CN"/>
              </w:rPr>
              <w:t>人或</w:t>
            </w:r>
            <w:r>
              <w:rPr>
                <w:rFonts w:hint="eastAsia" w:ascii="仿宋" w:hAnsi="仿宋" w:eastAsia="仿宋" w:cs="仿宋"/>
                <w:color w:val="auto"/>
                <w:lang w:val="en-US" w:eastAsia="zh-CN"/>
              </w:rPr>
              <w:t>授权代表（签字）</w:t>
            </w:r>
            <w:r>
              <w:rPr>
                <w:rFonts w:hint="default" w:ascii="Times New Roman" w:hAnsi="Times New Roman" w:eastAsia="方正仿宋_GBK" w:cs="Times New Roman"/>
                <w:color w:val="auto"/>
              </w:rPr>
              <w:t>：</w:t>
            </w:r>
          </w:p>
          <w:p w14:paraId="32ECC73F">
            <w:pPr>
              <w:adjustRightInd w:val="0"/>
              <w:snapToGrid w:val="0"/>
              <w:spacing w:line="480" w:lineRule="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签约时间：  年   月   日</w:t>
            </w:r>
          </w:p>
          <w:p w14:paraId="5C836746">
            <w:pPr>
              <w:adjustRightInd w:val="0"/>
              <w:snapToGrid w:val="0"/>
              <w:spacing w:line="480" w:lineRule="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地址：</w:t>
            </w:r>
          </w:p>
          <w:p w14:paraId="185DC2B6">
            <w:pPr>
              <w:adjustRightInd w:val="0"/>
              <w:snapToGrid w:val="0"/>
              <w:spacing w:line="480" w:lineRule="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电话：</w:t>
            </w:r>
          </w:p>
          <w:p w14:paraId="0F3A0F46">
            <w:pPr>
              <w:adjustRightInd w:val="0"/>
              <w:snapToGrid w:val="0"/>
              <w:spacing w:line="480" w:lineRule="auto"/>
              <w:rPr>
                <w:rFonts w:hint="default" w:ascii="Times New Roman" w:hAnsi="Times New Roman" w:eastAsia="方正仿宋_GBK" w:cs="Times New Roman"/>
                <w:color w:val="auto"/>
                <w:kern w:val="2"/>
                <w:sz w:val="21"/>
                <w:szCs w:val="24"/>
                <w:lang w:val="en-US" w:eastAsia="zh-CN" w:bidi="ar-SA"/>
              </w:rPr>
            </w:pPr>
            <w:r>
              <w:rPr>
                <w:rFonts w:hint="default" w:ascii="Times New Roman" w:hAnsi="Times New Roman" w:eastAsia="方正仿宋_GBK" w:cs="Times New Roman"/>
                <w:color w:val="auto"/>
              </w:rPr>
              <w:t>传真：</w:t>
            </w:r>
          </w:p>
        </w:tc>
      </w:tr>
    </w:tbl>
    <w:p w14:paraId="48E714DC">
      <w:pPr>
        <w:pStyle w:val="12"/>
        <w:rPr>
          <w:color w:val="auto"/>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B51CDF-F67F-4AAD-A7E6-50E8543488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ZBWU+FZY4JW--GB1-0">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BFE17A6C-BD4B-494C-B019-09A922D5DBD9}"/>
  </w:font>
  <w:font w:name="方正小标宋_GBK">
    <w:panose1 w:val="02000000000000000000"/>
    <w:charset w:val="86"/>
    <w:family w:val="auto"/>
    <w:pitch w:val="default"/>
    <w:sig w:usb0="A00002BF" w:usb1="38CF7CFA" w:usb2="00082016" w:usb3="00000000" w:csb0="00040001" w:csb1="00000000"/>
    <w:embedRegular r:id="rId3" w:fontKey="{046393FC-0DE6-475A-992E-0E8312B372A5}"/>
  </w:font>
  <w:font w:name="方正黑体_GBK">
    <w:panose1 w:val="03000509000000000000"/>
    <w:charset w:val="86"/>
    <w:family w:val="auto"/>
    <w:pitch w:val="default"/>
    <w:sig w:usb0="00000001" w:usb1="080E0000" w:usb2="00000000" w:usb3="00000000" w:csb0="00040000" w:csb1="00000000"/>
    <w:embedRegular r:id="rId4" w:fontKey="{FB277184-5EB2-4EDF-B155-22E5C2F6D8D4}"/>
  </w:font>
  <w:font w:name="方正仿宋_GBK">
    <w:panose1 w:val="02000000000000000000"/>
    <w:charset w:val="86"/>
    <w:family w:val="auto"/>
    <w:pitch w:val="default"/>
    <w:sig w:usb0="A00002BF" w:usb1="38CF7CFA" w:usb2="00082016" w:usb3="00000000" w:csb0="00040001" w:csb1="00000000"/>
    <w:embedRegular r:id="rId5" w:fontKey="{944515E9-7825-4D0B-8080-C3CF76034D90}"/>
  </w:font>
  <w:font w:name="方正楷体_GBK">
    <w:panose1 w:val="02000000000000000000"/>
    <w:charset w:val="86"/>
    <w:family w:val="auto"/>
    <w:pitch w:val="default"/>
    <w:sig w:usb0="800002BF" w:usb1="38CF7CFA" w:usb2="00000016" w:usb3="00000000" w:csb0="00040000" w:csb1="00000000"/>
    <w:embedRegular r:id="rId6" w:fontKey="{CD2237A3-2B4A-488E-B7C3-35B70783EBD4}"/>
  </w:font>
  <w:font w:name="仿宋_GB2312">
    <w:panose1 w:val="02010609030101010101"/>
    <w:charset w:val="86"/>
    <w:family w:val="auto"/>
    <w:pitch w:val="default"/>
    <w:sig w:usb0="00000001" w:usb1="080E0000" w:usb2="00000000" w:usb3="00000000" w:csb0="00040000" w:csb1="00000000"/>
    <w:embedRegular r:id="rId7" w:fontKey="{7EE9DB5F-330F-4BCE-9B23-FA0738E822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D327F">
    <w:pPr>
      <w:pStyle w:val="11"/>
      <w:tabs>
        <w:tab w:val="clear" w:pos="4153"/>
        <w:tab w:val="clear" w:pos="8306"/>
      </w:tabs>
      <w:ind w:left="-523" w:leftChars="-249" w:right="-868" w:firstLine="630" w:firstLineChars="300"/>
      <w:jc w:val="center"/>
      <w:rPr>
        <w:rFonts w:ascii="仿宋" w:hAnsi="仿宋" w:eastAsia="仿宋"/>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0D0E6">
    <w:pPr>
      <w:pStyle w:val="11"/>
      <w:tabs>
        <w:tab w:val="clear" w:pos="4153"/>
        <w:tab w:val="clear" w:pos="8306"/>
      </w:tabs>
      <w:ind w:left="-523" w:leftChars="-249" w:right="-868" w:firstLine="630" w:firstLineChars="300"/>
      <w:jc w:val="center"/>
      <w:rPr>
        <w:rFonts w:ascii="仿宋" w:hAnsi="仿宋" w:eastAsia="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DD3D8A2">
                          <w:pPr>
                            <w:pStyle w:val="11"/>
                            <w:rPr>
                              <w:rFonts w:ascii="宋体" w:hAnsi="宋体"/>
                              <w:sz w:val="15"/>
                              <w:szCs w:val="16"/>
                            </w:rPr>
                          </w:pPr>
                          <w:r>
                            <w:rPr>
                              <w:rFonts w:ascii="宋体" w:hAnsi="宋体"/>
                              <w:sz w:val="15"/>
                              <w:szCs w:val="16"/>
                            </w:rPr>
                            <w:t xml:space="preserve">第 </w:t>
                          </w:r>
                          <w:r>
                            <w:rPr>
                              <w:rFonts w:ascii="宋体" w:hAnsi="宋体"/>
                              <w:sz w:val="15"/>
                              <w:szCs w:val="16"/>
                            </w:rPr>
                            <w:fldChar w:fldCharType="begin"/>
                          </w:r>
                          <w:r>
                            <w:rPr>
                              <w:rFonts w:ascii="宋体" w:hAnsi="宋体"/>
                              <w:sz w:val="15"/>
                              <w:szCs w:val="16"/>
                            </w:rPr>
                            <w:instrText xml:space="preserve"> PAGE  \* MERGEFORMAT </w:instrText>
                          </w:r>
                          <w:r>
                            <w:rPr>
                              <w:rFonts w:ascii="宋体" w:hAnsi="宋体"/>
                              <w:sz w:val="15"/>
                              <w:szCs w:val="16"/>
                            </w:rPr>
                            <w:fldChar w:fldCharType="separate"/>
                          </w:r>
                          <w:r>
                            <w:rPr>
                              <w:rFonts w:ascii="宋体" w:hAnsi="宋体"/>
                              <w:sz w:val="15"/>
                              <w:szCs w:val="16"/>
                            </w:rPr>
                            <w:t>4</w:t>
                          </w:r>
                          <w:r>
                            <w:rPr>
                              <w:rFonts w:ascii="宋体" w:hAnsi="宋体"/>
                              <w:sz w:val="15"/>
                              <w:szCs w:val="16"/>
                            </w:rPr>
                            <w:fldChar w:fldCharType="end"/>
                          </w:r>
                          <w:r>
                            <w:rPr>
                              <w:rFonts w:ascii="宋体" w:hAnsi="宋体"/>
                              <w:sz w:val="15"/>
                              <w:szCs w:val="16"/>
                            </w:rPr>
                            <w:t xml:space="preserve"> 页 共 </w:t>
                          </w:r>
                          <w:r>
                            <w:rPr>
                              <w:rFonts w:hint="eastAsia" w:ascii="宋体" w:hAnsi="宋体"/>
                              <w:sz w:val="15"/>
                              <w:szCs w:val="16"/>
                              <w:lang w:val="en-US" w:eastAsia="zh-CN"/>
                            </w:rPr>
                            <w:t>18</w:t>
                          </w:r>
                          <w:r>
                            <w:rPr>
                              <w:rFonts w:ascii="宋体" w:hAnsi="宋体"/>
                              <w:sz w:val="15"/>
                              <w:szCs w:val="16"/>
                            </w:rPr>
                            <w:t xml:space="preserve"> 页</w:t>
                          </w:r>
                        </w:p>
                      </w:txbxContent>
                    </wps:txbx>
                    <wps:bodyPr vert="horz" wrap="none" lIns="0" tIns="0" rIns="0" bIns="0" anchor="t" anchorCtr="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T8ZqLaAQAAuQMAAA4AAABkcnMvZTJvRG9jLnhtbK1TzY7TMBC+I/EO&#10;lu80acVPiZquENUiJAQrLTyA6ziNJf9pxm1SHgDegBMX7jxXn2PHTtqF5bIHLsnMePzNfN+MV1eD&#10;NeygALV3NZ/PSs6Uk77RblfzL5+vny05wyhcI4x3quZHhfxq/fTJqg+VWvjOm0YBIxCHVR9q3sUY&#10;qqJA2SkrcOaDcnTYerAikgu7ogHRE7o1xaIsXxa9hyaAlwqRopvxkE+I8BhA37Zaqo2Xe6tcHFFB&#10;GRGJEnY6IF/nbttWyfipbVFFZmpOTGP+UhGyt+lbrFei2oEInZZTC+IxLTzgZIV2VPQCtRFRsD3o&#10;f6CsluDRt3EmvS1GIlkRYjEvH2hz24mgMheSGsNFdPx/sPLj4QaYbmr+vHz9ijMnLM389OP76efv&#10;069v7EVSqA9YUeJtuIHJQzIT3aEFm/5EhA1Z1eNFVTVEJik4Xy6Wy5IEl3R2dginuL8eAOM75S1L&#10;Rs2BxpbVFIcPGMfUc0qq5vy1NobiojLurwBhjhGVZz/dTv2PHScrDtthorH1zZHo02ugqp2Hr5z1&#10;tAs1d7T6nJn3jqROa3M24Gxsz4Zwki7WPHI2mm9jXq/UFoY3+0i9Zgqp9FiPqCeHJppFmLYvrcyf&#10;fs66f3Hr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BU/Gai2gEAALkDAAAOAAAAAAAAAAEA&#10;IAAAAB8BAABkcnMvZTJvRG9jLnhtbFBLBQYAAAAABgAGAFkBAABrBQAAAAA=&#10;">
              <v:fill on="f" focussize="0,0"/>
              <v:stroke on="f"/>
              <v:imagedata o:title=""/>
              <o:lock v:ext="edit" aspectratio="f"/>
              <v:textbox inset="0mm,0mm,0mm,0mm" style="mso-fit-shape-to-text:t;">
                <w:txbxContent>
                  <w:p w14:paraId="1DD3D8A2">
                    <w:pPr>
                      <w:pStyle w:val="11"/>
                      <w:rPr>
                        <w:rFonts w:ascii="宋体" w:hAnsi="宋体"/>
                        <w:sz w:val="15"/>
                        <w:szCs w:val="16"/>
                      </w:rPr>
                    </w:pPr>
                    <w:r>
                      <w:rPr>
                        <w:rFonts w:ascii="宋体" w:hAnsi="宋体"/>
                        <w:sz w:val="15"/>
                        <w:szCs w:val="16"/>
                      </w:rPr>
                      <w:t xml:space="preserve">第 </w:t>
                    </w:r>
                    <w:r>
                      <w:rPr>
                        <w:rFonts w:ascii="宋体" w:hAnsi="宋体"/>
                        <w:sz w:val="15"/>
                        <w:szCs w:val="16"/>
                      </w:rPr>
                      <w:fldChar w:fldCharType="begin"/>
                    </w:r>
                    <w:r>
                      <w:rPr>
                        <w:rFonts w:ascii="宋体" w:hAnsi="宋体"/>
                        <w:sz w:val="15"/>
                        <w:szCs w:val="16"/>
                      </w:rPr>
                      <w:instrText xml:space="preserve"> PAGE  \* MERGEFORMAT </w:instrText>
                    </w:r>
                    <w:r>
                      <w:rPr>
                        <w:rFonts w:ascii="宋体" w:hAnsi="宋体"/>
                        <w:sz w:val="15"/>
                        <w:szCs w:val="16"/>
                      </w:rPr>
                      <w:fldChar w:fldCharType="separate"/>
                    </w:r>
                    <w:r>
                      <w:rPr>
                        <w:rFonts w:ascii="宋体" w:hAnsi="宋体"/>
                        <w:sz w:val="15"/>
                        <w:szCs w:val="16"/>
                      </w:rPr>
                      <w:t>4</w:t>
                    </w:r>
                    <w:r>
                      <w:rPr>
                        <w:rFonts w:ascii="宋体" w:hAnsi="宋体"/>
                        <w:sz w:val="15"/>
                        <w:szCs w:val="16"/>
                      </w:rPr>
                      <w:fldChar w:fldCharType="end"/>
                    </w:r>
                    <w:r>
                      <w:rPr>
                        <w:rFonts w:ascii="宋体" w:hAnsi="宋体"/>
                        <w:sz w:val="15"/>
                        <w:szCs w:val="16"/>
                      </w:rPr>
                      <w:t xml:space="preserve"> 页 共 </w:t>
                    </w:r>
                    <w:r>
                      <w:rPr>
                        <w:rFonts w:hint="eastAsia" w:ascii="宋体" w:hAnsi="宋体"/>
                        <w:sz w:val="15"/>
                        <w:szCs w:val="16"/>
                        <w:lang w:val="en-US" w:eastAsia="zh-CN"/>
                      </w:rPr>
                      <w:t>18</w:t>
                    </w:r>
                    <w:r>
                      <w:rPr>
                        <w:rFonts w:ascii="宋体" w:hAnsi="宋体"/>
                        <w:sz w:val="15"/>
                        <w:szCs w:val="16"/>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B80C4">
    <w:pPr>
      <w:tabs>
        <w:tab w:val="left" w:pos="1707"/>
      </w:tabs>
      <w:spacing w:line="360" w:lineRule="auto"/>
      <w:rPr>
        <w:rFonts w:ascii="宋体" w:hAnsi="宋体"/>
        <w:color w:val="FF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45D5B">
    <w:pPr>
      <w:tabs>
        <w:tab w:val="left" w:pos="1707"/>
      </w:tabs>
      <w:spacing w:line="360" w:lineRule="auto"/>
      <w:rPr>
        <w:rFonts w:ascii="宋体" w:hAnsi="宋体"/>
        <w:color w:val="FF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1">
    <w:nsid w:val="20BD39FF"/>
    <w:multiLevelType w:val="multilevel"/>
    <w:tmpl w:val="20BD39F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2AC15F97"/>
    <w:multiLevelType w:val="multilevel"/>
    <w:tmpl w:val="2AC15F9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2F14E190"/>
    <w:multiLevelType w:val="singleLevel"/>
    <w:tmpl w:val="2F14E190"/>
    <w:lvl w:ilvl="0" w:tentative="0">
      <w:start w:val="1"/>
      <w:numFmt w:val="decimal"/>
      <w:suff w:val="nothing"/>
      <w:lvlText w:val="%1．"/>
      <w:lvlJc w:val="left"/>
      <w:pPr>
        <w:ind w:left="0" w:firstLine="400"/>
      </w:pPr>
      <w:rPr>
        <w:rFonts w:hint="default"/>
      </w:rPr>
    </w:lvl>
  </w:abstractNum>
  <w:abstractNum w:abstractNumId="4">
    <w:nsid w:val="34850CEC"/>
    <w:multiLevelType w:val="multilevel"/>
    <w:tmpl w:val="34850CE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48862A6B"/>
    <w:multiLevelType w:val="singleLevel"/>
    <w:tmpl w:val="48862A6B"/>
    <w:lvl w:ilvl="0" w:tentative="0">
      <w:start w:val="1"/>
      <w:numFmt w:val="decimal"/>
      <w:suff w:val="nothing"/>
      <w:lvlText w:val="%1．"/>
      <w:lvlJc w:val="left"/>
      <w:pPr>
        <w:ind w:left="0" w:firstLine="400"/>
      </w:pPr>
      <w:rPr>
        <w:rFonts w:hint="default"/>
      </w:rPr>
    </w:lvl>
  </w:abstractNum>
  <w:abstractNum w:abstractNumId="6">
    <w:nsid w:val="70475035"/>
    <w:multiLevelType w:val="singleLevel"/>
    <w:tmpl w:val="70475035"/>
    <w:lvl w:ilvl="0" w:tentative="0">
      <w:start w:val="1"/>
      <w:numFmt w:val="decimal"/>
      <w:suff w:val="nothing"/>
      <w:lvlText w:val="%1．"/>
      <w:lvlJc w:val="left"/>
      <w:pPr>
        <w:ind w:left="0" w:firstLine="400"/>
      </w:pPr>
      <w:rPr>
        <w:rFonts w:hint="default"/>
      </w:rPr>
    </w:lvl>
  </w:abstractNum>
  <w:abstractNum w:abstractNumId="7">
    <w:nsid w:val="71FBC810"/>
    <w:multiLevelType w:val="singleLevel"/>
    <w:tmpl w:val="71FBC810"/>
    <w:lvl w:ilvl="0" w:tentative="0">
      <w:start w:val="1"/>
      <w:numFmt w:val="decimal"/>
      <w:suff w:val="nothing"/>
      <w:lvlText w:val="%1．"/>
      <w:lvlJc w:val="left"/>
      <w:pPr>
        <w:ind w:left="0" w:firstLine="400"/>
      </w:pPr>
      <w:rPr>
        <w:rFonts w:hint="default"/>
      </w:rPr>
    </w:lvl>
  </w:abstractNum>
  <w:num w:numId="1">
    <w:abstractNumId w:val="0"/>
  </w:num>
  <w:num w:numId="2">
    <w:abstractNumId w:val="6"/>
  </w:num>
  <w:num w:numId="3">
    <w:abstractNumId w:val="3"/>
  </w:num>
  <w:num w:numId="4">
    <w:abstractNumId w:val="7"/>
  </w:num>
  <w:num w:numId="5">
    <w:abstractNumId w:val="5"/>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NmVjNmVmZGFlMjVlMDNlNDY5YTlkNWYyMmI5ZWYifQ=="/>
  </w:docVars>
  <w:rsids>
    <w:rsidRoot w:val="00000000"/>
    <w:rsid w:val="000C3DA7"/>
    <w:rsid w:val="01E329BA"/>
    <w:rsid w:val="01FA0645"/>
    <w:rsid w:val="02F315BC"/>
    <w:rsid w:val="037B196F"/>
    <w:rsid w:val="04422453"/>
    <w:rsid w:val="0548762F"/>
    <w:rsid w:val="05F259B2"/>
    <w:rsid w:val="06AA2ED0"/>
    <w:rsid w:val="08120774"/>
    <w:rsid w:val="09297778"/>
    <w:rsid w:val="0AD007F3"/>
    <w:rsid w:val="0B9B5568"/>
    <w:rsid w:val="0C692CAD"/>
    <w:rsid w:val="0D63594E"/>
    <w:rsid w:val="0DA458E6"/>
    <w:rsid w:val="0F427144"/>
    <w:rsid w:val="0F485AEE"/>
    <w:rsid w:val="105A612B"/>
    <w:rsid w:val="10770B96"/>
    <w:rsid w:val="10C25D2A"/>
    <w:rsid w:val="115A0E16"/>
    <w:rsid w:val="119836EC"/>
    <w:rsid w:val="11BA3663"/>
    <w:rsid w:val="11E627C4"/>
    <w:rsid w:val="12D40DC2"/>
    <w:rsid w:val="13947CC5"/>
    <w:rsid w:val="14DA53F3"/>
    <w:rsid w:val="16587F21"/>
    <w:rsid w:val="171C4DC0"/>
    <w:rsid w:val="1739760B"/>
    <w:rsid w:val="195E16BF"/>
    <w:rsid w:val="1A040CE9"/>
    <w:rsid w:val="1A772A39"/>
    <w:rsid w:val="1AC075FF"/>
    <w:rsid w:val="1CD05B0E"/>
    <w:rsid w:val="1CE81DFC"/>
    <w:rsid w:val="1E5848E1"/>
    <w:rsid w:val="1E9D67E6"/>
    <w:rsid w:val="1ED80A75"/>
    <w:rsid w:val="1F1E32A2"/>
    <w:rsid w:val="21262B76"/>
    <w:rsid w:val="213473B5"/>
    <w:rsid w:val="222C5A8A"/>
    <w:rsid w:val="223B07F0"/>
    <w:rsid w:val="230B6056"/>
    <w:rsid w:val="23F02FE7"/>
    <w:rsid w:val="251D021C"/>
    <w:rsid w:val="25220E17"/>
    <w:rsid w:val="287265EE"/>
    <w:rsid w:val="2A6134E6"/>
    <w:rsid w:val="2B2F6A18"/>
    <w:rsid w:val="2B4D50F0"/>
    <w:rsid w:val="2C8E07CC"/>
    <w:rsid w:val="2D5026E6"/>
    <w:rsid w:val="2E131A9A"/>
    <w:rsid w:val="2F6836A0"/>
    <w:rsid w:val="314A2094"/>
    <w:rsid w:val="31BD1649"/>
    <w:rsid w:val="325362A4"/>
    <w:rsid w:val="325F3496"/>
    <w:rsid w:val="32C31365"/>
    <w:rsid w:val="32E077CE"/>
    <w:rsid w:val="32E52CC9"/>
    <w:rsid w:val="33515E67"/>
    <w:rsid w:val="337A0A4C"/>
    <w:rsid w:val="338D7F99"/>
    <w:rsid w:val="34675E29"/>
    <w:rsid w:val="34E95E9A"/>
    <w:rsid w:val="34F72B74"/>
    <w:rsid w:val="35EE6C75"/>
    <w:rsid w:val="388572C9"/>
    <w:rsid w:val="39894E9A"/>
    <w:rsid w:val="3A995C5C"/>
    <w:rsid w:val="3AEC13F5"/>
    <w:rsid w:val="3B317CC3"/>
    <w:rsid w:val="3B491430"/>
    <w:rsid w:val="3BA5678A"/>
    <w:rsid w:val="3C87489F"/>
    <w:rsid w:val="3C915DBA"/>
    <w:rsid w:val="3CC9112E"/>
    <w:rsid w:val="3CDD18B3"/>
    <w:rsid w:val="3D3D52C6"/>
    <w:rsid w:val="3D446C7F"/>
    <w:rsid w:val="3D74475E"/>
    <w:rsid w:val="414E56B1"/>
    <w:rsid w:val="41AF29F8"/>
    <w:rsid w:val="42294724"/>
    <w:rsid w:val="425B0B4F"/>
    <w:rsid w:val="431603D3"/>
    <w:rsid w:val="4359242C"/>
    <w:rsid w:val="435E2AEA"/>
    <w:rsid w:val="437C436D"/>
    <w:rsid w:val="43910E74"/>
    <w:rsid w:val="43D47AAF"/>
    <w:rsid w:val="440700DA"/>
    <w:rsid w:val="448A3D3E"/>
    <w:rsid w:val="45D23197"/>
    <w:rsid w:val="46502789"/>
    <w:rsid w:val="46881131"/>
    <w:rsid w:val="46C87FF5"/>
    <w:rsid w:val="47523D62"/>
    <w:rsid w:val="48217291"/>
    <w:rsid w:val="49060960"/>
    <w:rsid w:val="4AC0722D"/>
    <w:rsid w:val="4AEB53FD"/>
    <w:rsid w:val="4BBD0CDA"/>
    <w:rsid w:val="4CC02BDF"/>
    <w:rsid w:val="4D4054EB"/>
    <w:rsid w:val="4DFB65A2"/>
    <w:rsid w:val="4EE2777A"/>
    <w:rsid w:val="51FD5A84"/>
    <w:rsid w:val="54C94864"/>
    <w:rsid w:val="551408A9"/>
    <w:rsid w:val="55E464CD"/>
    <w:rsid w:val="5637134B"/>
    <w:rsid w:val="568D26C1"/>
    <w:rsid w:val="58DD2057"/>
    <w:rsid w:val="5A1F7AD4"/>
    <w:rsid w:val="5B0D64DA"/>
    <w:rsid w:val="5BE90BC8"/>
    <w:rsid w:val="5C4427ED"/>
    <w:rsid w:val="5CB84210"/>
    <w:rsid w:val="5D881AF2"/>
    <w:rsid w:val="5E78080B"/>
    <w:rsid w:val="5FE227F9"/>
    <w:rsid w:val="60886E03"/>
    <w:rsid w:val="61762A2C"/>
    <w:rsid w:val="619451C8"/>
    <w:rsid w:val="6220263B"/>
    <w:rsid w:val="63364E4F"/>
    <w:rsid w:val="64942E6C"/>
    <w:rsid w:val="64EC2CA8"/>
    <w:rsid w:val="65270184"/>
    <w:rsid w:val="65E751F0"/>
    <w:rsid w:val="66795181"/>
    <w:rsid w:val="67A94E81"/>
    <w:rsid w:val="6A991E73"/>
    <w:rsid w:val="6AF02DC7"/>
    <w:rsid w:val="6C3C1BA2"/>
    <w:rsid w:val="6D5B1561"/>
    <w:rsid w:val="6E4771A1"/>
    <w:rsid w:val="70AC2285"/>
    <w:rsid w:val="718D136F"/>
    <w:rsid w:val="71FF022F"/>
    <w:rsid w:val="72D8486C"/>
    <w:rsid w:val="72DF209E"/>
    <w:rsid w:val="737722D7"/>
    <w:rsid w:val="74270FD3"/>
    <w:rsid w:val="757F1917"/>
    <w:rsid w:val="78454283"/>
    <w:rsid w:val="78AC0583"/>
    <w:rsid w:val="7B09415C"/>
    <w:rsid w:val="7DCA457B"/>
    <w:rsid w:val="7EBD13F9"/>
    <w:rsid w:val="7FE447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5">
    <w:name w:val="heading 2"/>
    <w:basedOn w:val="1"/>
    <w:next w:val="1"/>
    <w:qFormat/>
    <w:uiPriority w:val="0"/>
    <w:pPr>
      <w:keepNext/>
      <w:keepLines/>
      <w:tabs>
        <w:tab w:val="left" w:pos="720"/>
        <w:tab w:val="left" w:pos="900"/>
      </w:tabs>
      <w:adjustRightInd w:val="0"/>
      <w:spacing w:line="360" w:lineRule="auto"/>
      <w:jc w:val="left"/>
      <w:outlineLvl w:val="1"/>
    </w:pPr>
    <w:rPr>
      <w:rFonts w:ascii="宋体" w:hAnsi="宋体"/>
      <w:b/>
      <w:bCs/>
      <w:kern w:val="0"/>
      <w:sz w:val="24"/>
      <w:szCs w:val="28"/>
    </w:rPr>
  </w:style>
  <w:style w:type="character" w:default="1" w:styleId="17">
    <w:name w:val="Default Paragraph Font"/>
    <w:qFormat/>
    <w:uiPriority w:val="0"/>
  </w:style>
  <w:style w:type="table" w:default="1" w:styleId="16">
    <w:name w:val="Normal Table"/>
    <w:qFormat/>
    <w:uiPriority w:val="0"/>
    <w:tblPr>
      <w:tblCellMar>
        <w:top w:w="0" w:type="dxa"/>
        <w:left w:w="108" w:type="dxa"/>
        <w:bottom w:w="0" w:type="dxa"/>
        <w:right w:w="108" w:type="dxa"/>
      </w:tblCellMar>
    </w:tblPr>
  </w:style>
  <w:style w:type="paragraph" w:customStyle="1" w:styleId="2">
    <w:name w:val="Default"/>
    <w:basedOn w:val="3"/>
    <w:unhideWhenUsed/>
    <w:qFormat/>
    <w:uiPriority w:val="0"/>
    <w:pPr>
      <w:widowControl w:val="0"/>
      <w:autoSpaceDE w:val="0"/>
      <w:autoSpaceDN w:val="0"/>
      <w:adjustRightInd w:val="0"/>
    </w:pPr>
    <w:rPr>
      <w:rFonts w:hint="eastAsia" w:ascii="DEZBWU+FZY4JW--GB1-0" w:hAnsi="DEZBWU+FZY4JW--GB1-0" w:eastAsia="DEZBWU+FZY4JW--GB1-0" w:cs="Times New Roman"/>
      <w:color w:val="000000"/>
      <w:sz w:val="24"/>
      <w:lang w:val="en-US" w:eastAsia="zh-CN" w:bidi="ar-SA"/>
    </w:rPr>
  </w:style>
  <w:style w:type="paragraph" w:customStyle="1" w:styleId="3">
    <w:name w:val="正文1"/>
    <w:qFormat/>
    <w:uiPriority w:val="0"/>
    <w:pPr>
      <w:jc w:val="both"/>
    </w:pPr>
    <w:rPr>
      <w:rFonts w:ascii="Times New Roman" w:hAnsi="Times New Roman" w:eastAsia="宋体" w:cs="Times New Roman"/>
      <w:kern w:val="2"/>
      <w:sz w:val="21"/>
      <w:szCs w:val="21"/>
      <w:lang w:val="en-US" w:eastAsia="zh-CN" w:bidi="ar-SA"/>
    </w:rPr>
  </w:style>
  <w:style w:type="paragraph" w:styleId="6">
    <w:name w:val="Normal Indent"/>
    <w:basedOn w:val="1"/>
    <w:qFormat/>
    <w:uiPriority w:val="0"/>
    <w:pPr>
      <w:widowControl/>
      <w:spacing w:before="100" w:beforeAutospacing="1" w:after="100" w:afterAutospacing="1"/>
      <w:jc w:val="left"/>
    </w:pPr>
    <w:rPr>
      <w:rFonts w:ascii="宋体" w:hAnsi="宋体"/>
      <w:kern w:val="0"/>
      <w:sz w:val="24"/>
      <w:szCs w:val="24"/>
    </w:rPr>
  </w:style>
  <w:style w:type="paragraph" w:styleId="7">
    <w:name w:val="annotation text"/>
    <w:basedOn w:val="1"/>
    <w:qFormat/>
    <w:uiPriority w:val="0"/>
    <w:pPr>
      <w:jc w:val="left"/>
    </w:pPr>
  </w:style>
  <w:style w:type="paragraph" w:styleId="8">
    <w:name w:val="Body Text"/>
    <w:basedOn w:val="1"/>
    <w:qFormat/>
    <w:uiPriority w:val="0"/>
    <w:pPr>
      <w:spacing w:after="120"/>
    </w:pPr>
    <w:rPr>
      <w:szCs w:val="24"/>
    </w:rPr>
  </w:style>
  <w:style w:type="paragraph" w:styleId="9">
    <w:name w:val="Body Text Indent"/>
    <w:basedOn w:val="1"/>
    <w:qFormat/>
    <w:uiPriority w:val="0"/>
    <w:pPr>
      <w:autoSpaceDN w:val="0"/>
      <w:ind w:firstLine="560" w:firstLineChars="200"/>
    </w:pPr>
    <w:rPr>
      <w:sz w:val="28"/>
    </w:r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Indent 3"/>
    <w:basedOn w:val="1"/>
    <w:qFormat/>
    <w:uiPriority w:val="0"/>
    <w:pPr>
      <w:spacing w:after="120"/>
      <w:ind w:left="420" w:leftChars="200"/>
    </w:pPr>
    <w:rPr>
      <w:sz w:val="16"/>
      <w:szCs w:val="16"/>
    </w:rPr>
  </w:style>
  <w:style w:type="paragraph" w:styleId="13">
    <w:name w:val="Normal (Web)"/>
    <w:basedOn w:val="1"/>
    <w:qFormat/>
    <w:uiPriority w:val="0"/>
    <w:pPr>
      <w:spacing w:before="100" w:beforeAutospacing="1" w:after="100" w:afterAutospacing="1"/>
      <w:ind w:left="0" w:right="0"/>
      <w:jc w:val="left"/>
    </w:pPr>
    <w:rPr>
      <w:kern w:val="0"/>
      <w:sz w:val="24"/>
      <w:lang w:val="en-US" w:eastAsia="zh-CN"/>
    </w:rPr>
  </w:style>
  <w:style w:type="paragraph" w:styleId="14">
    <w:name w:val="Title"/>
    <w:basedOn w:val="1"/>
    <w:qFormat/>
    <w:uiPriority w:val="0"/>
    <w:pPr>
      <w:spacing w:before="1"/>
      <w:ind w:left="1329" w:right="1471"/>
      <w:jc w:val="center"/>
    </w:pPr>
    <w:rPr>
      <w:rFonts w:ascii="楷体" w:hAnsi="楷体" w:eastAsia="楷体"/>
      <w:b/>
      <w:bCs/>
      <w:sz w:val="70"/>
      <w:szCs w:val="70"/>
    </w:rPr>
  </w:style>
  <w:style w:type="paragraph" w:styleId="15">
    <w:name w:val="Body Text First Indent 2"/>
    <w:basedOn w:val="9"/>
    <w:qFormat/>
    <w:uiPriority w:val="0"/>
    <w:pPr>
      <w:spacing w:after="120"/>
      <w:ind w:left="420" w:leftChars="200" w:firstLine="420"/>
    </w:pPr>
    <w:rPr>
      <w:sz w:val="21"/>
      <w:szCs w:val="24"/>
    </w:rPr>
  </w:style>
  <w:style w:type="character" w:styleId="18">
    <w:name w:val="Strong"/>
    <w:basedOn w:val="17"/>
    <w:qFormat/>
    <w:uiPriority w:val="0"/>
    <w:rPr>
      <w:b/>
    </w:rPr>
  </w:style>
  <w:style w:type="paragraph" w:customStyle="1" w:styleId="19">
    <w:name w:val="_Style 3"/>
    <w:next w:val="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07正文"/>
    <w:qFormat/>
    <w:uiPriority w:val="0"/>
    <w:pPr>
      <w:widowControl w:val="0"/>
      <w:overflowPunct w:val="0"/>
      <w:autoSpaceDE w:val="0"/>
      <w:autoSpaceDN w:val="0"/>
      <w:adjustRightInd w:val="0"/>
      <w:snapToGrid w:val="0"/>
      <w:spacing w:line="336" w:lineRule="auto"/>
      <w:ind w:firstLine="200"/>
      <w:textAlignment w:val="center"/>
    </w:pPr>
    <w:rPr>
      <w:rFonts w:ascii="仿宋" w:hAnsi="仿宋" w:eastAsia="仿宋" w:cs="Times New Roman"/>
      <w:kern w:val="2"/>
      <w:sz w:val="32"/>
      <w:szCs w:val="32"/>
      <w:lang w:val="en-US" w:eastAsia="zh-CN" w:bidi="ar-SA"/>
    </w:rPr>
  </w:style>
  <w:style w:type="paragraph" w:customStyle="1" w:styleId="21">
    <w:name w:val="彩色列表1"/>
    <w:basedOn w:val="1"/>
    <w:qFormat/>
    <w:uiPriority w:val="34"/>
    <w:pPr>
      <w:ind w:firstLine="420" w:firstLineChars="200"/>
    </w:pPr>
    <w:rPr>
      <w:szCs w:val="24"/>
    </w:rPr>
  </w:style>
  <w:style w:type="paragraph" w:styleId="22">
    <w:name w:val="List Paragraph"/>
    <w:basedOn w:val="1"/>
    <w:qFormat/>
    <w:uiPriority w:val="99"/>
    <w:pPr>
      <w:ind w:firstLine="420" w:firstLineChars="200"/>
    </w:pPr>
  </w:style>
  <w:style w:type="paragraph" w:customStyle="1" w:styleId="23">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24">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4081</Words>
  <Characters>4296</Characters>
  <Paragraphs>477</Paragraphs>
  <TotalTime>2</TotalTime>
  <ScaleCrop>false</ScaleCrop>
  <LinksUpToDate>false</LinksUpToDate>
  <CharactersWithSpaces>4323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2022-11-24T04:49:00Z</dcterms:created>
  <dc:creator>律师顾问团</dc:creator>
  <cp:lastModifiedBy>章小羽</cp:lastModifiedBy>
  <cp:lastPrinted>2024-11-27T11:16:00Z</cp:lastPrinted>
  <dcterms:modified xsi:type="dcterms:W3CDTF">2025-04-14T04:02:25Z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F637625F657B49A3A0C2204CE7E6070A_13</vt:lpwstr>
  </property>
  <property fmtid="{D5CDD505-2E9C-101B-9397-08002B2CF9AE}" pid="4" name="KSOTemplateDocerSaveRecord">
    <vt:lpwstr>eyJoZGlkIjoiNjc3NmVjNmVmZGFlMjVlMDNlNDY5YTlkNWYyMmI5ZWYiLCJ1c2VySWQiOiIzNzU5NTc2MjQifQ==</vt:lpwstr>
  </property>
</Properties>
</file>