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B25C2">
      <w:pPr>
        <w:snapToGrid w:val="0"/>
        <w:contextualSpacing/>
        <w:jc w:val="center"/>
        <w:rPr>
          <w:rFonts w:ascii="方正小标宋简体" w:hAnsi="Times New Roman" w:eastAsia="方正小标宋简体" w:cs="Times New Roman"/>
          <w:b/>
          <w:sz w:val="44"/>
          <w:szCs w:val="44"/>
        </w:rPr>
      </w:pPr>
    </w:p>
    <w:p w14:paraId="298511B3">
      <w:pPr>
        <w:snapToGrid w:val="0"/>
        <w:contextualSpacing/>
        <w:jc w:val="center"/>
        <w:rPr>
          <w:rFonts w:hint="eastAsia" w:ascii="方正小标宋简体" w:hAnsi="Times New Roman" w:eastAsia="方正小标宋简体" w:cs="Times New Roman"/>
          <w:b/>
          <w:sz w:val="44"/>
          <w:szCs w:val="44"/>
          <w:lang w:eastAsia="zh-CN"/>
        </w:rPr>
      </w:pPr>
      <w:r>
        <w:rPr>
          <w:rFonts w:hint="eastAsia" w:ascii="方正小标宋简体" w:hAnsi="Times New Roman" w:eastAsia="方正小标宋简体" w:cs="Times New Roman"/>
          <w:b/>
          <w:sz w:val="44"/>
          <w:szCs w:val="44"/>
        </w:rPr>
        <w:t>广东省消防救援总队附属综合楼</w:t>
      </w:r>
      <w:r>
        <w:rPr>
          <w:rFonts w:hint="eastAsia" w:ascii="方正小标宋简体" w:hAnsi="Times New Roman" w:eastAsia="方正小标宋简体" w:cs="Times New Roman"/>
          <w:b/>
          <w:sz w:val="44"/>
          <w:szCs w:val="44"/>
          <w:lang w:eastAsia="zh-CN"/>
        </w:rPr>
        <w:t>空调系统</w:t>
      </w:r>
    </w:p>
    <w:p w14:paraId="62FE068E">
      <w:pPr>
        <w:snapToGrid w:val="0"/>
        <w:contextualSpacing/>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lang w:eastAsia="zh-CN"/>
        </w:rPr>
        <w:t>维修</w:t>
      </w:r>
      <w:r>
        <w:rPr>
          <w:rFonts w:hint="eastAsia" w:ascii="方正小标宋简体" w:hAnsi="Times New Roman" w:eastAsia="方正小标宋简体" w:cs="Times New Roman"/>
          <w:b/>
          <w:sz w:val="44"/>
          <w:szCs w:val="44"/>
        </w:rPr>
        <w:t>遴选采购文件</w:t>
      </w:r>
    </w:p>
    <w:p w14:paraId="30EEE378">
      <w:pPr>
        <w:pStyle w:val="10"/>
      </w:pPr>
    </w:p>
    <w:p w14:paraId="731103D3">
      <w:pPr>
        <w:pStyle w:val="5"/>
      </w:pPr>
    </w:p>
    <w:p w14:paraId="5822A8EC">
      <w:pPr>
        <w:pStyle w:val="5"/>
      </w:pPr>
    </w:p>
    <w:p w14:paraId="52CCBC56">
      <w:pPr>
        <w:pStyle w:val="5"/>
      </w:pPr>
    </w:p>
    <w:p w14:paraId="5E5C6AE3">
      <w:pPr>
        <w:pStyle w:val="5"/>
      </w:pPr>
    </w:p>
    <w:p w14:paraId="1BCEE841">
      <w:pPr>
        <w:pStyle w:val="5"/>
      </w:pPr>
    </w:p>
    <w:p w14:paraId="79686306">
      <w:pPr>
        <w:pStyle w:val="5"/>
      </w:pPr>
    </w:p>
    <w:p w14:paraId="2905F994">
      <w:pPr>
        <w:pStyle w:val="5"/>
      </w:pPr>
    </w:p>
    <w:p w14:paraId="5CA1C334">
      <w:pPr>
        <w:pStyle w:val="5"/>
      </w:pPr>
    </w:p>
    <w:p w14:paraId="1BF4A5F8">
      <w:pPr>
        <w:pStyle w:val="5"/>
      </w:pPr>
    </w:p>
    <w:p w14:paraId="1FECB2CF">
      <w:pPr>
        <w:pStyle w:val="5"/>
      </w:pPr>
    </w:p>
    <w:p w14:paraId="2475B77C">
      <w:pPr>
        <w:pStyle w:val="5"/>
      </w:pPr>
    </w:p>
    <w:p w14:paraId="03CD4CAB">
      <w:pPr>
        <w:pStyle w:val="5"/>
      </w:pPr>
    </w:p>
    <w:p w14:paraId="1804065F">
      <w:pPr>
        <w:pStyle w:val="5"/>
      </w:pPr>
    </w:p>
    <w:p w14:paraId="361A6423">
      <w:pPr>
        <w:pStyle w:val="5"/>
      </w:pPr>
    </w:p>
    <w:p w14:paraId="1CA1C4AC">
      <w:pPr>
        <w:pStyle w:val="5"/>
      </w:pPr>
    </w:p>
    <w:p w14:paraId="02DCD0D1">
      <w:pPr>
        <w:pStyle w:val="5"/>
      </w:pPr>
    </w:p>
    <w:p w14:paraId="4A9708D0">
      <w:pPr>
        <w:pStyle w:val="5"/>
      </w:pPr>
    </w:p>
    <w:p w14:paraId="6BB584B6">
      <w:pPr>
        <w:pStyle w:val="5"/>
      </w:pPr>
    </w:p>
    <w:p w14:paraId="215B2345">
      <w:pPr>
        <w:pStyle w:val="5"/>
      </w:pPr>
    </w:p>
    <w:p w14:paraId="091394D4">
      <w:pPr>
        <w:pStyle w:val="5"/>
        <w:jc w:val="center"/>
        <w:rPr>
          <w:sz w:val="32"/>
          <w:szCs w:val="32"/>
        </w:rPr>
      </w:pPr>
      <w:r>
        <w:rPr>
          <w:rFonts w:hint="eastAsia"/>
          <w:sz w:val="32"/>
          <w:szCs w:val="32"/>
        </w:rPr>
        <w:t>采购人：广东省消防救援总队</w:t>
      </w:r>
    </w:p>
    <w:p w14:paraId="2965EF73">
      <w:pPr>
        <w:pStyle w:val="5"/>
        <w:ind w:firstLine="2080" w:firstLineChars="650"/>
        <w:rPr>
          <w:sz w:val="32"/>
          <w:szCs w:val="32"/>
        </w:rPr>
      </w:pPr>
      <w:r>
        <w:rPr>
          <w:rFonts w:hint="eastAsia"/>
          <w:sz w:val="32"/>
          <w:szCs w:val="32"/>
        </w:rPr>
        <w:t>时  间：202</w:t>
      </w:r>
      <w:r>
        <w:rPr>
          <w:rFonts w:hint="eastAsia"/>
          <w:sz w:val="32"/>
          <w:szCs w:val="32"/>
          <w:lang w:val="en-US" w:eastAsia="zh-CN"/>
        </w:rPr>
        <w:t>4</w:t>
      </w:r>
      <w:r>
        <w:rPr>
          <w:rFonts w:hint="eastAsia"/>
          <w:sz w:val="32"/>
          <w:szCs w:val="32"/>
        </w:rPr>
        <w:t>年</w:t>
      </w:r>
      <w:r>
        <w:rPr>
          <w:rFonts w:hint="eastAsia"/>
          <w:sz w:val="32"/>
          <w:szCs w:val="32"/>
          <w:lang w:val="en-US" w:eastAsia="zh-CN"/>
        </w:rPr>
        <w:t>9</w:t>
      </w:r>
      <w:r>
        <w:rPr>
          <w:rFonts w:hint="eastAsia"/>
          <w:sz w:val="32"/>
          <w:szCs w:val="32"/>
        </w:rPr>
        <w:t>月</w:t>
      </w:r>
    </w:p>
    <w:p w14:paraId="380E9840">
      <w:pPr>
        <w:pStyle w:val="10"/>
        <w:jc w:val="center"/>
        <w:rPr>
          <w:rFonts w:hint="eastAsia" w:ascii="方正小标宋简体" w:hAnsi="Times New Roman" w:eastAsia="方正小标宋简体" w:cs="Times New Roman"/>
          <w:b/>
          <w:sz w:val="44"/>
          <w:szCs w:val="44"/>
        </w:rPr>
      </w:pPr>
    </w:p>
    <w:p w14:paraId="7747BE30">
      <w:pPr>
        <w:pStyle w:val="10"/>
        <w:jc w:val="center"/>
        <w:rPr>
          <w:rFonts w:hint="eastAsia" w:ascii="方正小标宋简体" w:hAnsi="Times New Roman" w:eastAsia="方正小标宋简体" w:cs="Times New Roman"/>
          <w:b/>
          <w:sz w:val="44"/>
          <w:szCs w:val="44"/>
        </w:rPr>
      </w:pPr>
    </w:p>
    <w:p w14:paraId="4DB9B99F">
      <w:pPr>
        <w:pStyle w:val="10"/>
        <w:jc w:val="center"/>
        <w:rPr>
          <w:rFonts w:ascii="黑体" w:hAnsi="黑体" w:eastAsia="黑体" w:cs="Times New Roman"/>
          <w:sz w:val="32"/>
          <w:szCs w:val="32"/>
        </w:rPr>
      </w:pPr>
      <w:r>
        <w:rPr>
          <w:rFonts w:hint="eastAsia" w:ascii="方正小标宋简体" w:hAnsi="Times New Roman" w:eastAsia="方正小标宋简体" w:cs="Times New Roman"/>
          <w:b/>
          <w:sz w:val="44"/>
          <w:szCs w:val="44"/>
        </w:rPr>
        <w:t>遴选采购文件</w:t>
      </w:r>
    </w:p>
    <w:p w14:paraId="565E9677">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eastAsia="zh-CN"/>
        </w:rPr>
        <w:t>第一部分</w:t>
      </w:r>
      <w:r>
        <w:rPr>
          <w:rFonts w:hint="eastAsia" w:ascii="黑体" w:hAnsi="黑体" w:eastAsia="黑体" w:cs="Times New Roman"/>
          <w:sz w:val="32"/>
          <w:szCs w:val="32"/>
          <w:lang w:val="en-US" w:eastAsia="zh-CN"/>
        </w:rPr>
        <w:t xml:space="preserve"> 采购需求</w:t>
      </w:r>
    </w:p>
    <w:p w14:paraId="75BC163F">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rPr>
        <w:t>一、</w:t>
      </w:r>
      <w:r>
        <w:rPr>
          <w:rFonts w:hint="eastAsia" w:ascii="黑体" w:hAnsi="黑体" w:eastAsia="黑体" w:cs="Times New Roman"/>
          <w:sz w:val="32"/>
          <w:szCs w:val="32"/>
          <w:lang w:eastAsia="zh-CN"/>
        </w:rPr>
        <w:t>基本情况</w:t>
      </w:r>
    </w:p>
    <w:p w14:paraId="0407371D">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广东省消防救援总队附属综合楼位于广州市天河区瘦狗岭路</w:t>
      </w:r>
      <w:r>
        <w:rPr>
          <w:rFonts w:hint="eastAsia" w:ascii="仿宋_GB2312" w:hAnsi="仿宋_GB2312" w:eastAsia="仿宋_GB2312" w:cs="仿宋_GB2312"/>
          <w:sz w:val="32"/>
          <w:szCs w:val="32"/>
          <w:lang w:val="en-US" w:eastAsia="zh-CN"/>
        </w:rPr>
        <w:t>489号。该楼总建筑面积约24000平方米，地上20层，地下3层。该大楼</w:t>
      </w:r>
      <w:r>
        <w:rPr>
          <w:rFonts w:hint="eastAsia" w:ascii="仿宋_GB2312" w:hAnsi="仿宋_GB2312" w:eastAsia="仿宋_GB2312" w:cs="仿宋_GB2312"/>
          <w:sz w:val="32"/>
          <w:szCs w:val="32"/>
          <w:lang w:eastAsia="zh-CN"/>
        </w:rPr>
        <w:t>中央空调</w:t>
      </w:r>
      <w:r>
        <w:rPr>
          <w:rFonts w:hint="eastAsia" w:ascii="仿宋_GB2312" w:hAnsi="仿宋_GB2312" w:eastAsia="仿宋_GB2312" w:cs="仿宋_GB2312"/>
          <w:sz w:val="32"/>
          <w:szCs w:val="32"/>
          <w:lang w:val="en-US" w:eastAsia="zh-CN"/>
        </w:rPr>
        <w:t>系统主要包括2台870KW水冷螺杆式主机、6台130KW风冷模块主机、4台65KW风冷模块式主机、4台10匹空气能热泵主机工作、3台27KW立式水泵供冷冻水、2台200吨水冷却塔。主机、冷却塔和水泵全部放置于20层东、南侧屋面。室内采用风机盘管送风。</w:t>
      </w:r>
    </w:p>
    <w:p w14:paraId="6B883103">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中央空调系统于</w:t>
      </w:r>
      <w:r>
        <w:rPr>
          <w:rFonts w:hint="eastAsia" w:ascii="仿宋_GB2312" w:hAnsi="仿宋_GB2312" w:eastAsia="仿宋_GB2312" w:cs="仿宋_GB2312"/>
          <w:sz w:val="32"/>
          <w:szCs w:val="32"/>
          <w:lang w:val="en-US" w:eastAsia="zh-CN"/>
        </w:rPr>
        <w:t>2016年建设完成后从未启用，当前不能正常使用。主要问题如下：</w:t>
      </w:r>
    </w:p>
    <w:p w14:paraId="5B72555B">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冷却水塔内长青苔且沉积物堵塞、电机皮带松软老化、传动轴波箱润滑油硬化，无法正常传动。</w:t>
      </w:r>
    </w:p>
    <w:p w14:paraId="336A966F">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户外水泵锈蚀，长时间未启动无法正常转动。</w:t>
      </w:r>
    </w:p>
    <w:p w14:paraId="6E0C2E95">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风冷模块主机无法正常散热，部分位置锈蚀。</w:t>
      </w:r>
    </w:p>
    <w:p w14:paraId="6FB2A212">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户外压力表及温度计锈蚀严重。</w:t>
      </w:r>
    </w:p>
    <w:p w14:paraId="2BD1F6E1">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整体系统无法正常运转，需全面检修。</w:t>
      </w:r>
    </w:p>
    <w:p w14:paraId="556D497C">
      <w:pPr>
        <w:spacing w:line="432" w:lineRule="auto"/>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二、具体维修工作内容</w:t>
      </w:r>
    </w:p>
    <w:p w14:paraId="30D05B76">
      <w:pPr>
        <w:spacing w:line="432" w:lineRule="auto"/>
        <w:ind w:firstLine="640"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对</w:t>
      </w:r>
      <w:r>
        <w:rPr>
          <w:rFonts w:hint="eastAsia" w:ascii="楷体_GB2312" w:hAnsi="楷体_GB2312" w:eastAsia="楷体_GB2312" w:cs="楷体_GB2312"/>
          <w:b/>
          <w:bCs/>
          <w:sz w:val="32"/>
          <w:szCs w:val="32"/>
          <w:lang w:val="en-US" w:eastAsia="zh-CN"/>
        </w:rPr>
        <w:t>水冷螺杆</w:t>
      </w:r>
      <w:r>
        <w:rPr>
          <w:rFonts w:hint="eastAsia" w:ascii="楷体_GB2312" w:hAnsi="楷体_GB2312" w:eastAsia="楷体_GB2312" w:cs="楷体_GB2312"/>
          <w:b/>
          <w:bCs/>
          <w:sz w:val="32"/>
          <w:szCs w:val="32"/>
          <w:lang w:eastAsia="zh-CN"/>
        </w:rPr>
        <w:t>主机冷冻站维护</w:t>
      </w:r>
      <w:r>
        <w:rPr>
          <w:rFonts w:hint="eastAsia" w:ascii="楷体_GB2312" w:hAnsi="楷体_GB2312" w:eastAsia="楷体_GB2312" w:cs="楷体_GB2312"/>
          <w:b/>
          <w:bCs/>
          <w:sz w:val="32"/>
          <w:szCs w:val="32"/>
          <w:lang w:val="en-US" w:eastAsia="zh-CN"/>
        </w:rPr>
        <w:t>检修</w:t>
      </w:r>
      <w:r>
        <w:rPr>
          <w:rFonts w:hint="eastAsia" w:ascii="楷体_GB2312" w:hAnsi="楷体_GB2312" w:eastAsia="楷体_GB2312" w:cs="楷体_GB2312"/>
          <w:b/>
          <w:bCs/>
          <w:sz w:val="32"/>
          <w:szCs w:val="32"/>
          <w:lang w:eastAsia="zh-C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62"/>
        <w:gridCol w:w="2076"/>
      </w:tblGrid>
      <w:tr w14:paraId="6729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2F1F971">
            <w:pPr>
              <w:spacing w:line="432"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eastAsia="zh-CN"/>
              </w:rPr>
              <w:t>序号</w:t>
            </w:r>
          </w:p>
        </w:tc>
        <w:tc>
          <w:tcPr>
            <w:tcW w:w="5662" w:type="dxa"/>
            <w:vAlign w:val="center"/>
          </w:tcPr>
          <w:p w14:paraId="49D7A55D">
            <w:pPr>
              <w:spacing w:line="432"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具体工作内容</w:t>
            </w:r>
          </w:p>
        </w:tc>
        <w:tc>
          <w:tcPr>
            <w:tcW w:w="2076" w:type="dxa"/>
          </w:tcPr>
          <w:p w14:paraId="455CC347">
            <w:pPr>
              <w:spacing w:line="432"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735E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7D444B6">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5662" w:type="dxa"/>
            <w:vAlign w:val="center"/>
          </w:tcPr>
          <w:p w14:paraId="7C7A1FE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检查机组的运行记录</w:t>
            </w:r>
          </w:p>
        </w:tc>
        <w:tc>
          <w:tcPr>
            <w:tcW w:w="2076" w:type="dxa"/>
          </w:tcPr>
          <w:p w14:paraId="05DA06BD">
            <w:pPr>
              <w:spacing w:line="432" w:lineRule="auto"/>
              <w:rPr>
                <w:rFonts w:hint="eastAsia" w:ascii="仿宋_GB2312" w:hAnsi="仿宋_GB2312" w:eastAsia="仿宋_GB2312" w:cs="仿宋_GB2312"/>
                <w:sz w:val="32"/>
                <w:szCs w:val="32"/>
                <w:vertAlign w:val="baseline"/>
                <w:lang w:val="en-US" w:eastAsia="zh-CN"/>
              </w:rPr>
            </w:pPr>
          </w:p>
        </w:tc>
      </w:tr>
      <w:tr w14:paraId="5A52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40BAE82">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5662" w:type="dxa"/>
            <w:vAlign w:val="center"/>
          </w:tcPr>
          <w:p w14:paraId="52B7F43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检查机组运行时冷冻水进出水压力、蒸发压力及冷凝压力是否正常，并进行故障处理</w:t>
            </w:r>
          </w:p>
        </w:tc>
        <w:tc>
          <w:tcPr>
            <w:tcW w:w="2076" w:type="dxa"/>
          </w:tcPr>
          <w:p w14:paraId="6BAB10E7">
            <w:pPr>
              <w:spacing w:line="432" w:lineRule="auto"/>
              <w:rPr>
                <w:rFonts w:hint="eastAsia" w:ascii="仿宋_GB2312" w:hAnsi="仿宋_GB2312" w:eastAsia="仿宋_GB2312" w:cs="仿宋_GB2312"/>
                <w:sz w:val="32"/>
                <w:szCs w:val="32"/>
                <w:vertAlign w:val="baseline"/>
                <w:lang w:val="en-US" w:eastAsia="zh-CN"/>
              </w:rPr>
            </w:pPr>
          </w:p>
        </w:tc>
      </w:tr>
      <w:tr w14:paraId="2C9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7DBDA0D">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5662" w:type="dxa"/>
            <w:vAlign w:val="center"/>
          </w:tcPr>
          <w:p w14:paraId="0A662CC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检查机组温度设定，并进行故障处理</w:t>
            </w:r>
          </w:p>
        </w:tc>
        <w:tc>
          <w:tcPr>
            <w:tcW w:w="2076" w:type="dxa"/>
          </w:tcPr>
          <w:p w14:paraId="411DB5A2">
            <w:pPr>
              <w:spacing w:line="432" w:lineRule="auto"/>
              <w:rPr>
                <w:rFonts w:hint="eastAsia" w:ascii="仿宋_GB2312" w:hAnsi="仿宋_GB2312" w:eastAsia="仿宋_GB2312" w:cs="仿宋_GB2312"/>
                <w:sz w:val="32"/>
                <w:szCs w:val="32"/>
                <w:vertAlign w:val="baseline"/>
                <w:lang w:val="en-US" w:eastAsia="zh-CN"/>
              </w:rPr>
            </w:pPr>
          </w:p>
        </w:tc>
      </w:tr>
      <w:tr w14:paraId="4EEB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6952BC6">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5662" w:type="dxa"/>
            <w:vAlign w:val="center"/>
          </w:tcPr>
          <w:p w14:paraId="7CFA573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检查、调整机组高压安全保护、低压安全保护、过流保护、冻结保护装置，并进行故障处理</w:t>
            </w:r>
          </w:p>
        </w:tc>
        <w:tc>
          <w:tcPr>
            <w:tcW w:w="2076" w:type="dxa"/>
          </w:tcPr>
          <w:p w14:paraId="466C54ED">
            <w:pPr>
              <w:spacing w:line="432" w:lineRule="auto"/>
              <w:rPr>
                <w:rFonts w:hint="eastAsia" w:ascii="仿宋_GB2312" w:hAnsi="仿宋_GB2312" w:eastAsia="仿宋_GB2312" w:cs="仿宋_GB2312"/>
                <w:sz w:val="32"/>
                <w:szCs w:val="32"/>
                <w:vertAlign w:val="baseline"/>
                <w:lang w:val="en-US" w:eastAsia="zh-CN"/>
              </w:rPr>
            </w:pPr>
          </w:p>
        </w:tc>
      </w:tr>
      <w:tr w14:paraId="5856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7D3D60F">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5662" w:type="dxa"/>
            <w:vAlign w:val="center"/>
          </w:tcPr>
          <w:p w14:paraId="7895256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测试、调整机组控制器、感温开关，并进行故障处理</w:t>
            </w:r>
          </w:p>
        </w:tc>
        <w:tc>
          <w:tcPr>
            <w:tcW w:w="2076" w:type="dxa"/>
          </w:tcPr>
          <w:p w14:paraId="241485FF">
            <w:pPr>
              <w:spacing w:line="432" w:lineRule="auto"/>
              <w:rPr>
                <w:rFonts w:hint="eastAsia" w:ascii="仿宋_GB2312" w:hAnsi="仿宋_GB2312" w:eastAsia="仿宋_GB2312" w:cs="仿宋_GB2312"/>
                <w:sz w:val="32"/>
                <w:szCs w:val="32"/>
                <w:vertAlign w:val="baseline"/>
                <w:lang w:val="en-US" w:eastAsia="zh-CN"/>
              </w:rPr>
            </w:pPr>
          </w:p>
        </w:tc>
      </w:tr>
      <w:tr w14:paraId="0189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0AA47E2">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w:t>
            </w:r>
          </w:p>
        </w:tc>
        <w:tc>
          <w:tcPr>
            <w:tcW w:w="5662" w:type="dxa"/>
            <w:vAlign w:val="center"/>
          </w:tcPr>
          <w:p w14:paraId="6E9CA38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检查控制电柜，检查、调节各部份电源电压，对电柜进行清理紧固各接线，并进行故障处理</w:t>
            </w:r>
          </w:p>
        </w:tc>
        <w:tc>
          <w:tcPr>
            <w:tcW w:w="2076" w:type="dxa"/>
          </w:tcPr>
          <w:p w14:paraId="3EBC122A">
            <w:pPr>
              <w:spacing w:line="432" w:lineRule="auto"/>
              <w:rPr>
                <w:rFonts w:hint="eastAsia" w:ascii="仿宋_GB2312" w:hAnsi="仿宋_GB2312" w:eastAsia="仿宋_GB2312" w:cs="仿宋_GB2312"/>
                <w:sz w:val="32"/>
                <w:szCs w:val="32"/>
                <w:vertAlign w:val="baseline"/>
                <w:lang w:val="en-US" w:eastAsia="zh-CN"/>
              </w:rPr>
            </w:pPr>
          </w:p>
        </w:tc>
      </w:tr>
      <w:tr w14:paraId="4BA0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F41A14C">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5662" w:type="dxa"/>
            <w:vAlign w:val="center"/>
          </w:tcPr>
          <w:p w14:paraId="48A71D7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用检漏仪对机组进行检漏，修复漏点，并进行故障处理</w:t>
            </w:r>
          </w:p>
        </w:tc>
        <w:tc>
          <w:tcPr>
            <w:tcW w:w="2076" w:type="dxa"/>
          </w:tcPr>
          <w:p w14:paraId="462F03E1">
            <w:pPr>
              <w:spacing w:line="432" w:lineRule="auto"/>
              <w:rPr>
                <w:rFonts w:hint="eastAsia" w:ascii="仿宋_GB2312" w:hAnsi="仿宋_GB2312" w:eastAsia="仿宋_GB2312" w:cs="仿宋_GB2312"/>
                <w:sz w:val="32"/>
                <w:szCs w:val="32"/>
                <w:vertAlign w:val="baseline"/>
                <w:lang w:val="en-US" w:eastAsia="zh-CN"/>
              </w:rPr>
            </w:pPr>
          </w:p>
        </w:tc>
      </w:tr>
      <w:tr w14:paraId="32EE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86A1869">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8</w:t>
            </w:r>
          </w:p>
        </w:tc>
        <w:tc>
          <w:tcPr>
            <w:tcW w:w="5662" w:type="dxa"/>
            <w:vAlign w:val="center"/>
          </w:tcPr>
          <w:p w14:paraId="34FEE49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运行并监测起动及运行时的噪音、电流是否正常，并进行故障处理</w:t>
            </w:r>
          </w:p>
        </w:tc>
        <w:tc>
          <w:tcPr>
            <w:tcW w:w="2076" w:type="dxa"/>
          </w:tcPr>
          <w:p w14:paraId="5CF7634B">
            <w:pPr>
              <w:spacing w:line="432" w:lineRule="auto"/>
              <w:rPr>
                <w:rFonts w:hint="eastAsia" w:ascii="仿宋_GB2312" w:hAnsi="仿宋_GB2312" w:eastAsia="仿宋_GB2312" w:cs="仿宋_GB2312"/>
                <w:sz w:val="32"/>
                <w:szCs w:val="32"/>
                <w:vertAlign w:val="baseline"/>
                <w:lang w:val="en-US" w:eastAsia="zh-CN"/>
              </w:rPr>
            </w:pPr>
          </w:p>
        </w:tc>
      </w:tr>
      <w:tr w14:paraId="6D20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E688DA2">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w:t>
            </w:r>
          </w:p>
        </w:tc>
        <w:tc>
          <w:tcPr>
            <w:tcW w:w="5662" w:type="dxa"/>
            <w:vAlign w:val="center"/>
          </w:tcPr>
          <w:p w14:paraId="6D746C4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运行时检查机组加载、卸载控制是否正常，必要时进行相应调整</w:t>
            </w:r>
          </w:p>
        </w:tc>
        <w:tc>
          <w:tcPr>
            <w:tcW w:w="2076" w:type="dxa"/>
          </w:tcPr>
          <w:p w14:paraId="43963BA2">
            <w:pPr>
              <w:spacing w:line="432" w:lineRule="auto"/>
              <w:rPr>
                <w:rFonts w:hint="eastAsia" w:ascii="仿宋_GB2312" w:hAnsi="仿宋_GB2312" w:eastAsia="仿宋_GB2312" w:cs="仿宋_GB2312"/>
                <w:sz w:val="32"/>
                <w:szCs w:val="32"/>
                <w:vertAlign w:val="baseline"/>
                <w:lang w:val="en-US" w:eastAsia="zh-CN"/>
              </w:rPr>
            </w:pPr>
          </w:p>
        </w:tc>
      </w:tr>
      <w:tr w14:paraId="6FA0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9FBDDF2">
            <w:pPr>
              <w:spacing w:line="432"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c>
          <w:tcPr>
            <w:tcW w:w="5662" w:type="dxa"/>
            <w:vAlign w:val="center"/>
          </w:tcPr>
          <w:p w14:paraId="05188EC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清洗主机换热器</w:t>
            </w:r>
          </w:p>
        </w:tc>
        <w:tc>
          <w:tcPr>
            <w:tcW w:w="2076" w:type="dxa"/>
          </w:tcPr>
          <w:p w14:paraId="75F8225A">
            <w:pPr>
              <w:spacing w:line="432" w:lineRule="auto"/>
              <w:rPr>
                <w:rFonts w:hint="eastAsia" w:ascii="仿宋_GB2312" w:hAnsi="仿宋_GB2312" w:eastAsia="仿宋_GB2312" w:cs="仿宋_GB2312"/>
                <w:sz w:val="32"/>
                <w:szCs w:val="32"/>
                <w:vertAlign w:val="baseline"/>
                <w:lang w:val="en-US" w:eastAsia="zh-CN"/>
              </w:rPr>
            </w:pPr>
          </w:p>
        </w:tc>
      </w:tr>
    </w:tbl>
    <w:p w14:paraId="4EEF7909">
      <w:pPr>
        <w:spacing w:line="432" w:lineRule="auto"/>
        <w:ind w:firstLine="640" w:firstLineChars="200"/>
        <w:rPr>
          <w:rFonts w:hint="eastAsia" w:ascii="仿宋_GB2312" w:hAnsi="仿宋_GB2312" w:eastAsia="仿宋_GB2312" w:cs="仿宋_GB2312"/>
          <w:sz w:val="32"/>
          <w:szCs w:val="32"/>
          <w:lang w:val="en-US" w:eastAsia="zh-CN"/>
        </w:rPr>
      </w:pPr>
    </w:p>
    <w:p w14:paraId="41519B4B">
      <w:pPr>
        <w:spacing w:line="432" w:lineRule="auto"/>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（二）对户外风冷模块式中央空调主机进行维护检修。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45"/>
        <w:gridCol w:w="2093"/>
      </w:tblGrid>
      <w:tr w14:paraId="32EA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8E05A0">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45" w:type="dxa"/>
            <w:vAlign w:val="center"/>
          </w:tcPr>
          <w:p w14:paraId="219657D0">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093" w:type="dxa"/>
            <w:vAlign w:val="center"/>
          </w:tcPr>
          <w:p w14:paraId="7FE01ED2">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2520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50D4A4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645" w:type="dxa"/>
            <w:vAlign w:val="center"/>
          </w:tcPr>
          <w:p w14:paraId="0DA9A01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清洗主机翅片</w:t>
            </w:r>
          </w:p>
        </w:tc>
        <w:tc>
          <w:tcPr>
            <w:tcW w:w="2093" w:type="dxa"/>
            <w:vAlign w:val="center"/>
          </w:tcPr>
          <w:p w14:paraId="45D69B56">
            <w:pPr>
              <w:spacing w:line="432" w:lineRule="auto"/>
              <w:jc w:val="both"/>
              <w:rPr>
                <w:rFonts w:hint="eastAsia" w:ascii="宋体" w:hAnsi="宋体" w:eastAsia="宋体" w:cs="宋体"/>
                <w:sz w:val="24"/>
                <w:szCs w:val="24"/>
                <w:vertAlign w:val="baseline"/>
                <w:lang w:eastAsia="zh-CN"/>
              </w:rPr>
            </w:pPr>
          </w:p>
        </w:tc>
      </w:tr>
      <w:tr w14:paraId="0F5F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0F6A0E1">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645" w:type="dxa"/>
            <w:vAlign w:val="center"/>
          </w:tcPr>
          <w:p w14:paraId="3C735D1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检查和测试所有运行控制和安全控制功能，并进行故障处理</w:t>
            </w:r>
          </w:p>
        </w:tc>
        <w:tc>
          <w:tcPr>
            <w:tcW w:w="2093" w:type="dxa"/>
            <w:vAlign w:val="center"/>
          </w:tcPr>
          <w:p w14:paraId="244DDDDF">
            <w:pPr>
              <w:spacing w:line="432" w:lineRule="auto"/>
              <w:jc w:val="both"/>
              <w:rPr>
                <w:rFonts w:hint="eastAsia" w:ascii="宋体" w:hAnsi="宋体" w:eastAsia="宋体" w:cs="宋体"/>
                <w:sz w:val="24"/>
                <w:szCs w:val="24"/>
                <w:vertAlign w:val="baseline"/>
                <w:lang w:eastAsia="zh-CN"/>
              </w:rPr>
            </w:pPr>
          </w:p>
        </w:tc>
      </w:tr>
      <w:tr w14:paraId="6DC1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CEC1767">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645" w:type="dxa"/>
            <w:vAlign w:val="center"/>
          </w:tcPr>
          <w:p w14:paraId="430B455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查看机组历史记录</w:t>
            </w:r>
          </w:p>
        </w:tc>
        <w:tc>
          <w:tcPr>
            <w:tcW w:w="2093" w:type="dxa"/>
            <w:vAlign w:val="center"/>
          </w:tcPr>
          <w:p w14:paraId="7BB01170">
            <w:pPr>
              <w:spacing w:line="432" w:lineRule="auto"/>
              <w:jc w:val="both"/>
              <w:rPr>
                <w:rFonts w:hint="eastAsia" w:ascii="宋体" w:hAnsi="宋体" w:eastAsia="宋体" w:cs="宋体"/>
                <w:sz w:val="24"/>
                <w:szCs w:val="24"/>
                <w:vertAlign w:val="baseline"/>
                <w:lang w:eastAsia="zh-CN"/>
              </w:rPr>
            </w:pPr>
          </w:p>
        </w:tc>
      </w:tr>
      <w:tr w14:paraId="490B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A3BBE24">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645" w:type="dxa"/>
            <w:vAlign w:val="center"/>
          </w:tcPr>
          <w:p w14:paraId="5A39108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检查水系统的运行情况，并进行故障处理</w:t>
            </w:r>
          </w:p>
        </w:tc>
        <w:tc>
          <w:tcPr>
            <w:tcW w:w="2093" w:type="dxa"/>
            <w:vAlign w:val="center"/>
          </w:tcPr>
          <w:p w14:paraId="561011A1">
            <w:pPr>
              <w:spacing w:line="432" w:lineRule="auto"/>
              <w:jc w:val="both"/>
              <w:rPr>
                <w:rFonts w:hint="eastAsia" w:ascii="宋体" w:hAnsi="宋体" w:eastAsia="宋体" w:cs="宋体"/>
                <w:sz w:val="24"/>
                <w:szCs w:val="24"/>
                <w:vertAlign w:val="baseline"/>
                <w:lang w:eastAsia="zh-CN"/>
              </w:rPr>
            </w:pPr>
          </w:p>
        </w:tc>
      </w:tr>
      <w:tr w14:paraId="7835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E3A7F98">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645" w:type="dxa"/>
            <w:vAlign w:val="center"/>
          </w:tcPr>
          <w:p w14:paraId="5AE84D9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检查调整微电脑控制中心的设定值</w:t>
            </w:r>
          </w:p>
        </w:tc>
        <w:tc>
          <w:tcPr>
            <w:tcW w:w="2093" w:type="dxa"/>
            <w:vAlign w:val="center"/>
          </w:tcPr>
          <w:p w14:paraId="4324E51D">
            <w:pPr>
              <w:spacing w:line="432" w:lineRule="auto"/>
              <w:jc w:val="both"/>
              <w:rPr>
                <w:rFonts w:hint="eastAsia" w:ascii="宋体" w:hAnsi="宋体" w:eastAsia="宋体" w:cs="宋体"/>
                <w:sz w:val="24"/>
                <w:szCs w:val="24"/>
                <w:vertAlign w:val="baseline"/>
                <w:lang w:eastAsia="zh-CN"/>
              </w:rPr>
            </w:pPr>
          </w:p>
        </w:tc>
      </w:tr>
      <w:tr w14:paraId="6A5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5F762A0">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645" w:type="dxa"/>
            <w:vAlign w:val="center"/>
          </w:tcPr>
          <w:p w14:paraId="30D5712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测试导叶驱动器动作，并进行故障处理</w:t>
            </w:r>
          </w:p>
        </w:tc>
        <w:tc>
          <w:tcPr>
            <w:tcW w:w="2093" w:type="dxa"/>
            <w:vAlign w:val="center"/>
          </w:tcPr>
          <w:p w14:paraId="010B71FF">
            <w:pPr>
              <w:spacing w:line="432" w:lineRule="auto"/>
              <w:jc w:val="both"/>
              <w:rPr>
                <w:rFonts w:hint="eastAsia" w:ascii="宋体" w:hAnsi="宋体" w:eastAsia="宋体" w:cs="宋体"/>
                <w:sz w:val="24"/>
                <w:szCs w:val="24"/>
                <w:vertAlign w:val="baseline"/>
                <w:lang w:eastAsia="zh-CN"/>
              </w:rPr>
            </w:pPr>
          </w:p>
        </w:tc>
      </w:tr>
      <w:tr w14:paraId="3485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D8398E2">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645" w:type="dxa"/>
            <w:vAlign w:val="center"/>
          </w:tcPr>
          <w:p w14:paraId="7BBBDDF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启动冷水机组，检查整个系统的运行状况，记录机组运行参数</w:t>
            </w:r>
          </w:p>
        </w:tc>
        <w:tc>
          <w:tcPr>
            <w:tcW w:w="2093" w:type="dxa"/>
            <w:vAlign w:val="center"/>
          </w:tcPr>
          <w:p w14:paraId="6B8E100D">
            <w:pPr>
              <w:spacing w:line="432" w:lineRule="auto"/>
              <w:jc w:val="both"/>
              <w:rPr>
                <w:rFonts w:hint="eastAsia" w:ascii="宋体" w:hAnsi="宋体" w:eastAsia="宋体" w:cs="宋体"/>
                <w:sz w:val="24"/>
                <w:szCs w:val="24"/>
                <w:vertAlign w:val="baseline"/>
                <w:lang w:eastAsia="zh-CN"/>
              </w:rPr>
            </w:pPr>
          </w:p>
        </w:tc>
      </w:tr>
      <w:tr w14:paraId="5E51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8698BA6">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5645" w:type="dxa"/>
            <w:vAlign w:val="center"/>
          </w:tcPr>
          <w:p w14:paraId="6019F62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根据运行记录，分析处理机组问题</w:t>
            </w:r>
          </w:p>
        </w:tc>
        <w:tc>
          <w:tcPr>
            <w:tcW w:w="2093" w:type="dxa"/>
            <w:vAlign w:val="center"/>
          </w:tcPr>
          <w:p w14:paraId="4CAC5A93">
            <w:pPr>
              <w:spacing w:line="432" w:lineRule="auto"/>
              <w:jc w:val="both"/>
              <w:rPr>
                <w:rFonts w:hint="eastAsia" w:ascii="宋体" w:hAnsi="宋体" w:eastAsia="宋体" w:cs="宋体"/>
                <w:sz w:val="24"/>
                <w:szCs w:val="24"/>
                <w:vertAlign w:val="baseline"/>
                <w:lang w:eastAsia="zh-CN"/>
              </w:rPr>
            </w:pPr>
          </w:p>
        </w:tc>
      </w:tr>
      <w:tr w14:paraId="2CF5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51B94E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5645" w:type="dxa"/>
            <w:vAlign w:val="center"/>
          </w:tcPr>
          <w:p w14:paraId="63A00DC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清洗过滤器</w:t>
            </w:r>
          </w:p>
        </w:tc>
        <w:tc>
          <w:tcPr>
            <w:tcW w:w="2093" w:type="dxa"/>
            <w:vAlign w:val="center"/>
          </w:tcPr>
          <w:p w14:paraId="4706262A">
            <w:pPr>
              <w:spacing w:line="432" w:lineRule="auto"/>
              <w:jc w:val="both"/>
              <w:rPr>
                <w:rFonts w:hint="eastAsia" w:ascii="宋体" w:hAnsi="宋体" w:eastAsia="宋体" w:cs="宋体"/>
                <w:sz w:val="24"/>
                <w:szCs w:val="24"/>
                <w:vertAlign w:val="baseline"/>
                <w:lang w:eastAsia="zh-CN"/>
              </w:rPr>
            </w:pPr>
          </w:p>
        </w:tc>
      </w:tr>
    </w:tbl>
    <w:p w14:paraId="65D7D029">
      <w:pPr>
        <w:spacing w:line="432" w:lineRule="auto"/>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（三）对系统循环水泵进行维护检修。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28"/>
        <w:gridCol w:w="2110"/>
      </w:tblGrid>
      <w:tr w14:paraId="0A7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1B6076">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28" w:type="dxa"/>
            <w:vAlign w:val="center"/>
          </w:tcPr>
          <w:p w14:paraId="7591B398">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10" w:type="dxa"/>
            <w:vAlign w:val="center"/>
          </w:tcPr>
          <w:p w14:paraId="0F701AEA">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09E3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6354078">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628" w:type="dxa"/>
            <w:vAlign w:val="center"/>
          </w:tcPr>
          <w:p w14:paraId="6F97E5A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检查机组常规运行情况，并进行故障处理</w:t>
            </w:r>
          </w:p>
        </w:tc>
        <w:tc>
          <w:tcPr>
            <w:tcW w:w="2110" w:type="dxa"/>
            <w:vAlign w:val="center"/>
          </w:tcPr>
          <w:p w14:paraId="5428AF1C">
            <w:pPr>
              <w:spacing w:line="432" w:lineRule="auto"/>
              <w:jc w:val="both"/>
              <w:rPr>
                <w:rFonts w:hint="eastAsia" w:ascii="宋体" w:hAnsi="宋体" w:eastAsia="宋体" w:cs="宋体"/>
                <w:sz w:val="24"/>
                <w:szCs w:val="24"/>
                <w:vertAlign w:val="baseline"/>
                <w:lang w:eastAsia="zh-CN"/>
              </w:rPr>
            </w:pPr>
          </w:p>
        </w:tc>
      </w:tr>
      <w:tr w14:paraId="5E6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CA2C00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628" w:type="dxa"/>
            <w:vAlign w:val="center"/>
          </w:tcPr>
          <w:p w14:paraId="3DD95A1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停机并对电气回路上锁</w:t>
            </w:r>
          </w:p>
        </w:tc>
        <w:tc>
          <w:tcPr>
            <w:tcW w:w="2110" w:type="dxa"/>
            <w:vAlign w:val="center"/>
          </w:tcPr>
          <w:p w14:paraId="0FB8E90A">
            <w:pPr>
              <w:spacing w:line="432" w:lineRule="auto"/>
              <w:jc w:val="both"/>
              <w:rPr>
                <w:rFonts w:hint="eastAsia" w:ascii="宋体" w:hAnsi="宋体" w:eastAsia="宋体" w:cs="宋体"/>
                <w:sz w:val="24"/>
                <w:szCs w:val="24"/>
                <w:vertAlign w:val="baseline"/>
                <w:lang w:eastAsia="zh-CN"/>
              </w:rPr>
            </w:pPr>
          </w:p>
        </w:tc>
      </w:tr>
      <w:tr w14:paraId="47AF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215F03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628" w:type="dxa"/>
            <w:vAlign w:val="center"/>
          </w:tcPr>
          <w:p w14:paraId="7EF86FC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清洁泵的电机和基座</w:t>
            </w:r>
          </w:p>
        </w:tc>
        <w:tc>
          <w:tcPr>
            <w:tcW w:w="2110" w:type="dxa"/>
            <w:vAlign w:val="center"/>
          </w:tcPr>
          <w:p w14:paraId="1C5F30FD">
            <w:pPr>
              <w:spacing w:line="432" w:lineRule="auto"/>
              <w:jc w:val="both"/>
              <w:rPr>
                <w:rFonts w:hint="eastAsia" w:ascii="宋体" w:hAnsi="宋体" w:eastAsia="宋体" w:cs="宋体"/>
                <w:sz w:val="24"/>
                <w:szCs w:val="24"/>
                <w:vertAlign w:val="baseline"/>
                <w:lang w:eastAsia="zh-CN"/>
              </w:rPr>
            </w:pPr>
          </w:p>
        </w:tc>
      </w:tr>
      <w:tr w14:paraId="71EA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73C873D">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628" w:type="dxa"/>
            <w:vAlign w:val="center"/>
          </w:tcPr>
          <w:p w14:paraId="2B9D240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检查轴的水平，并进行故障处理</w:t>
            </w:r>
          </w:p>
        </w:tc>
        <w:tc>
          <w:tcPr>
            <w:tcW w:w="2110" w:type="dxa"/>
            <w:vAlign w:val="center"/>
          </w:tcPr>
          <w:p w14:paraId="3523DED2">
            <w:pPr>
              <w:spacing w:line="432" w:lineRule="auto"/>
              <w:jc w:val="both"/>
              <w:rPr>
                <w:rFonts w:hint="eastAsia" w:ascii="宋体" w:hAnsi="宋体" w:eastAsia="宋体" w:cs="宋体"/>
                <w:sz w:val="24"/>
                <w:szCs w:val="24"/>
                <w:vertAlign w:val="baseline"/>
                <w:lang w:eastAsia="zh-CN"/>
              </w:rPr>
            </w:pPr>
          </w:p>
        </w:tc>
      </w:tr>
      <w:tr w14:paraId="7500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B2CD791">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628" w:type="dxa"/>
            <w:vAlign w:val="center"/>
          </w:tcPr>
          <w:p w14:paraId="60B3B4D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测量水泵电机绝缘情况，并进行故障处理</w:t>
            </w:r>
          </w:p>
        </w:tc>
        <w:tc>
          <w:tcPr>
            <w:tcW w:w="2110" w:type="dxa"/>
            <w:vAlign w:val="center"/>
          </w:tcPr>
          <w:p w14:paraId="216E7125">
            <w:pPr>
              <w:spacing w:line="432" w:lineRule="auto"/>
              <w:jc w:val="both"/>
              <w:rPr>
                <w:rFonts w:hint="eastAsia" w:ascii="宋体" w:hAnsi="宋体" w:eastAsia="宋体" w:cs="宋体"/>
                <w:sz w:val="24"/>
                <w:szCs w:val="24"/>
                <w:vertAlign w:val="baseline"/>
                <w:lang w:eastAsia="zh-CN"/>
              </w:rPr>
            </w:pPr>
          </w:p>
        </w:tc>
      </w:tr>
      <w:tr w14:paraId="7778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B2DFCBF">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628" w:type="dxa"/>
            <w:vAlign w:val="center"/>
          </w:tcPr>
          <w:p w14:paraId="7C9CDEC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根据需要检查和校正连轴器</w:t>
            </w:r>
          </w:p>
        </w:tc>
        <w:tc>
          <w:tcPr>
            <w:tcW w:w="2110" w:type="dxa"/>
            <w:vAlign w:val="center"/>
          </w:tcPr>
          <w:p w14:paraId="06E2FCD5">
            <w:pPr>
              <w:spacing w:line="432" w:lineRule="auto"/>
              <w:jc w:val="both"/>
              <w:rPr>
                <w:rFonts w:hint="eastAsia" w:ascii="宋体" w:hAnsi="宋体" w:eastAsia="宋体" w:cs="宋体"/>
                <w:sz w:val="24"/>
                <w:szCs w:val="24"/>
                <w:vertAlign w:val="baseline"/>
                <w:lang w:eastAsia="zh-CN"/>
              </w:rPr>
            </w:pPr>
          </w:p>
        </w:tc>
      </w:tr>
      <w:tr w14:paraId="37CE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B4E3590">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628" w:type="dxa"/>
            <w:vAlign w:val="center"/>
          </w:tcPr>
          <w:p w14:paraId="3AD40B1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根据需要检查清洁过滤网，并进行故障处理</w:t>
            </w:r>
          </w:p>
        </w:tc>
        <w:tc>
          <w:tcPr>
            <w:tcW w:w="2110" w:type="dxa"/>
            <w:vAlign w:val="center"/>
          </w:tcPr>
          <w:p w14:paraId="03ED4FA6">
            <w:pPr>
              <w:spacing w:line="432" w:lineRule="auto"/>
              <w:jc w:val="both"/>
              <w:rPr>
                <w:rFonts w:hint="eastAsia" w:ascii="宋体" w:hAnsi="宋体" w:eastAsia="宋体" w:cs="宋体"/>
                <w:sz w:val="24"/>
                <w:szCs w:val="24"/>
                <w:vertAlign w:val="baseline"/>
                <w:lang w:eastAsia="zh-CN"/>
              </w:rPr>
            </w:pPr>
          </w:p>
        </w:tc>
      </w:tr>
      <w:tr w14:paraId="32A3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11CD919">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5628" w:type="dxa"/>
            <w:vAlign w:val="center"/>
          </w:tcPr>
          <w:p w14:paraId="14F5969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用油漆表明机器上铁锈的位置</w:t>
            </w:r>
          </w:p>
        </w:tc>
        <w:tc>
          <w:tcPr>
            <w:tcW w:w="2110" w:type="dxa"/>
            <w:vAlign w:val="center"/>
          </w:tcPr>
          <w:p w14:paraId="0C3DFADE">
            <w:pPr>
              <w:spacing w:line="432" w:lineRule="auto"/>
              <w:jc w:val="both"/>
              <w:rPr>
                <w:rFonts w:hint="eastAsia" w:ascii="宋体" w:hAnsi="宋体" w:eastAsia="宋体" w:cs="宋体"/>
                <w:sz w:val="24"/>
                <w:szCs w:val="24"/>
                <w:vertAlign w:val="baseline"/>
                <w:lang w:eastAsia="zh-CN"/>
              </w:rPr>
            </w:pPr>
          </w:p>
        </w:tc>
      </w:tr>
      <w:tr w14:paraId="7EFD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FE71195">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5628" w:type="dxa"/>
            <w:vAlign w:val="center"/>
          </w:tcPr>
          <w:p w14:paraId="1884D8B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检查电机驱动状况，并进行故障处理</w:t>
            </w:r>
          </w:p>
        </w:tc>
        <w:tc>
          <w:tcPr>
            <w:tcW w:w="2110" w:type="dxa"/>
            <w:vAlign w:val="center"/>
          </w:tcPr>
          <w:p w14:paraId="505614CA">
            <w:pPr>
              <w:spacing w:line="432" w:lineRule="auto"/>
              <w:jc w:val="both"/>
              <w:rPr>
                <w:rFonts w:hint="eastAsia" w:ascii="宋体" w:hAnsi="宋体" w:eastAsia="宋体" w:cs="宋体"/>
                <w:sz w:val="24"/>
                <w:szCs w:val="24"/>
                <w:vertAlign w:val="baseline"/>
                <w:lang w:eastAsia="zh-CN"/>
              </w:rPr>
            </w:pPr>
          </w:p>
        </w:tc>
      </w:tr>
      <w:tr w14:paraId="477B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0BEF8C0">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628" w:type="dxa"/>
            <w:vAlign w:val="center"/>
          </w:tcPr>
          <w:p w14:paraId="0B9A818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检查轴和密封是否泄漏，并进行故障处理</w:t>
            </w:r>
          </w:p>
        </w:tc>
        <w:tc>
          <w:tcPr>
            <w:tcW w:w="2110" w:type="dxa"/>
            <w:vAlign w:val="center"/>
          </w:tcPr>
          <w:p w14:paraId="46F7CA3B">
            <w:pPr>
              <w:spacing w:line="432" w:lineRule="auto"/>
              <w:jc w:val="both"/>
              <w:rPr>
                <w:rFonts w:hint="eastAsia" w:ascii="宋体" w:hAnsi="宋体" w:eastAsia="宋体" w:cs="宋体"/>
                <w:sz w:val="24"/>
                <w:szCs w:val="24"/>
                <w:vertAlign w:val="baseline"/>
                <w:lang w:eastAsia="zh-CN"/>
              </w:rPr>
            </w:pPr>
          </w:p>
        </w:tc>
      </w:tr>
      <w:tr w14:paraId="642A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1A5FE32">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5628" w:type="dxa"/>
            <w:vAlign w:val="center"/>
          </w:tcPr>
          <w:p w14:paraId="789D2F9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清洁密封泵油箱，并进行故障处理</w:t>
            </w:r>
          </w:p>
        </w:tc>
        <w:tc>
          <w:tcPr>
            <w:tcW w:w="2110" w:type="dxa"/>
            <w:vAlign w:val="center"/>
          </w:tcPr>
          <w:p w14:paraId="2A95C87F">
            <w:pPr>
              <w:spacing w:line="432" w:lineRule="auto"/>
              <w:jc w:val="both"/>
              <w:rPr>
                <w:rFonts w:hint="eastAsia" w:ascii="宋体" w:hAnsi="宋体" w:eastAsia="宋体" w:cs="宋体"/>
                <w:sz w:val="24"/>
                <w:szCs w:val="24"/>
                <w:vertAlign w:val="baseline"/>
                <w:lang w:eastAsia="zh-CN"/>
              </w:rPr>
            </w:pPr>
          </w:p>
        </w:tc>
      </w:tr>
      <w:tr w14:paraId="6409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460917C">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5628" w:type="dxa"/>
            <w:vAlign w:val="center"/>
          </w:tcPr>
          <w:p w14:paraId="0CD909B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根据需要清洁泵体及电机表面</w:t>
            </w:r>
          </w:p>
        </w:tc>
        <w:tc>
          <w:tcPr>
            <w:tcW w:w="2110" w:type="dxa"/>
            <w:vAlign w:val="center"/>
          </w:tcPr>
          <w:p w14:paraId="647443F2">
            <w:pPr>
              <w:spacing w:line="432" w:lineRule="auto"/>
              <w:jc w:val="both"/>
              <w:rPr>
                <w:rFonts w:hint="eastAsia" w:ascii="宋体" w:hAnsi="宋体" w:eastAsia="宋体" w:cs="宋体"/>
                <w:sz w:val="24"/>
                <w:szCs w:val="24"/>
                <w:vertAlign w:val="baseline"/>
                <w:lang w:eastAsia="zh-CN"/>
              </w:rPr>
            </w:pPr>
          </w:p>
        </w:tc>
      </w:tr>
      <w:tr w14:paraId="2B6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F24C314">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5628" w:type="dxa"/>
            <w:vAlign w:val="center"/>
          </w:tcPr>
          <w:p w14:paraId="3780C32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根据需要进行润滑</w:t>
            </w:r>
          </w:p>
        </w:tc>
        <w:tc>
          <w:tcPr>
            <w:tcW w:w="2110" w:type="dxa"/>
            <w:vAlign w:val="center"/>
          </w:tcPr>
          <w:p w14:paraId="7A4E5ED7">
            <w:pPr>
              <w:spacing w:line="432" w:lineRule="auto"/>
              <w:jc w:val="both"/>
              <w:rPr>
                <w:rFonts w:hint="eastAsia" w:ascii="宋体" w:hAnsi="宋体" w:eastAsia="宋体" w:cs="宋体"/>
                <w:sz w:val="24"/>
                <w:szCs w:val="24"/>
                <w:vertAlign w:val="baseline"/>
                <w:lang w:eastAsia="zh-CN"/>
              </w:rPr>
            </w:pPr>
          </w:p>
        </w:tc>
      </w:tr>
      <w:tr w14:paraId="2461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49041EE">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5628" w:type="dxa"/>
            <w:vAlign w:val="center"/>
          </w:tcPr>
          <w:p w14:paraId="65290CA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根据要求进行防锈处理，防止设备过早老化</w:t>
            </w:r>
          </w:p>
        </w:tc>
        <w:tc>
          <w:tcPr>
            <w:tcW w:w="2110" w:type="dxa"/>
            <w:vAlign w:val="center"/>
          </w:tcPr>
          <w:p w14:paraId="5FF628F2">
            <w:pPr>
              <w:spacing w:line="432" w:lineRule="auto"/>
              <w:jc w:val="both"/>
              <w:rPr>
                <w:rFonts w:hint="eastAsia" w:ascii="宋体" w:hAnsi="宋体" w:eastAsia="宋体" w:cs="宋体"/>
                <w:sz w:val="24"/>
                <w:szCs w:val="24"/>
                <w:vertAlign w:val="baseline"/>
                <w:lang w:eastAsia="zh-CN"/>
              </w:rPr>
            </w:pPr>
          </w:p>
        </w:tc>
      </w:tr>
      <w:tr w14:paraId="2DE9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EAC7A9">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5628" w:type="dxa"/>
            <w:vAlign w:val="center"/>
          </w:tcPr>
          <w:p w14:paraId="196C70C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固定紧固件</w:t>
            </w:r>
          </w:p>
        </w:tc>
        <w:tc>
          <w:tcPr>
            <w:tcW w:w="2110" w:type="dxa"/>
            <w:vAlign w:val="center"/>
          </w:tcPr>
          <w:p w14:paraId="46E8DEC2">
            <w:pPr>
              <w:spacing w:line="432" w:lineRule="auto"/>
              <w:jc w:val="both"/>
              <w:rPr>
                <w:rFonts w:hint="eastAsia" w:ascii="宋体" w:hAnsi="宋体" w:eastAsia="宋体" w:cs="宋体"/>
                <w:sz w:val="24"/>
                <w:szCs w:val="24"/>
                <w:vertAlign w:val="baseline"/>
                <w:lang w:eastAsia="zh-CN"/>
              </w:rPr>
            </w:pPr>
          </w:p>
        </w:tc>
      </w:tr>
      <w:tr w14:paraId="03FD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FF451D9">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5628" w:type="dxa"/>
            <w:vAlign w:val="center"/>
          </w:tcPr>
          <w:p w14:paraId="5C4FF36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恢复供电</w:t>
            </w:r>
          </w:p>
        </w:tc>
        <w:tc>
          <w:tcPr>
            <w:tcW w:w="2110" w:type="dxa"/>
            <w:vAlign w:val="center"/>
          </w:tcPr>
          <w:p w14:paraId="57F19F55">
            <w:pPr>
              <w:spacing w:line="432" w:lineRule="auto"/>
              <w:jc w:val="both"/>
              <w:rPr>
                <w:rFonts w:hint="eastAsia" w:ascii="宋体" w:hAnsi="宋体" w:eastAsia="宋体" w:cs="宋体"/>
                <w:sz w:val="24"/>
                <w:szCs w:val="24"/>
                <w:vertAlign w:val="baseline"/>
                <w:lang w:eastAsia="zh-CN"/>
              </w:rPr>
            </w:pPr>
          </w:p>
        </w:tc>
      </w:tr>
      <w:tr w14:paraId="52F2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9F8463E">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5628" w:type="dxa"/>
            <w:vAlign w:val="center"/>
          </w:tcPr>
          <w:p w14:paraId="3EB4BB4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启动设备，检查记录设备运行情况</w:t>
            </w:r>
          </w:p>
        </w:tc>
        <w:tc>
          <w:tcPr>
            <w:tcW w:w="2110" w:type="dxa"/>
            <w:vAlign w:val="center"/>
          </w:tcPr>
          <w:p w14:paraId="2FA4E847">
            <w:pPr>
              <w:spacing w:line="432" w:lineRule="auto"/>
              <w:jc w:val="both"/>
              <w:rPr>
                <w:rFonts w:hint="eastAsia" w:ascii="宋体" w:hAnsi="宋体" w:eastAsia="宋体" w:cs="宋体"/>
                <w:sz w:val="24"/>
                <w:szCs w:val="24"/>
                <w:vertAlign w:val="baseline"/>
                <w:lang w:eastAsia="zh-CN"/>
              </w:rPr>
            </w:pPr>
          </w:p>
        </w:tc>
      </w:tr>
      <w:tr w14:paraId="1D50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3AB8D93">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5628" w:type="dxa"/>
            <w:vAlign w:val="center"/>
          </w:tcPr>
          <w:p w14:paraId="2A5FC51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检查电压和电流(满载对比运行)，并进行故障处理</w:t>
            </w:r>
          </w:p>
        </w:tc>
        <w:tc>
          <w:tcPr>
            <w:tcW w:w="2110" w:type="dxa"/>
            <w:vAlign w:val="center"/>
          </w:tcPr>
          <w:p w14:paraId="36E209E8">
            <w:pPr>
              <w:spacing w:line="432" w:lineRule="auto"/>
              <w:jc w:val="both"/>
              <w:rPr>
                <w:rFonts w:hint="eastAsia" w:ascii="宋体" w:hAnsi="宋体" w:eastAsia="宋体" w:cs="宋体"/>
                <w:sz w:val="24"/>
                <w:szCs w:val="24"/>
                <w:vertAlign w:val="baseline"/>
                <w:lang w:eastAsia="zh-CN"/>
              </w:rPr>
            </w:pPr>
          </w:p>
        </w:tc>
      </w:tr>
    </w:tbl>
    <w:p w14:paraId="0C126835">
      <w:pPr>
        <w:spacing w:line="432" w:lineRule="auto"/>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（四）冷却塔系统进行维护检修。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12"/>
        <w:gridCol w:w="2126"/>
      </w:tblGrid>
      <w:tr w14:paraId="28C4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3AB7FCB">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12" w:type="dxa"/>
            <w:vAlign w:val="center"/>
          </w:tcPr>
          <w:p w14:paraId="0F1EB341">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26" w:type="dxa"/>
            <w:vAlign w:val="center"/>
          </w:tcPr>
          <w:p w14:paraId="606F69D4">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21F4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63748B3">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612" w:type="dxa"/>
            <w:vAlign w:val="center"/>
          </w:tcPr>
          <w:p w14:paraId="2FF8887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检查设备常规运行情况，并进行故障处理</w:t>
            </w:r>
          </w:p>
        </w:tc>
        <w:tc>
          <w:tcPr>
            <w:tcW w:w="2126" w:type="dxa"/>
            <w:vAlign w:val="center"/>
          </w:tcPr>
          <w:p w14:paraId="1AAEE95C">
            <w:pPr>
              <w:spacing w:line="432" w:lineRule="auto"/>
              <w:jc w:val="both"/>
              <w:rPr>
                <w:rFonts w:hint="eastAsia" w:ascii="宋体" w:hAnsi="宋体" w:eastAsia="宋体" w:cs="宋体"/>
                <w:sz w:val="24"/>
                <w:szCs w:val="24"/>
                <w:vertAlign w:val="baseline"/>
                <w:lang w:eastAsia="zh-CN"/>
              </w:rPr>
            </w:pPr>
          </w:p>
        </w:tc>
      </w:tr>
      <w:tr w14:paraId="2549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21CAF5D">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612" w:type="dxa"/>
            <w:vAlign w:val="center"/>
          </w:tcPr>
          <w:p w14:paraId="531CD5D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检测所有的接、排水盘和排水管路，并进行故障处理</w:t>
            </w:r>
          </w:p>
        </w:tc>
        <w:tc>
          <w:tcPr>
            <w:tcW w:w="2126" w:type="dxa"/>
            <w:vAlign w:val="center"/>
          </w:tcPr>
          <w:p w14:paraId="02824B76">
            <w:pPr>
              <w:spacing w:line="432" w:lineRule="auto"/>
              <w:jc w:val="both"/>
              <w:rPr>
                <w:rFonts w:hint="eastAsia" w:ascii="宋体" w:hAnsi="宋体" w:eastAsia="宋体" w:cs="宋体"/>
                <w:sz w:val="24"/>
                <w:szCs w:val="24"/>
                <w:vertAlign w:val="baseline"/>
                <w:lang w:eastAsia="zh-CN"/>
              </w:rPr>
            </w:pPr>
          </w:p>
        </w:tc>
      </w:tr>
      <w:tr w14:paraId="718E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17D15F0">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612" w:type="dxa"/>
            <w:vAlign w:val="center"/>
          </w:tcPr>
          <w:p w14:paraId="216096C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清洁所有接、排水盘和排水管路</w:t>
            </w:r>
          </w:p>
        </w:tc>
        <w:tc>
          <w:tcPr>
            <w:tcW w:w="2126" w:type="dxa"/>
            <w:vAlign w:val="center"/>
          </w:tcPr>
          <w:p w14:paraId="51F5F8B1">
            <w:pPr>
              <w:spacing w:line="432" w:lineRule="auto"/>
              <w:jc w:val="both"/>
              <w:rPr>
                <w:rFonts w:hint="eastAsia" w:ascii="宋体" w:hAnsi="宋体" w:eastAsia="宋体" w:cs="宋体"/>
                <w:sz w:val="24"/>
                <w:szCs w:val="24"/>
                <w:vertAlign w:val="baseline"/>
                <w:lang w:eastAsia="zh-CN"/>
              </w:rPr>
            </w:pPr>
          </w:p>
        </w:tc>
      </w:tr>
      <w:tr w14:paraId="4694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10E7E9">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612" w:type="dxa"/>
            <w:vAlign w:val="center"/>
          </w:tcPr>
          <w:p w14:paraId="657405B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检查电机传动机构的运行状况，并进行故障处理</w:t>
            </w:r>
          </w:p>
        </w:tc>
        <w:tc>
          <w:tcPr>
            <w:tcW w:w="2126" w:type="dxa"/>
            <w:vAlign w:val="center"/>
          </w:tcPr>
          <w:p w14:paraId="1B276BDD">
            <w:pPr>
              <w:spacing w:line="432" w:lineRule="auto"/>
              <w:jc w:val="both"/>
              <w:rPr>
                <w:rFonts w:hint="eastAsia" w:ascii="宋体" w:hAnsi="宋体" w:eastAsia="宋体" w:cs="宋体"/>
                <w:sz w:val="24"/>
                <w:szCs w:val="24"/>
                <w:vertAlign w:val="baseline"/>
                <w:lang w:eastAsia="zh-CN"/>
              </w:rPr>
            </w:pPr>
          </w:p>
        </w:tc>
      </w:tr>
      <w:tr w14:paraId="7FC5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827557E">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612" w:type="dxa"/>
            <w:vAlign w:val="center"/>
          </w:tcPr>
          <w:p w14:paraId="0DA8686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检查冷却塔的填料，并进行故障处理</w:t>
            </w:r>
          </w:p>
        </w:tc>
        <w:tc>
          <w:tcPr>
            <w:tcW w:w="2126" w:type="dxa"/>
            <w:vAlign w:val="center"/>
          </w:tcPr>
          <w:p w14:paraId="7FF84716">
            <w:pPr>
              <w:spacing w:line="432" w:lineRule="auto"/>
              <w:jc w:val="both"/>
              <w:rPr>
                <w:rFonts w:hint="eastAsia" w:ascii="宋体" w:hAnsi="宋体" w:eastAsia="宋体" w:cs="宋体"/>
                <w:sz w:val="24"/>
                <w:szCs w:val="24"/>
                <w:vertAlign w:val="baseline"/>
                <w:lang w:eastAsia="zh-CN"/>
              </w:rPr>
            </w:pPr>
          </w:p>
        </w:tc>
      </w:tr>
      <w:tr w14:paraId="713B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5253D03">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612" w:type="dxa"/>
            <w:vAlign w:val="center"/>
          </w:tcPr>
          <w:p w14:paraId="14501E3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检查电机绝缘状况，并进行故障处理</w:t>
            </w:r>
          </w:p>
        </w:tc>
        <w:tc>
          <w:tcPr>
            <w:tcW w:w="2126" w:type="dxa"/>
            <w:vAlign w:val="center"/>
          </w:tcPr>
          <w:p w14:paraId="792355D2">
            <w:pPr>
              <w:spacing w:line="432" w:lineRule="auto"/>
              <w:jc w:val="both"/>
              <w:rPr>
                <w:rFonts w:hint="eastAsia" w:ascii="宋体" w:hAnsi="宋体" w:eastAsia="宋体" w:cs="宋体"/>
                <w:sz w:val="24"/>
                <w:szCs w:val="24"/>
                <w:vertAlign w:val="baseline"/>
                <w:lang w:eastAsia="zh-CN"/>
              </w:rPr>
            </w:pPr>
          </w:p>
        </w:tc>
      </w:tr>
      <w:tr w14:paraId="22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94739DF">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612" w:type="dxa"/>
            <w:vAlign w:val="center"/>
          </w:tcPr>
          <w:p w14:paraId="7561110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检查电机及水塔表面老化状况</w:t>
            </w:r>
          </w:p>
        </w:tc>
        <w:tc>
          <w:tcPr>
            <w:tcW w:w="2126" w:type="dxa"/>
            <w:vAlign w:val="center"/>
          </w:tcPr>
          <w:p w14:paraId="4BA16950">
            <w:pPr>
              <w:spacing w:line="432" w:lineRule="auto"/>
              <w:jc w:val="both"/>
              <w:rPr>
                <w:rFonts w:hint="eastAsia" w:ascii="宋体" w:hAnsi="宋体" w:eastAsia="宋体" w:cs="宋体"/>
                <w:sz w:val="24"/>
                <w:szCs w:val="24"/>
                <w:vertAlign w:val="baseline"/>
                <w:lang w:eastAsia="zh-CN"/>
              </w:rPr>
            </w:pPr>
          </w:p>
        </w:tc>
      </w:tr>
      <w:tr w14:paraId="67C0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432C7A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5612" w:type="dxa"/>
            <w:vAlign w:val="center"/>
          </w:tcPr>
          <w:p w14:paraId="15F3C41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根据需要清理电机及水塔表面污染物</w:t>
            </w:r>
          </w:p>
        </w:tc>
        <w:tc>
          <w:tcPr>
            <w:tcW w:w="2126" w:type="dxa"/>
            <w:vAlign w:val="center"/>
          </w:tcPr>
          <w:p w14:paraId="6DEDCC71">
            <w:pPr>
              <w:spacing w:line="432" w:lineRule="auto"/>
              <w:jc w:val="both"/>
              <w:rPr>
                <w:rFonts w:hint="eastAsia" w:ascii="宋体" w:hAnsi="宋体" w:eastAsia="宋体" w:cs="宋体"/>
                <w:sz w:val="24"/>
                <w:szCs w:val="24"/>
                <w:vertAlign w:val="baseline"/>
                <w:lang w:eastAsia="zh-CN"/>
              </w:rPr>
            </w:pPr>
          </w:p>
        </w:tc>
      </w:tr>
      <w:tr w14:paraId="4AB1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3024323">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5612" w:type="dxa"/>
            <w:vAlign w:val="center"/>
          </w:tcPr>
          <w:p w14:paraId="6AD02EC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根据需要对电机及水塔表面进行防锈处理</w:t>
            </w:r>
          </w:p>
        </w:tc>
        <w:tc>
          <w:tcPr>
            <w:tcW w:w="2126" w:type="dxa"/>
            <w:vAlign w:val="center"/>
          </w:tcPr>
          <w:p w14:paraId="384DFB88">
            <w:pPr>
              <w:spacing w:line="432" w:lineRule="auto"/>
              <w:jc w:val="both"/>
              <w:rPr>
                <w:rFonts w:hint="eastAsia" w:ascii="宋体" w:hAnsi="宋体" w:eastAsia="宋体" w:cs="宋体"/>
                <w:sz w:val="24"/>
                <w:szCs w:val="24"/>
                <w:vertAlign w:val="baseline"/>
                <w:lang w:eastAsia="zh-CN"/>
              </w:rPr>
            </w:pPr>
          </w:p>
        </w:tc>
      </w:tr>
      <w:tr w14:paraId="4537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85ADB55">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612" w:type="dxa"/>
            <w:vAlign w:val="center"/>
          </w:tcPr>
          <w:p w14:paraId="7AA2237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检查电机启动运行状况，并进行故障处理</w:t>
            </w:r>
          </w:p>
        </w:tc>
        <w:tc>
          <w:tcPr>
            <w:tcW w:w="2126" w:type="dxa"/>
            <w:vAlign w:val="center"/>
          </w:tcPr>
          <w:p w14:paraId="60118D5D">
            <w:pPr>
              <w:spacing w:line="432" w:lineRule="auto"/>
              <w:jc w:val="both"/>
              <w:rPr>
                <w:rFonts w:hint="eastAsia" w:ascii="宋体" w:hAnsi="宋体" w:eastAsia="宋体" w:cs="宋体"/>
                <w:sz w:val="24"/>
                <w:szCs w:val="24"/>
                <w:vertAlign w:val="baseline"/>
                <w:lang w:eastAsia="zh-CN"/>
              </w:rPr>
            </w:pPr>
          </w:p>
        </w:tc>
      </w:tr>
      <w:tr w14:paraId="76F3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B66B268">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5612" w:type="dxa"/>
            <w:vAlign w:val="center"/>
          </w:tcPr>
          <w:p w14:paraId="012A1F7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检查所有紧固件，并进行故障处理</w:t>
            </w:r>
          </w:p>
        </w:tc>
        <w:tc>
          <w:tcPr>
            <w:tcW w:w="2126" w:type="dxa"/>
            <w:vAlign w:val="center"/>
          </w:tcPr>
          <w:p w14:paraId="4031BC5A">
            <w:pPr>
              <w:spacing w:line="432" w:lineRule="auto"/>
              <w:jc w:val="both"/>
              <w:rPr>
                <w:rFonts w:hint="eastAsia" w:ascii="宋体" w:hAnsi="宋体" w:eastAsia="宋体" w:cs="宋体"/>
                <w:sz w:val="24"/>
                <w:szCs w:val="24"/>
                <w:vertAlign w:val="baseline"/>
                <w:lang w:eastAsia="zh-CN"/>
              </w:rPr>
            </w:pPr>
          </w:p>
        </w:tc>
      </w:tr>
      <w:tr w14:paraId="7332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A9EC545">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5612" w:type="dxa"/>
            <w:vAlign w:val="center"/>
          </w:tcPr>
          <w:p w14:paraId="6B57FE0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检查布水器组件，并进行故障处理</w:t>
            </w:r>
          </w:p>
        </w:tc>
        <w:tc>
          <w:tcPr>
            <w:tcW w:w="2126" w:type="dxa"/>
            <w:vAlign w:val="center"/>
          </w:tcPr>
          <w:p w14:paraId="151015E0">
            <w:pPr>
              <w:spacing w:line="432" w:lineRule="auto"/>
              <w:jc w:val="both"/>
              <w:rPr>
                <w:rFonts w:hint="eastAsia" w:ascii="宋体" w:hAnsi="宋体" w:eastAsia="宋体" w:cs="宋体"/>
                <w:sz w:val="24"/>
                <w:szCs w:val="24"/>
                <w:vertAlign w:val="baseline"/>
                <w:lang w:eastAsia="zh-CN"/>
              </w:rPr>
            </w:pPr>
          </w:p>
        </w:tc>
      </w:tr>
      <w:tr w14:paraId="7E0C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92744C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5612" w:type="dxa"/>
            <w:vAlign w:val="center"/>
          </w:tcPr>
          <w:p w14:paraId="74FF994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检查起动电缆和控制元件，并进行故障处理</w:t>
            </w:r>
          </w:p>
        </w:tc>
        <w:tc>
          <w:tcPr>
            <w:tcW w:w="2126" w:type="dxa"/>
            <w:vAlign w:val="center"/>
          </w:tcPr>
          <w:p w14:paraId="73EE5B86">
            <w:pPr>
              <w:spacing w:line="432" w:lineRule="auto"/>
              <w:jc w:val="both"/>
              <w:rPr>
                <w:rFonts w:hint="eastAsia" w:ascii="宋体" w:hAnsi="宋体" w:eastAsia="宋体" w:cs="宋体"/>
                <w:sz w:val="24"/>
                <w:szCs w:val="24"/>
                <w:vertAlign w:val="baseline"/>
                <w:lang w:eastAsia="zh-CN"/>
              </w:rPr>
            </w:pPr>
          </w:p>
        </w:tc>
      </w:tr>
      <w:tr w14:paraId="0BDE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966F873">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5612" w:type="dxa"/>
            <w:vAlign w:val="center"/>
          </w:tcPr>
          <w:p w14:paraId="67B22A9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清洁吸气室的灰尘和碎屑</w:t>
            </w:r>
          </w:p>
        </w:tc>
        <w:tc>
          <w:tcPr>
            <w:tcW w:w="2126" w:type="dxa"/>
            <w:vAlign w:val="center"/>
          </w:tcPr>
          <w:p w14:paraId="09E1DA69">
            <w:pPr>
              <w:spacing w:line="432" w:lineRule="auto"/>
              <w:jc w:val="both"/>
              <w:rPr>
                <w:rFonts w:hint="eastAsia" w:ascii="宋体" w:hAnsi="宋体" w:eastAsia="宋体" w:cs="宋体"/>
                <w:sz w:val="24"/>
                <w:szCs w:val="24"/>
                <w:vertAlign w:val="baseline"/>
                <w:lang w:eastAsia="zh-CN"/>
              </w:rPr>
            </w:pPr>
          </w:p>
        </w:tc>
      </w:tr>
      <w:tr w14:paraId="034F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7D2749B">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5612" w:type="dxa"/>
            <w:vAlign w:val="center"/>
          </w:tcPr>
          <w:p w14:paraId="4F4E90B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清洁喷嘴</w:t>
            </w:r>
          </w:p>
        </w:tc>
        <w:tc>
          <w:tcPr>
            <w:tcW w:w="2126" w:type="dxa"/>
            <w:vAlign w:val="center"/>
          </w:tcPr>
          <w:p w14:paraId="7328B74D">
            <w:pPr>
              <w:spacing w:line="432" w:lineRule="auto"/>
              <w:jc w:val="both"/>
              <w:rPr>
                <w:rFonts w:hint="eastAsia" w:ascii="宋体" w:hAnsi="宋体" w:eastAsia="宋体" w:cs="宋体"/>
                <w:sz w:val="24"/>
                <w:szCs w:val="24"/>
                <w:vertAlign w:val="baseline"/>
                <w:lang w:eastAsia="zh-CN"/>
              </w:rPr>
            </w:pPr>
          </w:p>
        </w:tc>
      </w:tr>
      <w:tr w14:paraId="78D5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D2CCBD1">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5612" w:type="dxa"/>
            <w:vAlign w:val="center"/>
          </w:tcPr>
          <w:p w14:paraId="17B4420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清洁过滤网</w:t>
            </w:r>
          </w:p>
        </w:tc>
        <w:tc>
          <w:tcPr>
            <w:tcW w:w="2126" w:type="dxa"/>
            <w:vAlign w:val="center"/>
          </w:tcPr>
          <w:p w14:paraId="495FE1E9">
            <w:pPr>
              <w:spacing w:line="432" w:lineRule="auto"/>
              <w:jc w:val="both"/>
              <w:rPr>
                <w:rFonts w:hint="eastAsia" w:ascii="宋体" w:hAnsi="宋体" w:eastAsia="宋体" w:cs="宋体"/>
                <w:sz w:val="24"/>
                <w:szCs w:val="24"/>
                <w:vertAlign w:val="baseline"/>
                <w:lang w:eastAsia="zh-CN"/>
              </w:rPr>
            </w:pPr>
          </w:p>
        </w:tc>
      </w:tr>
      <w:tr w14:paraId="07B2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D43E551">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5612" w:type="dxa"/>
            <w:vAlign w:val="center"/>
          </w:tcPr>
          <w:p w14:paraId="292AE44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根据需要进行润滑</w:t>
            </w:r>
          </w:p>
        </w:tc>
        <w:tc>
          <w:tcPr>
            <w:tcW w:w="2126" w:type="dxa"/>
            <w:vAlign w:val="center"/>
          </w:tcPr>
          <w:p w14:paraId="7CAC464E">
            <w:pPr>
              <w:spacing w:line="432" w:lineRule="auto"/>
              <w:jc w:val="both"/>
              <w:rPr>
                <w:rFonts w:hint="eastAsia" w:ascii="宋体" w:hAnsi="宋体" w:eastAsia="宋体" w:cs="宋体"/>
                <w:sz w:val="24"/>
                <w:szCs w:val="24"/>
                <w:vertAlign w:val="baseline"/>
                <w:lang w:eastAsia="zh-CN"/>
              </w:rPr>
            </w:pPr>
          </w:p>
        </w:tc>
      </w:tr>
      <w:tr w14:paraId="47FF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83572B">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5612" w:type="dxa"/>
            <w:vAlign w:val="center"/>
          </w:tcPr>
          <w:p w14:paraId="3B0F136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固定紧固件</w:t>
            </w:r>
          </w:p>
        </w:tc>
        <w:tc>
          <w:tcPr>
            <w:tcW w:w="2126" w:type="dxa"/>
            <w:vAlign w:val="center"/>
          </w:tcPr>
          <w:p w14:paraId="7DDA462C">
            <w:pPr>
              <w:spacing w:line="432" w:lineRule="auto"/>
              <w:jc w:val="both"/>
              <w:rPr>
                <w:rFonts w:hint="eastAsia" w:ascii="宋体" w:hAnsi="宋体" w:eastAsia="宋体" w:cs="宋体"/>
                <w:sz w:val="24"/>
                <w:szCs w:val="24"/>
                <w:vertAlign w:val="baseline"/>
                <w:lang w:eastAsia="zh-CN"/>
              </w:rPr>
            </w:pPr>
          </w:p>
        </w:tc>
      </w:tr>
      <w:tr w14:paraId="61D7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74AF4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5612" w:type="dxa"/>
            <w:vAlign w:val="center"/>
          </w:tcPr>
          <w:p w14:paraId="11F06D6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启动设备，检查记录设备运行情况</w:t>
            </w:r>
          </w:p>
        </w:tc>
        <w:tc>
          <w:tcPr>
            <w:tcW w:w="2126" w:type="dxa"/>
            <w:vAlign w:val="center"/>
          </w:tcPr>
          <w:p w14:paraId="7FEAF957">
            <w:pPr>
              <w:spacing w:line="432" w:lineRule="auto"/>
              <w:jc w:val="both"/>
              <w:rPr>
                <w:rFonts w:hint="eastAsia" w:ascii="宋体" w:hAnsi="宋体" w:eastAsia="宋体" w:cs="宋体"/>
                <w:sz w:val="24"/>
                <w:szCs w:val="24"/>
                <w:vertAlign w:val="baseline"/>
                <w:lang w:eastAsia="zh-CN"/>
              </w:rPr>
            </w:pPr>
          </w:p>
        </w:tc>
      </w:tr>
    </w:tbl>
    <w:p w14:paraId="26D097A3">
      <w:pPr>
        <w:spacing w:line="432" w:lineRule="auto"/>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（五）对室内控制系统（强弱电系统）进行检修维护。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595"/>
        <w:gridCol w:w="2143"/>
      </w:tblGrid>
      <w:tr w14:paraId="5006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281B2C6">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595" w:type="dxa"/>
            <w:vAlign w:val="center"/>
          </w:tcPr>
          <w:p w14:paraId="03117829">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43" w:type="dxa"/>
            <w:vAlign w:val="center"/>
          </w:tcPr>
          <w:p w14:paraId="138AD5D8">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43C6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996FEFF">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595" w:type="dxa"/>
            <w:vAlign w:val="center"/>
          </w:tcPr>
          <w:p w14:paraId="763DDB5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分析系统运行记录 </w:t>
            </w:r>
          </w:p>
        </w:tc>
        <w:tc>
          <w:tcPr>
            <w:tcW w:w="2143" w:type="dxa"/>
            <w:vAlign w:val="center"/>
          </w:tcPr>
          <w:p w14:paraId="3E385E4E">
            <w:pPr>
              <w:spacing w:line="432" w:lineRule="auto"/>
              <w:jc w:val="both"/>
              <w:rPr>
                <w:rFonts w:hint="eastAsia" w:ascii="宋体" w:hAnsi="宋体" w:eastAsia="宋体" w:cs="宋体"/>
                <w:sz w:val="24"/>
                <w:szCs w:val="24"/>
                <w:vertAlign w:val="baseline"/>
                <w:lang w:eastAsia="zh-CN"/>
              </w:rPr>
            </w:pPr>
          </w:p>
        </w:tc>
      </w:tr>
      <w:tr w14:paraId="34DE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1081D95">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595" w:type="dxa"/>
            <w:vAlign w:val="center"/>
          </w:tcPr>
          <w:p w14:paraId="18C9A18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查看最近故障记录并及时消除</w:t>
            </w:r>
          </w:p>
        </w:tc>
        <w:tc>
          <w:tcPr>
            <w:tcW w:w="2143" w:type="dxa"/>
            <w:vAlign w:val="center"/>
          </w:tcPr>
          <w:p w14:paraId="75A94C94">
            <w:pPr>
              <w:spacing w:line="432" w:lineRule="auto"/>
              <w:jc w:val="both"/>
              <w:rPr>
                <w:rFonts w:hint="eastAsia" w:ascii="宋体" w:hAnsi="宋体" w:eastAsia="宋体" w:cs="宋体"/>
                <w:sz w:val="24"/>
                <w:szCs w:val="24"/>
                <w:vertAlign w:val="baseline"/>
                <w:lang w:eastAsia="zh-CN"/>
              </w:rPr>
            </w:pPr>
          </w:p>
        </w:tc>
      </w:tr>
      <w:tr w14:paraId="1DCB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36E384D">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595" w:type="dxa"/>
            <w:vAlign w:val="center"/>
          </w:tcPr>
          <w:p w14:paraId="744F858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检查变频器运行温度，并进行故障处理</w:t>
            </w:r>
          </w:p>
        </w:tc>
        <w:tc>
          <w:tcPr>
            <w:tcW w:w="2143" w:type="dxa"/>
            <w:vAlign w:val="center"/>
          </w:tcPr>
          <w:p w14:paraId="7934C630">
            <w:pPr>
              <w:spacing w:line="432" w:lineRule="auto"/>
              <w:jc w:val="both"/>
              <w:rPr>
                <w:rFonts w:hint="eastAsia" w:ascii="宋体" w:hAnsi="宋体" w:eastAsia="宋体" w:cs="宋体"/>
                <w:sz w:val="24"/>
                <w:szCs w:val="24"/>
                <w:vertAlign w:val="baseline"/>
                <w:lang w:eastAsia="zh-CN"/>
              </w:rPr>
            </w:pPr>
          </w:p>
        </w:tc>
      </w:tr>
      <w:tr w14:paraId="7B40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B1C1F3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595" w:type="dxa"/>
            <w:vAlign w:val="center"/>
          </w:tcPr>
          <w:p w14:paraId="4B5C918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检查变频器显示LED数码管，并进行故障处理</w:t>
            </w:r>
          </w:p>
        </w:tc>
        <w:tc>
          <w:tcPr>
            <w:tcW w:w="2143" w:type="dxa"/>
            <w:vAlign w:val="center"/>
          </w:tcPr>
          <w:p w14:paraId="1E39CA67">
            <w:pPr>
              <w:spacing w:line="432" w:lineRule="auto"/>
              <w:jc w:val="both"/>
              <w:rPr>
                <w:rFonts w:hint="eastAsia" w:ascii="宋体" w:hAnsi="宋体" w:eastAsia="宋体" w:cs="宋体"/>
                <w:sz w:val="24"/>
                <w:szCs w:val="24"/>
                <w:vertAlign w:val="baseline"/>
                <w:lang w:eastAsia="zh-CN"/>
              </w:rPr>
            </w:pPr>
          </w:p>
        </w:tc>
      </w:tr>
      <w:tr w14:paraId="4661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651F4C5">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595" w:type="dxa"/>
            <w:vAlign w:val="center"/>
          </w:tcPr>
          <w:p w14:paraId="45653CC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检查变频器电位器，并进行故障处理</w:t>
            </w:r>
          </w:p>
        </w:tc>
        <w:tc>
          <w:tcPr>
            <w:tcW w:w="2143" w:type="dxa"/>
            <w:vAlign w:val="center"/>
          </w:tcPr>
          <w:p w14:paraId="2958F4D5">
            <w:pPr>
              <w:spacing w:line="432" w:lineRule="auto"/>
              <w:jc w:val="both"/>
              <w:rPr>
                <w:rFonts w:hint="eastAsia" w:ascii="宋体" w:hAnsi="宋体" w:eastAsia="宋体" w:cs="宋体"/>
                <w:sz w:val="24"/>
                <w:szCs w:val="24"/>
                <w:vertAlign w:val="baseline"/>
                <w:lang w:eastAsia="zh-CN"/>
              </w:rPr>
            </w:pPr>
          </w:p>
        </w:tc>
      </w:tr>
      <w:tr w14:paraId="1FC2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C15320F">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595" w:type="dxa"/>
            <w:vAlign w:val="center"/>
          </w:tcPr>
          <w:p w14:paraId="542681D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清洁配电装置的内外部</w:t>
            </w:r>
          </w:p>
        </w:tc>
        <w:tc>
          <w:tcPr>
            <w:tcW w:w="2143" w:type="dxa"/>
            <w:vAlign w:val="center"/>
          </w:tcPr>
          <w:p w14:paraId="1EEB6EC8">
            <w:pPr>
              <w:spacing w:line="432" w:lineRule="auto"/>
              <w:jc w:val="both"/>
              <w:rPr>
                <w:rFonts w:hint="eastAsia" w:ascii="宋体" w:hAnsi="宋体" w:eastAsia="宋体" w:cs="宋体"/>
                <w:sz w:val="24"/>
                <w:szCs w:val="24"/>
                <w:vertAlign w:val="baseline"/>
                <w:lang w:eastAsia="zh-CN"/>
              </w:rPr>
            </w:pPr>
          </w:p>
        </w:tc>
      </w:tr>
      <w:tr w14:paraId="5E49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EC2FFD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595" w:type="dxa"/>
            <w:vAlign w:val="center"/>
          </w:tcPr>
          <w:p w14:paraId="1A16241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检查电线电缆，并进行故障处理</w:t>
            </w:r>
          </w:p>
        </w:tc>
        <w:tc>
          <w:tcPr>
            <w:tcW w:w="2143" w:type="dxa"/>
            <w:vAlign w:val="center"/>
          </w:tcPr>
          <w:p w14:paraId="07B91DA1">
            <w:pPr>
              <w:spacing w:line="432" w:lineRule="auto"/>
              <w:jc w:val="both"/>
              <w:rPr>
                <w:rFonts w:hint="eastAsia" w:ascii="宋体" w:hAnsi="宋体" w:eastAsia="宋体" w:cs="宋体"/>
                <w:sz w:val="24"/>
                <w:szCs w:val="24"/>
                <w:vertAlign w:val="baseline"/>
                <w:lang w:eastAsia="zh-CN"/>
              </w:rPr>
            </w:pPr>
          </w:p>
        </w:tc>
      </w:tr>
      <w:tr w14:paraId="2A4C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29A5BE9">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5595" w:type="dxa"/>
            <w:vAlign w:val="center"/>
          </w:tcPr>
          <w:p w14:paraId="699D891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检查控制信号线，并进行故障处理</w:t>
            </w:r>
          </w:p>
        </w:tc>
        <w:tc>
          <w:tcPr>
            <w:tcW w:w="2143" w:type="dxa"/>
            <w:vAlign w:val="center"/>
          </w:tcPr>
          <w:p w14:paraId="4033AB11">
            <w:pPr>
              <w:spacing w:line="432" w:lineRule="auto"/>
              <w:jc w:val="both"/>
              <w:rPr>
                <w:rFonts w:hint="eastAsia" w:ascii="宋体" w:hAnsi="宋体" w:eastAsia="宋体" w:cs="宋体"/>
                <w:sz w:val="24"/>
                <w:szCs w:val="24"/>
                <w:vertAlign w:val="baseline"/>
                <w:lang w:eastAsia="zh-CN"/>
              </w:rPr>
            </w:pPr>
          </w:p>
        </w:tc>
      </w:tr>
      <w:tr w14:paraId="0A83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7FD5801">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5595" w:type="dxa"/>
            <w:vAlign w:val="center"/>
          </w:tcPr>
          <w:p w14:paraId="62DA3FB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检查电气操作机构，并进行故障处理</w:t>
            </w:r>
          </w:p>
        </w:tc>
        <w:tc>
          <w:tcPr>
            <w:tcW w:w="2143" w:type="dxa"/>
            <w:vAlign w:val="center"/>
          </w:tcPr>
          <w:p w14:paraId="168E9BCB">
            <w:pPr>
              <w:spacing w:line="432" w:lineRule="auto"/>
              <w:jc w:val="both"/>
              <w:rPr>
                <w:rFonts w:hint="eastAsia" w:ascii="宋体" w:hAnsi="宋体" w:eastAsia="宋体" w:cs="宋体"/>
                <w:sz w:val="24"/>
                <w:szCs w:val="24"/>
                <w:vertAlign w:val="baseline"/>
                <w:lang w:eastAsia="zh-CN"/>
              </w:rPr>
            </w:pPr>
          </w:p>
        </w:tc>
      </w:tr>
      <w:tr w14:paraId="6461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B13667E">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595" w:type="dxa"/>
            <w:vAlign w:val="center"/>
          </w:tcPr>
          <w:p w14:paraId="0A4792D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检查按钮控制开关，并进行故障处理</w:t>
            </w:r>
          </w:p>
        </w:tc>
        <w:tc>
          <w:tcPr>
            <w:tcW w:w="2143" w:type="dxa"/>
            <w:vAlign w:val="center"/>
          </w:tcPr>
          <w:p w14:paraId="6065A047">
            <w:pPr>
              <w:spacing w:line="432" w:lineRule="auto"/>
              <w:jc w:val="both"/>
              <w:rPr>
                <w:rFonts w:hint="eastAsia" w:ascii="宋体" w:hAnsi="宋体" w:eastAsia="宋体" w:cs="宋体"/>
                <w:sz w:val="24"/>
                <w:szCs w:val="24"/>
                <w:vertAlign w:val="baseline"/>
                <w:lang w:eastAsia="zh-CN"/>
              </w:rPr>
            </w:pPr>
          </w:p>
        </w:tc>
      </w:tr>
      <w:tr w14:paraId="35A6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2CB3D9D">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5595" w:type="dxa"/>
            <w:vAlign w:val="center"/>
          </w:tcPr>
          <w:p w14:paraId="6E55479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检查指示灯，并进行故障处理</w:t>
            </w:r>
          </w:p>
        </w:tc>
        <w:tc>
          <w:tcPr>
            <w:tcW w:w="2143" w:type="dxa"/>
            <w:vAlign w:val="center"/>
          </w:tcPr>
          <w:p w14:paraId="605F1711">
            <w:pPr>
              <w:spacing w:line="432" w:lineRule="auto"/>
              <w:jc w:val="both"/>
              <w:rPr>
                <w:rFonts w:hint="eastAsia" w:ascii="宋体" w:hAnsi="宋体" w:eastAsia="宋体" w:cs="宋体"/>
                <w:sz w:val="24"/>
                <w:szCs w:val="24"/>
                <w:vertAlign w:val="baseline"/>
                <w:lang w:eastAsia="zh-CN"/>
              </w:rPr>
            </w:pPr>
          </w:p>
        </w:tc>
      </w:tr>
      <w:tr w14:paraId="729D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56FA9AE">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5595" w:type="dxa"/>
            <w:vAlign w:val="center"/>
          </w:tcPr>
          <w:p w14:paraId="6A4313D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检查接地装置是否良好，并进行故障处理                                     </w:t>
            </w:r>
          </w:p>
        </w:tc>
        <w:tc>
          <w:tcPr>
            <w:tcW w:w="2143" w:type="dxa"/>
            <w:vAlign w:val="center"/>
          </w:tcPr>
          <w:p w14:paraId="1E78E90E">
            <w:pPr>
              <w:spacing w:line="432" w:lineRule="auto"/>
              <w:jc w:val="both"/>
              <w:rPr>
                <w:rFonts w:hint="eastAsia" w:ascii="宋体" w:hAnsi="宋体" w:eastAsia="宋体" w:cs="宋体"/>
                <w:sz w:val="24"/>
                <w:szCs w:val="24"/>
                <w:vertAlign w:val="baseline"/>
                <w:lang w:eastAsia="zh-CN"/>
              </w:rPr>
            </w:pPr>
          </w:p>
        </w:tc>
      </w:tr>
      <w:tr w14:paraId="4C57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550B8D8">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5595" w:type="dxa"/>
            <w:vAlign w:val="center"/>
          </w:tcPr>
          <w:p w14:paraId="5965DFF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检查交流接触器 ，并进行故障处理                                     </w:t>
            </w:r>
          </w:p>
        </w:tc>
        <w:tc>
          <w:tcPr>
            <w:tcW w:w="2143" w:type="dxa"/>
            <w:vAlign w:val="center"/>
          </w:tcPr>
          <w:p w14:paraId="10215929">
            <w:pPr>
              <w:spacing w:line="432" w:lineRule="auto"/>
              <w:jc w:val="both"/>
              <w:rPr>
                <w:rFonts w:hint="eastAsia" w:ascii="宋体" w:hAnsi="宋体" w:eastAsia="宋体" w:cs="宋体"/>
                <w:sz w:val="24"/>
                <w:szCs w:val="24"/>
                <w:vertAlign w:val="baseline"/>
                <w:lang w:eastAsia="zh-CN"/>
              </w:rPr>
            </w:pPr>
          </w:p>
        </w:tc>
      </w:tr>
      <w:tr w14:paraId="6BE9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5EAD5E6">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5595" w:type="dxa"/>
            <w:vAlign w:val="center"/>
          </w:tcPr>
          <w:p w14:paraId="54D3A87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检查热继电器 ，并进行故障处理                                       </w:t>
            </w:r>
          </w:p>
        </w:tc>
        <w:tc>
          <w:tcPr>
            <w:tcW w:w="2143" w:type="dxa"/>
            <w:vAlign w:val="center"/>
          </w:tcPr>
          <w:p w14:paraId="7105203C">
            <w:pPr>
              <w:spacing w:line="432" w:lineRule="auto"/>
              <w:jc w:val="both"/>
              <w:rPr>
                <w:rFonts w:hint="eastAsia" w:ascii="宋体" w:hAnsi="宋体" w:eastAsia="宋体" w:cs="宋体"/>
                <w:sz w:val="24"/>
                <w:szCs w:val="24"/>
                <w:vertAlign w:val="baseline"/>
                <w:lang w:eastAsia="zh-CN"/>
              </w:rPr>
            </w:pPr>
          </w:p>
        </w:tc>
      </w:tr>
      <w:tr w14:paraId="4AF8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115DFD6">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5595" w:type="dxa"/>
            <w:vAlign w:val="center"/>
          </w:tcPr>
          <w:p w14:paraId="3385B37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检查中间继电器 ，并进行故障处理                                      </w:t>
            </w:r>
          </w:p>
        </w:tc>
        <w:tc>
          <w:tcPr>
            <w:tcW w:w="2143" w:type="dxa"/>
            <w:vAlign w:val="center"/>
          </w:tcPr>
          <w:p w14:paraId="5ED313C0">
            <w:pPr>
              <w:spacing w:line="432" w:lineRule="auto"/>
              <w:jc w:val="both"/>
              <w:rPr>
                <w:rFonts w:hint="eastAsia" w:ascii="宋体" w:hAnsi="宋体" w:eastAsia="宋体" w:cs="宋体"/>
                <w:sz w:val="24"/>
                <w:szCs w:val="24"/>
                <w:vertAlign w:val="baseline"/>
                <w:lang w:eastAsia="zh-CN"/>
              </w:rPr>
            </w:pPr>
          </w:p>
        </w:tc>
      </w:tr>
      <w:tr w14:paraId="57AD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149DE74">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5595" w:type="dxa"/>
            <w:vAlign w:val="center"/>
          </w:tcPr>
          <w:p w14:paraId="378966A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电能表的电量记录                                     </w:t>
            </w:r>
          </w:p>
        </w:tc>
        <w:tc>
          <w:tcPr>
            <w:tcW w:w="2143" w:type="dxa"/>
            <w:vAlign w:val="center"/>
          </w:tcPr>
          <w:p w14:paraId="1059B866">
            <w:pPr>
              <w:spacing w:line="432" w:lineRule="auto"/>
              <w:jc w:val="both"/>
              <w:rPr>
                <w:rFonts w:hint="eastAsia" w:ascii="宋体" w:hAnsi="宋体" w:eastAsia="宋体" w:cs="宋体"/>
                <w:sz w:val="24"/>
                <w:szCs w:val="24"/>
                <w:vertAlign w:val="baseline"/>
                <w:lang w:eastAsia="zh-CN"/>
              </w:rPr>
            </w:pPr>
          </w:p>
        </w:tc>
      </w:tr>
      <w:tr w14:paraId="32E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8F8A98">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5595" w:type="dxa"/>
            <w:vAlign w:val="center"/>
          </w:tcPr>
          <w:p w14:paraId="7F03185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检查PLC的电池电量                                       </w:t>
            </w:r>
          </w:p>
        </w:tc>
        <w:tc>
          <w:tcPr>
            <w:tcW w:w="2143" w:type="dxa"/>
            <w:vAlign w:val="center"/>
          </w:tcPr>
          <w:p w14:paraId="547F1C70">
            <w:pPr>
              <w:spacing w:line="432" w:lineRule="auto"/>
              <w:jc w:val="both"/>
              <w:rPr>
                <w:rFonts w:hint="eastAsia" w:ascii="宋体" w:hAnsi="宋体" w:eastAsia="宋体" w:cs="宋体"/>
                <w:sz w:val="24"/>
                <w:szCs w:val="24"/>
                <w:vertAlign w:val="baseline"/>
                <w:lang w:eastAsia="zh-CN"/>
              </w:rPr>
            </w:pPr>
          </w:p>
        </w:tc>
      </w:tr>
      <w:tr w14:paraId="5437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E33988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5595" w:type="dxa"/>
            <w:vAlign w:val="center"/>
          </w:tcPr>
          <w:p w14:paraId="7589998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检查PLC输入电压                                         </w:t>
            </w:r>
          </w:p>
        </w:tc>
        <w:tc>
          <w:tcPr>
            <w:tcW w:w="2143" w:type="dxa"/>
            <w:vAlign w:val="center"/>
          </w:tcPr>
          <w:p w14:paraId="65E32BCC">
            <w:pPr>
              <w:spacing w:line="432" w:lineRule="auto"/>
              <w:jc w:val="both"/>
              <w:rPr>
                <w:rFonts w:hint="eastAsia" w:ascii="宋体" w:hAnsi="宋体" w:eastAsia="宋体" w:cs="宋体"/>
                <w:sz w:val="24"/>
                <w:szCs w:val="24"/>
                <w:vertAlign w:val="baseline"/>
                <w:lang w:eastAsia="zh-CN"/>
              </w:rPr>
            </w:pPr>
          </w:p>
        </w:tc>
      </w:tr>
      <w:tr w14:paraId="6D17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93B10CA">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5595" w:type="dxa"/>
            <w:vAlign w:val="center"/>
          </w:tcPr>
          <w:p w14:paraId="336C1F7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上位机清洁 </w:t>
            </w:r>
          </w:p>
        </w:tc>
        <w:tc>
          <w:tcPr>
            <w:tcW w:w="2143" w:type="dxa"/>
            <w:vAlign w:val="center"/>
          </w:tcPr>
          <w:p w14:paraId="6668E4D4">
            <w:pPr>
              <w:spacing w:line="432" w:lineRule="auto"/>
              <w:jc w:val="both"/>
              <w:rPr>
                <w:rFonts w:hint="eastAsia" w:ascii="宋体" w:hAnsi="宋体" w:eastAsia="宋体" w:cs="宋体"/>
                <w:sz w:val="24"/>
                <w:szCs w:val="24"/>
                <w:vertAlign w:val="baseline"/>
                <w:lang w:eastAsia="zh-CN"/>
              </w:rPr>
            </w:pPr>
          </w:p>
        </w:tc>
      </w:tr>
    </w:tbl>
    <w:p w14:paraId="03813CE9">
      <w:pPr>
        <w:spacing w:line="432" w:lineRule="auto"/>
        <w:ind w:firstLine="640"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（六）对冷媒管道系统进行检修维护。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12"/>
        <w:gridCol w:w="2126"/>
      </w:tblGrid>
      <w:tr w14:paraId="0BFA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802E3B3">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12" w:type="dxa"/>
            <w:vAlign w:val="center"/>
          </w:tcPr>
          <w:p w14:paraId="2EAAAE2F">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26" w:type="dxa"/>
            <w:vAlign w:val="center"/>
          </w:tcPr>
          <w:p w14:paraId="4A91BFDD">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1401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4C9D008">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612" w:type="dxa"/>
            <w:vAlign w:val="center"/>
          </w:tcPr>
          <w:p w14:paraId="1F7FEBF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管路放水排空</w:t>
            </w:r>
          </w:p>
        </w:tc>
        <w:tc>
          <w:tcPr>
            <w:tcW w:w="2126" w:type="dxa"/>
            <w:vAlign w:val="center"/>
          </w:tcPr>
          <w:p w14:paraId="43DD0C9F">
            <w:pPr>
              <w:spacing w:line="432" w:lineRule="auto"/>
              <w:jc w:val="both"/>
              <w:rPr>
                <w:rFonts w:hint="eastAsia" w:ascii="宋体" w:hAnsi="宋体" w:eastAsia="宋体" w:cs="宋体"/>
                <w:sz w:val="24"/>
                <w:szCs w:val="24"/>
                <w:vertAlign w:val="baseline"/>
                <w:lang w:eastAsia="zh-CN"/>
              </w:rPr>
            </w:pPr>
          </w:p>
        </w:tc>
      </w:tr>
      <w:tr w14:paraId="6C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D86759C">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612" w:type="dxa"/>
            <w:vAlign w:val="center"/>
          </w:tcPr>
          <w:p w14:paraId="7A59F3D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循环水路加药水清洗</w:t>
            </w:r>
          </w:p>
        </w:tc>
        <w:tc>
          <w:tcPr>
            <w:tcW w:w="2126" w:type="dxa"/>
            <w:vAlign w:val="center"/>
          </w:tcPr>
          <w:p w14:paraId="1F18F1CE">
            <w:pPr>
              <w:spacing w:line="432" w:lineRule="auto"/>
              <w:jc w:val="both"/>
              <w:rPr>
                <w:rFonts w:hint="eastAsia" w:ascii="宋体" w:hAnsi="宋体" w:eastAsia="宋体" w:cs="宋体"/>
                <w:sz w:val="24"/>
                <w:szCs w:val="24"/>
                <w:vertAlign w:val="baseline"/>
                <w:lang w:eastAsia="zh-CN"/>
              </w:rPr>
            </w:pPr>
          </w:p>
        </w:tc>
      </w:tr>
      <w:tr w14:paraId="0752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8409B77">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612" w:type="dxa"/>
            <w:vAlign w:val="center"/>
          </w:tcPr>
          <w:p w14:paraId="36B69E2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管路连接处的阀门、过滤器、单向阀、压力表、温度计等附件检查，并进行故障处理</w:t>
            </w:r>
          </w:p>
        </w:tc>
        <w:tc>
          <w:tcPr>
            <w:tcW w:w="2126" w:type="dxa"/>
            <w:vAlign w:val="center"/>
          </w:tcPr>
          <w:p w14:paraId="3DFE2A26">
            <w:pPr>
              <w:spacing w:line="432" w:lineRule="auto"/>
              <w:jc w:val="both"/>
              <w:rPr>
                <w:rFonts w:hint="eastAsia" w:ascii="宋体" w:hAnsi="宋体" w:eastAsia="宋体" w:cs="宋体"/>
                <w:sz w:val="24"/>
                <w:szCs w:val="24"/>
                <w:vertAlign w:val="baseline"/>
                <w:lang w:eastAsia="zh-CN"/>
              </w:rPr>
            </w:pPr>
          </w:p>
        </w:tc>
      </w:tr>
      <w:tr w14:paraId="106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248082F">
            <w:pPr>
              <w:spacing w:line="43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612" w:type="dxa"/>
            <w:vAlign w:val="center"/>
          </w:tcPr>
          <w:p w14:paraId="438F1CC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管路保温棉粘合度检查，并进行故障处理</w:t>
            </w:r>
          </w:p>
        </w:tc>
        <w:tc>
          <w:tcPr>
            <w:tcW w:w="2126" w:type="dxa"/>
            <w:vAlign w:val="center"/>
          </w:tcPr>
          <w:p w14:paraId="37AC1357">
            <w:pPr>
              <w:spacing w:line="432" w:lineRule="auto"/>
              <w:jc w:val="both"/>
              <w:rPr>
                <w:rFonts w:hint="eastAsia" w:ascii="宋体" w:hAnsi="宋体" w:eastAsia="宋体" w:cs="宋体"/>
                <w:sz w:val="24"/>
                <w:szCs w:val="24"/>
                <w:vertAlign w:val="baseline"/>
                <w:lang w:eastAsia="zh-CN"/>
              </w:rPr>
            </w:pPr>
          </w:p>
        </w:tc>
      </w:tr>
    </w:tbl>
    <w:p w14:paraId="0FC249BD">
      <w:pPr>
        <w:ind w:firstLine="640" w:firstLineChars="200"/>
        <w:rPr>
          <w:rFonts w:hint="eastAsia" w:ascii="黑体" w:hAnsi="黑体" w:eastAsia="黑体" w:cs="Times New Roman"/>
          <w:sz w:val="32"/>
          <w:szCs w:val="32"/>
          <w:lang w:eastAsia="zh-CN"/>
        </w:rPr>
      </w:pPr>
      <w:r>
        <w:rPr>
          <w:rFonts w:hint="eastAsia" w:ascii="黑体" w:hAnsi="黑体" w:eastAsia="黑体" w:cs="黑体"/>
          <w:sz w:val="32"/>
          <w:szCs w:val="32"/>
          <w:lang w:eastAsia="zh-CN"/>
        </w:rPr>
        <w:t>★</w:t>
      </w:r>
      <w:r>
        <w:rPr>
          <w:rFonts w:hint="eastAsia" w:ascii="黑体" w:hAnsi="黑体" w:eastAsia="黑体" w:cs="Times New Roman"/>
          <w:sz w:val="32"/>
          <w:szCs w:val="32"/>
          <w:lang w:eastAsia="zh-CN"/>
        </w:rPr>
        <w:t>实际维修工作量包括且不限于上述内容，报价人的报价金额包括大楼空调系统能够正常稳定运行的全部费用。要求报价人须进行必要的现场踏勘。</w:t>
      </w:r>
    </w:p>
    <w:p w14:paraId="69CEE3A5">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★空调系统维修完成后，需委托专业第三方公司出具完工检验报告。</w:t>
      </w:r>
    </w:p>
    <w:p w14:paraId="60196F87">
      <w:pPr>
        <w:rPr>
          <w:rFonts w:hint="default" w:ascii="黑体" w:hAnsi="黑体" w:eastAsia="黑体" w:cs="黑体"/>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78" w:right="1474" w:bottom="1500" w:left="1588" w:header="851" w:footer="851" w:gutter="0"/>
          <w:cols w:space="720" w:num="1"/>
          <w:docGrid w:type="linesAndChars" w:linePitch="312" w:charSpace="0"/>
        </w:sectPr>
      </w:pPr>
    </w:p>
    <w:p w14:paraId="6DF187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第二部分</w:t>
      </w:r>
      <w:r>
        <w:rPr>
          <w:rFonts w:hint="eastAsia" w:ascii="黑体" w:hAnsi="黑体" w:eastAsia="黑体" w:cs="Times New Roman"/>
          <w:sz w:val="32"/>
          <w:szCs w:val="32"/>
          <w:lang w:val="en-US" w:eastAsia="zh-CN"/>
        </w:rPr>
        <w:t xml:space="preserve"> 报价文件</w:t>
      </w:r>
    </w:p>
    <w:p w14:paraId="69D034F6">
      <w:pPr>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报价文件组成</w:t>
      </w:r>
    </w:p>
    <w:p w14:paraId="00517665">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1.封面（格式不限）。</w:t>
      </w:r>
    </w:p>
    <w:p w14:paraId="3A4538EB">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2.现场踏勘回执（现场踏勘后向采购人索取）。</w:t>
      </w:r>
    </w:p>
    <w:p w14:paraId="79D947AF">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3.报价函，格式如下。</w:t>
      </w:r>
    </w:p>
    <w:p w14:paraId="3ABC4849">
      <w:pPr>
        <w:jc w:val="center"/>
        <w:rPr>
          <w:rFonts w:ascii="楷体_GB2312" w:hAnsi="黑体" w:eastAsia="楷体_GB2312" w:cs="Times New Roman"/>
          <w:sz w:val="32"/>
          <w:szCs w:val="32"/>
        </w:rPr>
      </w:pPr>
      <w:r>
        <w:rPr>
          <w:rFonts w:hint="eastAsia" w:ascii="楷体_GB2312" w:hAnsi="Arial" w:eastAsia="楷体_GB2312" w:cs="Times New Roman"/>
          <w:b/>
          <w:bCs/>
          <w:sz w:val="32"/>
          <w:szCs w:val="32"/>
        </w:rPr>
        <w:t>报价函</w:t>
      </w:r>
    </w:p>
    <w:p w14:paraId="2A884053">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致：</w:t>
      </w:r>
      <w:r>
        <w:rPr>
          <w:rFonts w:hint="eastAsia" w:cs="Times New Roman" w:asciiTheme="minorEastAsia" w:hAnsiTheme="minorEastAsia"/>
          <w:sz w:val="24"/>
          <w:szCs w:val="24"/>
          <w:u w:val="single"/>
        </w:rPr>
        <w:t>广东省消防救援总队</w:t>
      </w:r>
    </w:p>
    <w:p w14:paraId="57EE0107">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根据贵方报价邀请，我单位正式向贵总队提交报价文件（正本1套，副本1套）。</w:t>
      </w:r>
    </w:p>
    <w:p w14:paraId="5183B423">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我单位申明如下：</w:t>
      </w:r>
    </w:p>
    <w:p w14:paraId="0195FD65">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1.我单位已详尽查阅并知晓采购文件全部内容。</w:t>
      </w:r>
    </w:p>
    <w:p w14:paraId="4ADACCEA">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2.我单位保证按采购文件之要求，所提供全部资料真实有效，并对所有资料的完整、真实性负责。</w:t>
      </w:r>
    </w:p>
    <w:p w14:paraId="60A846CE">
      <w:pPr>
        <w:ind w:firstLine="480" w:firstLineChars="200"/>
        <w:rPr>
          <w:rFonts w:cs="Times New Roman" w:asciiTheme="minorEastAsia" w:hAnsiTheme="minorEastAsia"/>
          <w:sz w:val="24"/>
          <w:szCs w:val="24"/>
        </w:rPr>
      </w:pPr>
    </w:p>
    <w:p w14:paraId="0DCF336E">
      <w:pPr>
        <w:ind w:firstLine="480" w:firstLineChars="200"/>
        <w:rPr>
          <w:rFonts w:cs="Times New Roman" w:asciiTheme="minorEastAsia" w:hAnsiTheme="minorEastAsia"/>
          <w:sz w:val="24"/>
          <w:szCs w:val="24"/>
        </w:rPr>
      </w:pPr>
    </w:p>
    <w:p w14:paraId="24D486D7">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报价人名称（公章）：</w:t>
      </w:r>
      <w:r>
        <w:rPr>
          <w:rFonts w:hint="eastAsia" w:cs="Times New Roman" w:asciiTheme="minorEastAsia" w:hAnsiTheme="minorEastAsia"/>
          <w:sz w:val="24"/>
          <w:szCs w:val="24"/>
          <w:u w:val="single"/>
        </w:rPr>
        <w:t xml:space="preserve">                   </w:t>
      </w:r>
    </w:p>
    <w:p w14:paraId="02062129">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报价人代表签名：</w:t>
      </w:r>
      <w:r>
        <w:rPr>
          <w:rFonts w:hint="eastAsia" w:cs="Times New Roman" w:asciiTheme="minorEastAsia" w:hAnsiTheme="minorEastAsia"/>
          <w:sz w:val="24"/>
          <w:szCs w:val="24"/>
          <w:u w:val="single"/>
        </w:rPr>
        <w:t xml:space="preserve">                      </w:t>
      </w:r>
    </w:p>
    <w:p w14:paraId="3687765D">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报价人联系电话：</w:t>
      </w:r>
      <w:r>
        <w:rPr>
          <w:rFonts w:hint="eastAsia" w:cs="Times New Roman" w:asciiTheme="minorEastAsia" w:hAnsiTheme="minorEastAsia"/>
          <w:sz w:val="24"/>
          <w:szCs w:val="24"/>
          <w:u w:val="single"/>
        </w:rPr>
        <w:t xml:space="preserve">                      </w:t>
      </w:r>
    </w:p>
    <w:p w14:paraId="61505203">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报价人地址：</w:t>
      </w:r>
      <w:r>
        <w:rPr>
          <w:rFonts w:hint="eastAsia" w:cs="Times New Roman" w:asciiTheme="minorEastAsia" w:hAnsiTheme="minorEastAsia"/>
          <w:sz w:val="24"/>
          <w:szCs w:val="24"/>
          <w:u w:val="single"/>
        </w:rPr>
        <w:t xml:space="preserve">                          </w:t>
      </w:r>
    </w:p>
    <w:p w14:paraId="10AE7478">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邮政编码：</w:t>
      </w:r>
      <w:r>
        <w:rPr>
          <w:rFonts w:hint="eastAsia" w:cs="Times New Roman" w:asciiTheme="minorEastAsia" w:hAnsiTheme="minorEastAsia"/>
          <w:sz w:val="24"/>
          <w:szCs w:val="24"/>
          <w:u w:val="single"/>
        </w:rPr>
        <w:t xml:space="preserve">                      </w:t>
      </w:r>
    </w:p>
    <w:p w14:paraId="27549A75">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 xml:space="preserve">日期： </w:t>
      </w:r>
      <w:r>
        <w:rPr>
          <w:rFonts w:hint="eastAsia" w:cs="Times New Roman" w:asciiTheme="minorEastAsia" w:hAnsiTheme="minorEastAsia"/>
          <w:sz w:val="24"/>
          <w:szCs w:val="24"/>
          <w:u w:val="single"/>
        </w:rPr>
        <w:t xml:space="preserve">                               </w:t>
      </w:r>
    </w:p>
    <w:p w14:paraId="4401B66C">
      <w:pPr>
        <w:ind w:firstLine="640" w:firstLineChars="200"/>
        <w:rPr>
          <w:rFonts w:ascii="仿宋_GB2312" w:hAnsi="Times New Roman" w:eastAsia="仿宋_GB2312" w:cs="Times New Roman"/>
          <w:sz w:val="32"/>
          <w:szCs w:val="32"/>
        </w:rPr>
      </w:pPr>
    </w:p>
    <w:p w14:paraId="3483495F">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4.报价表，格式如下。</w:t>
      </w:r>
    </w:p>
    <w:p w14:paraId="2482FC62">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报价表</w:t>
      </w:r>
    </w:p>
    <w:tbl>
      <w:tblPr>
        <w:tblStyle w:val="6"/>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3520"/>
        <w:gridCol w:w="3177"/>
      </w:tblGrid>
      <w:tr w14:paraId="7825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062" w:type="dxa"/>
            <w:vAlign w:val="center"/>
          </w:tcPr>
          <w:p w14:paraId="1D47CD75">
            <w:pPr>
              <w:spacing w:before="312" w:beforeLines="100"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6697" w:type="dxa"/>
            <w:gridSpan w:val="2"/>
            <w:vAlign w:val="center"/>
          </w:tcPr>
          <w:p w14:paraId="487E42CA">
            <w:pPr>
              <w:snapToGrid w:val="0"/>
              <w:contextualSpacing/>
              <w:jc w:val="center"/>
              <w:rPr>
                <w:rFonts w:ascii="宋体" w:hAnsi="宋体" w:eastAsia="宋体" w:cs="Times New Roman"/>
                <w:sz w:val="24"/>
                <w:szCs w:val="24"/>
              </w:rPr>
            </w:pPr>
            <w:r>
              <w:rPr>
                <w:rFonts w:hint="eastAsia" w:ascii="宋体" w:hAnsi="宋体" w:eastAsia="宋体" w:cs="宋体"/>
                <w:sz w:val="24"/>
                <w:szCs w:val="24"/>
                <w:u w:val="single"/>
              </w:rPr>
              <w:t>广东省消防救援总队附属综合楼</w:t>
            </w:r>
            <w:r>
              <w:rPr>
                <w:rFonts w:hint="eastAsia" w:ascii="宋体" w:hAnsi="宋体" w:eastAsia="宋体" w:cs="宋体"/>
                <w:sz w:val="24"/>
                <w:szCs w:val="24"/>
                <w:u w:val="single"/>
                <w:lang w:eastAsia="zh-CN"/>
              </w:rPr>
              <w:t>空调系统维修</w:t>
            </w:r>
          </w:p>
        </w:tc>
      </w:tr>
      <w:tr w14:paraId="59BE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62" w:type="dxa"/>
            <w:vAlign w:val="center"/>
          </w:tcPr>
          <w:p w14:paraId="4E95C659">
            <w:pPr>
              <w:spacing w:before="312" w:beforeLines="100"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报价总金额</w:t>
            </w:r>
          </w:p>
        </w:tc>
        <w:tc>
          <w:tcPr>
            <w:tcW w:w="3520" w:type="dxa"/>
            <w:vAlign w:val="center"/>
          </w:tcPr>
          <w:p w14:paraId="15FB19C3">
            <w:pPr>
              <w:spacing w:before="312" w:beforeLines="10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大写：</w:t>
            </w:r>
          </w:p>
        </w:tc>
        <w:tc>
          <w:tcPr>
            <w:tcW w:w="3177" w:type="dxa"/>
            <w:vAlign w:val="center"/>
          </w:tcPr>
          <w:p w14:paraId="21555781">
            <w:pPr>
              <w:spacing w:before="312" w:beforeLines="100" w:line="360" w:lineRule="auto"/>
              <w:jc w:val="both"/>
              <w:rPr>
                <w:rFonts w:ascii="宋体" w:hAnsi="宋体" w:eastAsia="宋体" w:cs="Times New Roman"/>
                <w:sz w:val="24"/>
                <w:szCs w:val="24"/>
              </w:rPr>
            </w:pPr>
            <w:r>
              <w:rPr>
                <w:rFonts w:hint="eastAsia" w:ascii="宋体" w:hAnsi="宋体" w:eastAsia="宋体" w:cs="Times New Roman"/>
                <w:sz w:val="24"/>
                <w:szCs w:val="24"/>
              </w:rPr>
              <w:t>小写：</w:t>
            </w:r>
          </w:p>
        </w:tc>
      </w:tr>
    </w:tbl>
    <w:p w14:paraId="51F89AC9">
      <w:pPr>
        <w:spacing w:before="312" w:beforeLines="100"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报价单位: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14:paraId="1DF863D0">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企业法人代表: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14:paraId="6D99FF67">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编制日期:           年     月     日</w:t>
      </w:r>
    </w:p>
    <w:p w14:paraId="2E775B0A">
      <w:pPr>
        <w:ind w:firstLine="640" w:firstLineChars="200"/>
        <w:rPr>
          <w:rFonts w:ascii="仿宋_GB2312" w:hAnsi="Times New Roman" w:eastAsia="仿宋_GB2312" w:cs="Times New Roman"/>
          <w:b/>
          <w:sz w:val="32"/>
          <w:szCs w:val="32"/>
        </w:rPr>
      </w:pPr>
    </w:p>
    <w:p w14:paraId="14CE89AA">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5</w:t>
      </w:r>
      <w:r>
        <w:rPr>
          <w:rFonts w:hint="eastAsia" w:ascii="仿宋_GB2312" w:hAnsi="Times New Roman" w:eastAsia="仿宋_GB2312" w:cs="Times New Roman"/>
          <w:b/>
          <w:sz w:val="32"/>
          <w:szCs w:val="32"/>
        </w:rPr>
        <w:t>.法定代表人身份证明，格式如下。</w:t>
      </w:r>
    </w:p>
    <w:p w14:paraId="301E6003">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法定代表人身份证明书</w:t>
      </w:r>
    </w:p>
    <w:p w14:paraId="5C7D0835">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14:paraId="4FE1C1AF">
      <w:pPr>
        <w:ind w:firstLine="480" w:firstLineChars="200"/>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14:paraId="022FAA08">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14:paraId="72F69381">
      <w:pPr>
        <w:ind w:firstLine="480" w:firstLineChars="200"/>
        <w:rPr>
          <w:rFonts w:ascii="宋体" w:hAnsi="宋体" w:eastAsia="宋体" w:cs="Times New Roman"/>
          <w:sz w:val="24"/>
          <w:szCs w:val="24"/>
        </w:rPr>
      </w:pPr>
      <w:r>
        <w:rPr>
          <w:rFonts w:hint="eastAsia" w:ascii="宋体" w:hAnsi="宋体" w:eastAsia="宋体" w:cs="Times New Roman"/>
          <w:sz w:val="24"/>
          <w:szCs w:val="24"/>
        </w:rPr>
        <w:t>成立时间：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日 </w:t>
      </w:r>
    </w:p>
    <w:p w14:paraId="346E575B">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p>
    <w:p w14:paraId="56E0EB7A">
      <w:pPr>
        <w:ind w:firstLine="480" w:firstLineChars="200"/>
        <w:rPr>
          <w:rFonts w:ascii="宋体" w:hAnsi="宋体" w:eastAsia="宋体" w:cs="Times New Roman"/>
          <w:sz w:val="24"/>
          <w:szCs w:val="24"/>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(投标人名称) </w:t>
      </w:r>
      <w:r>
        <w:rPr>
          <w:rFonts w:hint="eastAsia" w:ascii="宋体" w:hAnsi="宋体" w:eastAsia="宋体" w:cs="Times New Roman"/>
          <w:sz w:val="24"/>
          <w:szCs w:val="24"/>
        </w:rPr>
        <w:t>的法定代表人。</w:t>
      </w:r>
    </w:p>
    <w:p w14:paraId="69A29759">
      <w:pPr>
        <w:ind w:firstLine="480" w:firstLineChars="200"/>
        <w:rPr>
          <w:rFonts w:ascii="宋体" w:hAnsi="宋体" w:eastAsia="宋体" w:cs="Times New Roman"/>
          <w:sz w:val="24"/>
          <w:szCs w:val="24"/>
        </w:rPr>
      </w:pPr>
      <w:r>
        <w:rPr>
          <w:rFonts w:hint="eastAsia" w:ascii="宋体" w:hAnsi="宋体" w:eastAsia="宋体" w:cs="Times New Roman"/>
          <w:sz w:val="24"/>
          <w:szCs w:val="24"/>
        </w:rPr>
        <w:t>特此证明。</w:t>
      </w:r>
    </w:p>
    <w:p w14:paraId="06660FEB">
      <w:pPr>
        <w:tabs>
          <w:tab w:val="left" w:pos="6040"/>
        </w:tabs>
        <w:ind w:firstLine="640" w:firstLineChars="200"/>
        <w:rPr>
          <w:rFonts w:ascii="宋体" w:hAnsi="宋体" w:eastAsia="宋体" w:cs="Times New Roman"/>
          <w:sz w:val="24"/>
          <w:szCs w:val="24"/>
        </w:rPr>
      </w:pPr>
      <w:r>
        <w:rPr>
          <w:rFonts w:ascii="仿宋_GB2312" w:hAnsi="Times New Roman" w:eastAsia="仿宋_GB2312" w:cs="Times New Roman"/>
          <w:b/>
          <w:sz w:val="32"/>
          <w:szCs w:val="32"/>
        </w:rPr>
        <w:tab/>
      </w:r>
      <w:r>
        <w:rPr>
          <w:rFonts w:hint="eastAsia" w:ascii="宋体" w:hAnsi="宋体" w:eastAsia="宋体" w:cs="Times New Roman"/>
          <w:sz w:val="24"/>
          <w:szCs w:val="24"/>
        </w:rPr>
        <w:t>(报价人名称)公章</w:t>
      </w:r>
    </w:p>
    <w:p w14:paraId="61D35305">
      <w:pPr>
        <w:tabs>
          <w:tab w:val="left" w:pos="6040"/>
        </w:tabs>
        <w:ind w:firstLine="6360" w:firstLineChars="2650"/>
        <w:rPr>
          <w:rFonts w:ascii="仿宋_GB2312" w:hAnsi="Times New Roman" w:eastAsia="仿宋_GB2312" w:cs="Times New Roman"/>
          <w:b/>
          <w:sz w:val="32"/>
          <w:szCs w:val="32"/>
        </w:rPr>
      </w:pPr>
      <w:r>
        <w:rPr>
          <w:rFonts w:hint="eastAsia" w:ascii="宋体" w:hAnsi="宋体" w:eastAsia="宋体" w:cs="Times New Roman"/>
          <w:sz w:val="24"/>
          <w:szCs w:val="24"/>
        </w:rPr>
        <w:t>年  月  日</w:t>
      </w:r>
    </w:p>
    <w:p w14:paraId="5A3CDEC0">
      <w:pPr>
        <w:pStyle w:val="10"/>
      </w:pPr>
    </w:p>
    <w:p w14:paraId="7A3CDF4A">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6</w:t>
      </w:r>
      <w:r>
        <w:rPr>
          <w:rFonts w:hint="eastAsia" w:ascii="仿宋_GB2312" w:hAnsi="Times New Roman" w:eastAsia="仿宋_GB2312" w:cs="Times New Roman"/>
          <w:b/>
          <w:sz w:val="32"/>
          <w:szCs w:val="32"/>
        </w:rPr>
        <w:t>.法定代表人授权委托书，格式如下。</w:t>
      </w:r>
    </w:p>
    <w:p w14:paraId="5CA8D877">
      <w:pPr>
        <w:ind w:left="-119" w:leftChars="-57" w:firstLine="640" w:firstLineChars="200"/>
        <w:jc w:val="center"/>
        <w:rPr>
          <w:rFonts w:ascii="Times New Roman" w:hAnsi="Times New Roman" w:eastAsia="宋体" w:cs="Times New Roman"/>
          <w:b/>
          <w:sz w:val="32"/>
          <w:szCs w:val="32"/>
        </w:rPr>
      </w:pPr>
    </w:p>
    <w:p w14:paraId="2020014C">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法定代表人授权委托书</w:t>
      </w:r>
    </w:p>
    <w:p w14:paraId="65480127">
      <w:pPr>
        <w:ind w:firstLine="480" w:firstLineChars="200"/>
        <w:rPr>
          <w:rFonts w:ascii="宋体" w:hAnsi="宋体" w:eastAsia="宋体" w:cs="Times New Roman"/>
          <w:sz w:val="24"/>
          <w:szCs w:val="24"/>
        </w:rPr>
      </w:pPr>
    </w:p>
    <w:p w14:paraId="764C63E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致： </w:t>
      </w:r>
      <w:r>
        <w:rPr>
          <w:rFonts w:hint="eastAsia" w:ascii="宋体" w:hAnsi="宋体" w:eastAsia="宋体" w:cs="Times New Roman"/>
          <w:sz w:val="24"/>
          <w:szCs w:val="24"/>
          <w:u w:val="single"/>
        </w:rPr>
        <w:t xml:space="preserve">  广东省消防救援总队   </w:t>
      </w:r>
    </w:p>
    <w:p w14:paraId="25AFBCA1">
      <w:pPr>
        <w:spacing w:line="360" w:lineRule="auto"/>
        <w:ind w:firstLine="480" w:firstLineChars="200"/>
        <w:rPr>
          <w:rFonts w:ascii="宋体" w:hAnsi="宋体" w:eastAsia="宋体" w:cs="Times New Roman"/>
          <w:sz w:val="24"/>
          <w:szCs w:val="24"/>
        </w:rPr>
      </w:pPr>
    </w:p>
    <w:p w14:paraId="3C8E74F3">
      <w:pPr>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本授权书宣告，</w:t>
      </w:r>
      <w:r>
        <w:rPr>
          <w:rFonts w:hint="eastAsia" w:ascii="宋体" w:hAnsi="宋体" w:eastAsia="宋体" w:cs="Times New Roman"/>
          <w:sz w:val="24"/>
          <w:szCs w:val="24"/>
          <w:u w:val="single"/>
        </w:rPr>
        <w:t xml:space="preserve">（姓名）    </w:t>
      </w:r>
      <w:r>
        <w:rPr>
          <w:rFonts w:hint="eastAsia"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以法定代表人身份合法代表本单位（以下简称</w:t>
      </w:r>
      <w:r>
        <w:rPr>
          <w:rFonts w:ascii="宋体" w:hAnsi="宋体" w:eastAsia="宋体" w:cs="Times New Roman"/>
          <w:sz w:val="24"/>
          <w:szCs w:val="24"/>
        </w:rPr>
        <w:t>“</w:t>
      </w:r>
      <w:r>
        <w:rPr>
          <w:rFonts w:hint="eastAsia" w:ascii="宋体" w:hAnsi="宋体" w:eastAsia="宋体" w:cs="Times New Roman"/>
          <w:sz w:val="24"/>
          <w:szCs w:val="24"/>
        </w:rPr>
        <w:t>报价人</w:t>
      </w:r>
      <w:r>
        <w:rPr>
          <w:rFonts w:ascii="宋体" w:hAnsi="宋体" w:eastAsia="宋体" w:cs="Times New Roman"/>
          <w:sz w:val="24"/>
          <w:szCs w:val="24"/>
        </w:rPr>
        <w:t>”</w:t>
      </w:r>
      <w:r>
        <w:rPr>
          <w:rFonts w:hint="eastAsia" w:ascii="宋体" w:hAnsi="宋体" w:eastAsia="宋体" w:cs="Times New Roman"/>
          <w:sz w:val="24"/>
          <w:szCs w:val="24"/>
        </w:rPr>
        <w:t>）授权：</w:t>
      </w:r>
      <w:r>
        <w:rPr>
          <w:rFonts w:hint="eastAsia" w:ascii="宋体" w:hAnsi="宋体" w:eastAsia="宋体" w:cs="Times New Roman"/>
          <w:sz w:val="24"/>
          <w:szCs w:val="24"/>
          <w:u w:val="single"/>
        </w:rPr>
        <w:t xml:space="preserve">（姓名）   </w:t>
      </w:r>
      <w:r>
        <w:rPr>
          <w:rFonts w:hint="eastAsia"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为本单位的合法代理人，授权代理人在</w:t>
      </w:r>
      <w:r>
        <w:rPr>
          <w:rFonts w:hint="eastAsia" w:ascii="宋体" w:hAnsi="宋体" w:eastAsia="宋体" w:cs="Times New Roman"/>
          <w:sz w:val="24"/>
          <w:szCs w:val="24"/>
          <w:u w:val="single"/>
        </w:rPr>
        <w:t xml:space="preserve">  </w:t>
      </w:r>
      <w:r>
        <w:rPr>
          <w:rFonts w:hint="eastAsia" w:ascii="宋体" w:hAnsi="宋体" w:eastAsia="宋体" w:cs="宋体"/>
          <w:sz w:val="24"/>
          <w:szCs w:val="24"/>
          <w:u w:val="single"/>
        </w:rPr>
        <w:t>广东省消防救援总队附属综合楼</w:t>
      </w:r>
      <w:r>
        <w:rPr>
          <w:rFonts w:hint="eastAsia" w:ascii="宋体" w:hAnsi="宋体" w:eastAsia="宋体" w:cs="宋体"/>
          <w:sz w:val="24"/>
          <w:szCs w:val="24"/>
          <w:u w:val="single"/>
          <w:lang w:eastAsia="zh-CN"/>
        </w:rPr>
        <w:t>空调系统维修项目</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报价活动中,以本单位的名义，并代表本人与你们进行磋商、签署文件和处理一切与此事有关的事务。代理人的一切行为均代表本单位，与本人的行为具有同等法律效力。本单位将承担代理人行为的全部法律责任和后果。</w:t>
      </w:r>
    </w:p>
    <w:p w14:paraId="45EFE798">
      <w:pPr>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代理人无权转让委托权。</w:t>
      </w:r>
    </w:p>
    <w:p w14:paraId="5166D019">
      <w:pPr>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14:paraId="35972F4A">
      <w:pPr>
        <w:ind w:firstLine="480" w:firstLineChars="200"/>
        <w:rPr>
          <w:rFonts w:ascii="宋体" w:hAnsi="宋体" w:eastAsia="宋体" w:cs="Times New Roman"/>
          <w:sz w:val="24"/>
          <w:szCs w:val="24"/>
        </w:rPr>
      </w:pPr>
      <w:r>
        <w:rPr>
          <w:rFonts w:hint="eastAsia" w:ascii="宋体" w:hAnsi="宋体" w:eastAsia="宋体" w:cs="Times New Roman"/>
          <w:sz w:val="24"/>
          <w:szCs w:val="24"/>
        </w:rPr>
        <w:t>附：授权代理人身份证复印件</w:t>
      </w:r>
    </w:p>
    <w:p w14:paraId="34170149">
      <w:pPr>
        <w:pStyle w:val="10"/>
      </w:pPr>
    </w:p>
    <w:p w14:paraId="743DB995">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7</w:t>
      </w:r>
      <w:r>
        <w:rPr>
          <w:rFonts w:hint="eastAsia" w:ascii="仿宋_GB2312" w:hAnsi="Times New Roman" w:eastAsia="仿宋_GB2312" w:cs="Times New Roman"/>
          <w:b/>
          <w:sz w:val="32"/>
          <w:szCs w:val="32"/>
        </w:rPr>
        <w:t>.法人营业执照等资格证明文件。</w:t>
      </w:r>
    </w:p>
    <w:p w14:paraId="708C64F4">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报价人如实提供有关资质证明文件，复印件加盖公章。报价人资格应满足政府采购法第二十二条规定，</w:t>
      </w:r>
      <w:r>
        <w:rPr>
          <w:rFonts w:hint="eastAsia" w:ascii="仿宋_GB2312" w:hAnsi="黑体" w:eastAsia="仿宋_GB2312" w:cs="Times New Roman"/>
          <w:b/>
          <w:sz w:val="32"/>
          <w:szCs w:val="32"/>
          <w:u w:val="single"/>
        </w:rPr>
        <w:t>并提交符合该规定的承诺函。</w:t>
      </w:r>
      <w:r>
        <w:rPr>
          <w:rFonts w:hint="eastAsia" w:ascii="仿宋_GB2312" w:hAnsi="黑体" w:eastAsia="仿宋_GB2312" w:cs="Times New Roman"/>
          <w:sz w:val="32"/>
          <w:szCs w:val="32"/>
        </w:rPr>
        <w:t>否则不接受报价人报价。</w:t>
      </w:r>
    </w:p>
    <w:p w14:paraId="20277992">
      <w:pPr>
        <w:ind w:left="-119" w:leftChars="-57" w:firstLine="640" w:firstLineChars="200"/>
        <w:jc w:val="center"/>
        <w:rPr>
          <w:rFonts w:ascii="Times New Roman" w:hAnsi="Times New Roman" w:eastAsia="宋体" w:cs="Times New Roman"/>
          <w:b/>
          <w:sz w:val="32"/>
          <w:szCs w:val="32"/>
        </w:rPr>
      </w:pPr>
    </w:p>
    <w:p w14:paraId="4BAD580B">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符合政府采购法第二十二条规定的承诺函（样式）</w:t>
      </w:r>
    </w:p>
    <w:p w14:paraId="2CF78FC3">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 xml:space="preserve">致： </w:t>
      </w:r>
      <w:r>
        <w:rPr>
          <w:rFonts w:hint="eastAsia" w:ascii="宋体" w:hAnsi="宋体" w:eastAsia="宋体" w:cs="Times New Roman"/>
          <w:sz w:val="24"/>
          <w:szCs w:val="24"/>
          <w:u w:val="single"/>
        </w:rPr>
        <w:t xml:space="preserve">  广东省消防救援总队   </w:t>
      </w:r>
    </w:p>
    <w:p w14:paraId="5B2E57BC">
      <w:pPr>
        <w:ind w:firstLine="480" w:firstLineChars="200"/>
        <w:rPr>
          <w:rFonts w:ascii="宋体" w:hAnsi="宋体" w:eastAsia="宋体" w:cs="Times New Roman"/>
          <w:sz w:val="24"/>
          <w:szCs w:val="24"/>
        </w:rPr>
      </w:pPr>
    </w:p>
    <w:p w14:paraId="4D384A94">
      <w:pPr>
        <w:ind w:firstLine="480" w:firstLineChars="200"/>
        <w:rPr>
          <w:rFonts w:ascii="宋体" w:hAnsi="宋体" w:eastAsia="宋体" w:cs="Times New Roman"/>
          <w:sz w:val="24"/>
          <w:szCs w:val="24"/>
        </w:rPr>
      </w:pPr>
      <w:r>
        <w:rPr>
          <w:rFonts w:hint="eastAsia" w:ascii="宋体" w:hAnsi="宋体" w:eastAsia="宋体" w:cs="Times New Roman"/>
          <w:sz w:val="24"/>
          <w:szCs w:val="24"/>
        </w:rPr>
        <w:t>我公司参加</w:t>
      </w:r>
      <w:r>
        <w:rPr>
          <w:rFonts w:hint="eastAsia" w:ascii="宋体" w:hAnsi="宋体" w:eastAsia="宋体" w:cs="宋体"/>
          <w:sz w:val="24"/>
          <w:szCs w:val="24"/>
          <w:u w:val="single"/>
        </w:rPr>
        <w:t>广东省消防救援总队附属综合楼</w:t>
      </w:r>
      <w:r>
        <w:rPr>
          <w:rFonts w:hint="eastAsia" w:ascii="宋体" w:hAnsi="宋体" w:eastAsia="宋体" w:cs="宋体"/>
          <w:sz w:val="24"/>
          <w:szCs w:val="24"/>
          <w:u w:val="single"/>
          <w:lang w:eastAsia="zh-CN"/>
        </w:rPr>
        <w:t>空调系统维修项目</w:t>
      </w:r>
      <w:r>
        <w:rPr>
          <w:rFonts w:hint="eastAsia" w:ascii="宋体" w:hAnsi="宋体" w:eastAsia="宋体" w:cs="Times New Roman"/>
          <w:sz w:val="24"/>
          <w:szCs w:val="24"/>
        </w:rPr>
        <w:t>报价，在此承诺：</w:t>
      </w:r>
    </w:p>
    <w:p w14:paraId="3831FC41">
      <w:pPr>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74A5C01">
      <w:pPr>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w:t>
      </w:r>
      <w:r>
        <w:fldChar w:fldCharType="begin"/>
      </w:r>
      <w:r>
        <w:instrText xml:space="preserve"> HYPERLINK "http://www.baiven.com/baike/224/272911.html" \t "_blank" </w:instrText>
      </w:r>
      <w:r>
        <w:fldChar w:fldCharType="separate"/>
      </w:r>
      <w:r>
        <w:rPr>
          <w:rFonts w:hint="eastAsia" w:ascii="宋体" w:hAnsi="宋体" w:eastAsia="宋体" w:cs="Times New Roman"/>
          <w:sz w:val="24"/>
          <w:szCs w:val="24"/>
        </w:rPr>
        <w:t>财务会计</w:t>
      </w:r>
      <w:r>
        <w:rPr>
          <w:rFonts w:hint="eastAsia" w:ascii="宋体" w:hAnsi="宋体" w:eastAsia="宋体" w:cs="Times New Roman"/>
          <w:sz w:val="24"/>
          <w:szCs w:val="24"/>
        </w:rPr>
        <w:fldChar w:fldCharType="end"/>
      </w:r>
      <w:r>
        <w:rPr>
          <w:rFonts w:hint="eastAsia" w:ascii="宋体" w:hAnsi="宋体" w:eastAsia="宋体" w:cs="Times New Roman"/>
          <w:sz w:val="24"/>
          <w:szCs w:val="24"/>
        </w:rPr>
        <w:t>制度；</w:t>
      </w:r>
    </w:p>
    <w:p w14:paraId="3442FFC4">
      <w:pPr>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5000F566">
      <w:pPr>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w:t>
      </w:r>
      <w:r>
        <w:fldChar w:fldCharType="begin"/>
      </w:r>
      <w:r>
        <w:instrText xml:space="preserve"> HYPERLINK "http://www.baiven.com/baike/224/270551.html" \t "_blank" </w:instrText>
      </w:r>
      <w:r>
        <w:fldChar w:fldCharType="separate"/>
      </w:r>
      <w:r>
        <w:rPr>
          <w:rFonts w:hint="eastAsia" w:ascii="宋体" w:hAnsi="宋体" w:eastAsia="宋体" w:cs="Times New Roman"/>
          <w:sz w:val="24"/>
          <w:szCs w:val="24"/>
        </w:rPr>
        <w:t>社会保障</w:t>
      </w:r>
      <w:r>
        <w:rPr>
          <w:rFonts w:hint="eastAsia" w:ascii="宋体" w:hAnsi="宋体" w:eastAsia="宋体" w:cs="Times New Roman"/>
          <w:sz w:val="24"/>
          <w:szCs w:val="24"/>
        </w:rPr>
        <w:fldChar w:fldCharType="end"/>
      </w:r>
      <w:r>
        <w:rPr>
          <w:rFonts w:hint="eastAsia" w:ascii="宋体" w:hAnsi="宋体" w:eastAsia="宋体" w:cs="Times New Roman"/>
          <w:sz w:val="24"/>
          <w:szCs w:val="24"/>
        </w:rPr>
        <w:t>资金的良好记录；</w:t>
      </w:r>
    </w:p>
    <w:p w14:paraId="0B7699A3">
      <w:pPr>
        <w:ind w:firstLine="480" w:firstLineChars="200"/>
        <w:rPr>
          <w:rFonts w:ascii="宋体" w:hAnsi="宋体" w:eastAsia="宋体" w:cs="Times New Roman"/>
          <w:sz w:val="24"/>
          <w:szCs w:val="24"/>
        </w:rPr>
      </w:pPr>
      <w:r>
        <w:rPr>
          <w:rFonts w:hint="eastAsia" w:ascii="宋体" w:hAnsi="宋体" w:eastAsia="宋体" w:cs="Times New Roman"/>
          <w:sz w:val="24"/>
          <w:szCs w:val="24"/>
        </w:rPr>
        <w:t>（五）参加政府采购活动前三年内，在经营活动中没有重大违法记录；</w:t>
      </w:r>
    </w:p>
    <w:p w14:paraId="5F5A9F45">
      <w:pPr>
        <w:ind w:firstLine="480" w:firstLineChars="200"/>
        <w:rPr>
          <w:rFonts w:ascii="宋体" w:hAnsi="宋体" w:eastAsia="宋体" w:cs="Times New Roman"/>
          <w:sz w:val="24"/>
          <w:szCs w:val="24"/>
        </w:rPr>
      </w:pPr>
      <w:r>
        <w:rPr>
          <w:rFonts w:hint="eastAsia" w:ascii="宋体" w:hAnsi="宋体" w:eastAsia="宋体" w:cs="Times New Roman"/>
          <w:sz w:val="24"/>
          <w:szCs w:val="24"/>
        </w:rPr>
        <w:t>（六）法律、</w:t>
      </w:r>
      <w:r>
        <w:fldChar w:fldCharType="begin"/>
      </w:r>
      <w:r>
        <w:instrText xml:space="preserve"> HYPERLINK "http://www.baiven.com/baike/224/278977.html" \t "_blank" </w:instrText>
      </w:r>
      <w:r>
        <w:fldChar w:fldCharType="separate"/>
      </w:r>
      <w:r>
        <w:rPr>
          <w:rFonts w:hint="eastAsia" w:ascii="宋体" w:hAnsi="宋体" w:eastAsia="宋体" w:cs="Times New Roman"/>
          <w:sz w:val="24"/>
          <w:szCs w:val="24"/>
        </w:rPr>
        <w:t>行政法</w:t>
      </w:r>
      <w:r>
        <w:rPr>
          <w:rFonts w:hint="eastAsia" w:ascii="宋体" w:hAnsi="宋体" w:eastAsia="宋体" w:cs="Times New Roman"/>
          <w:sz w:val="24"/>
          <w:szCs w:val="24"/>
        </w:rPr>
        <w:fldChar w:fldCharType="end"/>
      </w:r>
      <w:r>
        <w:rPr>
          <w:rFonts w:hint="eastAsia" w:ascii="宋体" w:hAnsi="宋体" w:eastAsia="宋体" w:cs="Times New Roman"/>
          <w:sz w:val="24"/>
          <w:szCs w:val="24"/>
        </w:rPr>
        <w:t>规规定的其他条件。</w:t>
      </w:r>
    </w:p>
    <w:p w14:paraId="4CAD321E">
      <w:pPr>
        <w:ind w:firstLine="480" w:firstLineChars="200"/>
        <w:rPr>
          <w:rFonts w:ascii="宋体" w:hAnsi="宋体" w:eastAsia="宋体" w:cs="Times New Roman"/>
          <w:sz w:val="24"/>
          <w:szCs w:val="24"/>
        </w:rPr>
      </w:pPr>
    </w:p>
    <w:p w14:paraId="238A398F">
      <w:pPr>
        <w:ind w:firstLine="480" w:firstLineChars="200"/>
        <w:rPr>
          <w:rFonts w:ascii="宋体" w:hAnsi="宋体" w:eastAsia="宋体" w:cs="Times New Roman"/>
          <w:sz w:val="24"/>
          <w:szCs w:val="24"/>
        </w:rPr>
      </w:pPr>
    </w:p>
    <w:p w14:paraId="354E6C67">
      <w:pPr>
        <w:ind w:firstLine="480" w:firstLineChars="200"/>
        <w:rPr>
          <w:rFonts w:ascii="宋体" w:hAnsi="宋体" w:eastAsia="宋体" w:cs="Times New Roman"/>
          <w:sz w:val="24"/>
          <w:szCs w:val="24"/>
        </w:rPr>
      </w:pPr>
    </w:p>
    <w:p w14:paraId="618E4BC1">
      <w:pPr>
        <w:tabs>
          <w:tab w:val="left" w:pos="6040"/>
        </w:tabs>
        <w:ind w:firstLine="6000" w:firstLineChars="2500"/>
        <w:rPr>
          <w:rFonts w:ascii="宋体" w:hAnsi="宋体" w:eastAsia="宋体" w:cs="Times New Roman"/>
          <w:sz w:val="24"/>
          <w:szCs w:val="24"/>
        </w:rPr>
      </w:pPr>
      <w:r>
        <w:rPr>
          <w:rFonts w:hint="eastAsia" w:ascii="宋体" w:hAnsi="宋体" w:eastAsia="宋体" w:cs="Times New Roman"/>
          <w:sz w:val="24"/>
          <w:szCs w:val="24"/>
        </w:rPr>
        <w:t>(报价人名称)公章</w:t>
      </w:r>
    </w:p>
    <w:p w14:paraId="0FD74332">
      <w:pPr>
        <w:tabs>
          <w:tab w:val="left" w:pos="6040"/>
        </w:tabs>
        <w:ind w:firstLine="6360" w:firstLineChars="2650"/>
        <w:rPr>
          <w:rFonts w:ascii="仿宋_GB2312" w:hAnsi="Times New Roman" w:eastAsia="仿宋_GB2312" w:cs="Times New Roman"/>
          <w:b/>
          <w:sz w:val="32"/>
          <w:szCs w:val="32"/>
        </w:rPr>
      </w:pPr>
      <w:r>
        <w:rPr>
          <w:rFonts w:hint="eastAsia" w:ascii="宋体" w:hAnsi="宋体" w:eastAsia="宋体" w:cs="Times New Roman"/>
          <w:sz w:val="24"/>
          <w:szCs w:val="24"/>
        </w:rPr>
        <w:t>年  月  日</w:t>
      </w:r>
    </w:p>
    <w:p w14:paraId="0FCAF387">
      <w:pPr>
        <w:ind w:firstLine="640" w:firstLineChars="200"/>
        <w:rPr>
          <w:rFonts w:ascii="仿宋_GB2312" w:hAnsi="Times New Roman" w:eastAsia="仿宋_GB2312" w:cs="Times New Roman"/>
          <w:sz w:val="32"/>
          <w:szCs w:val="32"/>
        </w:rPr>
      </w:pPr>
    </w:p>
    <w:p w14:paraId="0E30184E">
      <w:pPr>
        <w:ind w:firstLine="640"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8</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eastAsia="zh-CN"/>
        </w:rPr>
        <w:t>施工</w:t>
      </w:r>
      <w:r>
        <w:rPr>
          <w:rFonts w:hint="eastAsia" w:ascii="仿宋_GB2312" w:hAnsi="Times New Roman" w:eastAsia="仿宋_GB2312" w:cs="Times New Roman"/>
          <w:b/>
          <w:sz w:val="32"/>
          <w:szCs w:val="32"/>
        </w:rPr>
        <w:t>组织方案（格式不限，内容包括并不限于</w:t>
      </w:r>
      <w:r>
        <w:rPr>
          <w:rFonts w:hint="eastAsia" w:ascii="仿宋_GB2312" w:hAnsi="Times New Roman" w:eastAsia="仿宋_GB2312" w:cs="Times New Roman"/>
          <w:b/>
          <w:sz w:val="32"/>
          <w:szCs w:val="32"/>
          <w:lang w:eastAsia="zh-CN"/>
        </w:rPr>
        <w:t>维修施工</w:t>
      </w:r>
      <w:r>
        <w:rPr>
          <w:rFonts w:hint="eastAsia" w:ascii="仿宋_GB2312" w:hAnsi="Times New Roman" w:eastAsia="仿宋_GB2312" w:cs="Times New Roman"/>
          <w:b/>
          <w:sz w:val="32"/>
          <w:szCs w:val="32"/>
        </w:rPr>
        <w:t>节点工作进度、</w:t>
      </w:r>
      <w:r>
        <w:rPr>
          <w:rFonts w:hint="eastAsia" w:ascii="仿宋_GB2312" w:hAnsi="Times New Roman" w:eastAsia="仿宋_GB2312" w:cs="Times New Roman"/>
          <w:b/>
          <w:sz w:val="32"/>
          <w:szCs w:val="32"/>
          <w:lang w:eastAsia="zh-CN"/>
        </w:rPr>
        <w:t>管理及施工</w:t>
      </w:r>
      <w:r>
        <w:rPr>
          <w:rFonts w:hint="eastAsia" w:ascii="仿宋_GB2312" w:hAnsi="Times New Roman" w:eastAsia="仿宋_GB2312" w:cs="Times New Roman"/>
          <w:b/>
          <w:sz w:val="32"/>
          <w:szCs w:val="32"/>
        </w:rPr>
        <w:t>人员配置、施工</w:t>
      </w:r>
      <w:r>
        <w:rPr>
          <w:rFonts w:hint="eastAsia" w:ascii="仿宋_GB2312" w:hAnsi="Times New Roman" w:eastAsia="仿宋_GB2312" w:cs="Times New Roman"/>
          <w:b/>
          <w:sz w:val="32"/>
          <w:szCs w:val="32"/>
          <w:lang w:eastAsia="zh-CN"/>
        </w:rPr>
        <w:t>机具配备</w:t>
      </w:r>
      <w:r>
        <w:rPr>
          <w:rFonts w:hint="eastAsia" w:ascii="仿宋_GB2312" w:hAnsi="Times New Roman" w:eastAsia="仿宋_GB2312" w:cs="Times New Roman"/>
          <w:b/>
          <w:sz w:val="32"/>
          <w:szCs w:val="32"/>
        </w:rPr>
        <w:t>等）。</w:t>
      </w:r>
    </w:p>
    <w:p w14:paraId="35E03BAD">
      <w:pPr>
        <w:ind w:firstLine="640" w:firstLineChars="200"/>
        <w:rPr>
          <w:rFonts w:hint="default"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9.响应</w:t>
      </w:r>
      <w:r>
        <w:rPr>
          <w:rFonts w:hint="eastAsia" w:ascii="黑体" w:hAnsi="黑体" w:eastAsia="黑体" w:cs="黑体"/>
          <w:b/>
          <w:sz w:val="32"/>
          <w:szCs w:val="32"/>
          <w:lang w:val="en-US" w:eastAsia="zh-CN"/>
        </w:rPr>
        <w:t>★</w:t>
      </w:r>
      <w:r>
        <w:rPr>
          <w:rFonts w:hint="eastAsia" w:ascii="仿宋_GB2312" w:hAnsi="Times New Roman" w:eastAsia="仿宋_GB2312" w:cs="Times New Roman"/>
          <w:b/>
          <w:sz w:val="32"/>
          <w:szCs w:val="32"/>
          <w:lang w:val="en-US" w:eastAsia="zh-CN"/>
        </w:rPr>
        <w:t>条款承诺函。</w:t>
      </w:r>
    </w:p>
    <w:p w14:paraId="4592DCB2">
      <w:pPr>
        <w:ind w:firstLine="640" w:firstLineChars="200"/>
        <w:rPr>
          <w:rFonts w:hint="eastAsia" w:ascii="黑体" w:hAnsi="黑体" w:eastAsia="黑体" w:cs="Times New Roman"/>
          <w:sz w:val="32"/>
          <w:szCs w:val="32"/>
        </w:rPr>
      </w:pPr>
    </w:p>
    <w:p w14:paraId="5CF14F34">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三、评审方法</w:t>
      </w:r>
    </w:p>
    <w:p w14:paraId="5697523B">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采购人成立项目评审小组，对报价文件进行综合评定（见附表）。评审小组按照得分排名推荐成交供应商。</w:t>
      </w:r>
    </w:p>
    <w:p w14:paraId="46456DA1">
      <w:pPr>
        <w:ind w:firstLine="640" w:firstLineChars="200"/>
        <w:rPr>
          <w:rFonts w:ascii="黑体" w:hAnsi="黑体" w:eastAsia="黑体" w:cs="Times New Roman"/>
          <w:sz w:val="32"/>
          <w:szCs w:val="32"/>
        </w:rPr>
      </w:pPr>
      <w:r>
        <w:rPr>
          <w:rFonts w:hint="eastAsia" w:ascii="黑体" w:hAnsi="黑体" w:eastAsia="黑体" w:cs="Times New Roman"/>
          <w:sz w:val="32"/>
          <w:szCs w:val="32"/>
        </w:rPr>
        <w:t>四、评审结果确认及合同签订</w:t>
      </w:r>
    </w:p>
    <w:p w14:paraId="5BB42568">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评审结果经采购人审批确认后，将通知成交供应商，按程序签订设计合同(样式合同附后，经总队法工部门审核后签订)。</w:t>
      </w:r>
    </w:p>
    <w:p w14:paraId="66A612D3">
      <w:pPr>
        <w:widowControl/>
        <w:jc w:val="left"/>
        <w:rPr>
          <w:rFonts w:ascii="Calibri" w:hAnsi="Calibri" w:eastAsia="宋体" w:cs="Times New Roman"/>
        </w:rPr>
      </w:pPr>
      <w:r>
        <w:rPr>
          <w:rFonts w:ascii="Calibri" w:hAnsi="Calibri"/>
        </w:rPr>
        <w:br w:type="page"/>
      </w:r>
      <w:bookmarkStart w:id="0" w:name="_Toc18822"/>
      <w:bookmarkStart w:id="1" w:name="_Toc18177"/>
      <w:bookmarkStart w:id="2" w:name="_Toc26582"/>
      <w:bookmarkStart w:id="3" w:name="_Toc19762"/>
      <w:r>
        <w:rPr>
          <w:rFonts w:hint="eastAsia" w:ascii="宋体" w:hAnsi="宋体" w:eastAsia="宋体" w:cs="宋体"/>
          <w:b/>
          <w:bCs/>
          <w:sz w:val="28"/>
          <w:szCs w:val="28"/>
        </w:rPr>
        <w:t>附表一：资格审查表</w:t>
      </w:r>
    </w:p>
    <w:tbl>
      <w:tblPr>
        <w:tblStyle w:val="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830"/>
        <w:gridCol w:w="1260"/>
        <w:gridCol w:w="1260"/>
        <w:gridCol w:w="1260"/>
      </w:tblGrid>
      <w:tr w14:paraId="4579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7D25458F">
            <w:pPr>
              <w:jc w:val="center"/>
              <w:rPr>
                <w:rFonts w:ascii="宋体" w:hAnsi="宋体" w:eastAsia="宋体" w:cs="宋体"/>
                <w:szCs w:val="21"/>
              </w:rPr>
            </w:pPr>
            <w:r>
              <w:rPr>
                <w:rFonts w:hint="eastAsia" w:ascii="宋体" w:hAnsi="宋体" w:eastAsia="宋体" w:cs="宋体"/>
                <w:szCs w:val="21"/>
              </w:rPr>
              <w:t>序号</w:t>
            </w:r>
          </w:p>
        </w:tc>
        <w:tc>
          <w:tcPr>
            <w:tcW w:w="4830" w:type="dxa"/>
            <w:tcBorders>
              <w:tl2br w:val="single" w:color="auto" w:sz="4" w:space="0"/>
            </w:tcBorders>
          </w:tcPr>
          <w:p w14:paraId="5B83D464">
            <w:pPr>
              <w:rPr>
                <w:rFonts w:ascii="宋体" w:hAnsi="宋体" w:eastAsia="宋体" w:cs="宋体"/>
                <w:szCs w:val="21"/>
              </w:rPr>
            </w:pPr>
            <w:r>
              <w:rPr>
                <w:rFonts w:hint="eastAsia" w:ascii="宋体" w:hAnsi="宋体" w:eastAsia="宋体" w:cs="宋体"/>
                <w:szCs w:val="21"/>
              </w:rPr>
              <w:t xml:space="preserve">                                   投标人</w:t>
            </w:r>
          </w:p>
          <w:p w14:paraId="6D0A179C">
            <w:pPr>
              <w:rPr>
                <w:rFonts w:ascii="宋体" w:hAnsi="宋体" w:eastAsia="宋体" w:cs="宋体"/>
                <w:szCs w:val="21"/>
              </w:rPr>
            </w:pPr>
          </w:p>
          <w:p w14:paraId="1B37CE0A">
            <w:pPr>
              <w:ind w:firstLine="210" w:firstLineChars="100"/>
              <w:rPr>
                <w:rFonts w:ascii="宋体" w:hAnsi="宋体" w:eastAsia="宋体" w:cs="宋体"/>
                <w:szCs w:val="21"/>
              </w:rPr>
            </w:pPr>
            <w:r>
              <w:rPr>
                <w:rFonts w:hint="eastAsia" w:ascii="宋体" w:hAnsi="宋体" w:eastAsia="宋体" w:cs="宋体"/>
                <w:szCs w:val="21"/>
              </w:rPr>
              <w:t>评审内容</w:t>
            </w:r>
          </w:p>
        </w:tc>
        <w:tc>
          <w:tcPr>
            <w:tcW w:w="1260" w:type="dxa"/>
            <w:vAlign w:val="center"/>
          </w:tcPr>
          <w:p w14:paraId="5583B56E">
            <w:pPr>
              <w:ind w:firstLine="34"/>
              <w:rPr>
                <w:rFonts w:ascii="宋体" w:hAnsi="宋体" w:eastAsia="宋体" w:cs="宋体"/>
                <w:szCs w:val="21"/>
              </w:rPr>
            </w:pPr>
            <w:r>
              <w:rPr>
                <w:rFonts w:hint="eastAsia" w:ascii="宋体" w:hAnsi="宋体" w:eastAsia="宋体" w:cs="宋体"/>
                <w:szCs w:val="21"/>
              </w:rPr>
              <w:t>投标人1</w:t>
            </w:r>
          </w:p>
        </w:tc>
        <w:tc>
          <w:tcPr>
            <w:tcW w:w="1260" w:type="dxa"/>
            <w:vAlign w:val="center"/>
          </w:tcPr>
          <w:p w14:paraId="52F99460">
            <w:pPr>
              <w:rPr>
                <w:rFonts w:ascii="宋体" w:hAnsi="宋体" w:eastAsia="宋体" w:cs="宋体"/>
                <w:szCs w:val="21"/>
              </w:rPr>
            </w:pPr>
            <w:r>
              <w:rPr>
                <w:rFonts w:hint="eastAsia" w:ascii="宋体" w:hAnsi="宋体" w:eastAsia="宋体" w:cs="宋体"/>
                <w:szCs w:val="21"/>
              </w:rPr>
              <w:t>投标人2</w:t>
            </w:r>
          </w:p>
        </w:tc>
        <w:tc>
          <w:tcPr>
            <w:tcW w:w="1260" w:type="dxa"/>
            <w:vAlign w:val="center"/>
          </w:tcPr>
          <w:p w14:paraId="7DD01B8F">
            <w:pPr>
              <w:tabs>
                <w:tab w:val="left" w:pos="720"/>
              </w:tabs>
              <w:snapToGrid w:val="0"/>
              <w:jc w:val="center"/>
              <w:rPr>
                <w:rFonts w:ascii="宋体" w:hAnsi="宋体" w:eastAsia="宋体" w:cs="宋体"/>
                <w:szCs w:val="21"/>
              </w:rPr>
            </w:pPr>
            <w:r>
              <w:rPr>
                <w:rFonts w:hint="eastAsia" w:ascii="宋体" w:hAnsi="宋体" w:eastAsia="宋体" w:cs="宋体"/>
                <w:szCs w:val="21"/>
              </w:rPr>
              <w:t>……</w:t>
            </w:r>
          </w:p>
        </w:tc>
      </w:tr>
      <w:tr w14:paraId="1163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6A6FF086">
            <w:pPr>
              <w:jc w:val="center"/>
              <w:rPr>
                <w:rFonts w:ascii="宋体" w:hAnsi="宋体" w:eastAsia="宋体" w:cs="宋体"/>
                <w:szCs w:val="21"/>
              </w:rPr>
            </w:pPr>
            <w:r>
              <w:rPr>
                <w:rFonts w:hint="eastAsia" w:ascii="宋体" w:hAnsi="宋体" w:eastAsia="宋体" w:cs="宋体"/>
                <w:szCs w:val="21"/>
              </w:rPr>
              <w:t>1</w:t>
            </w:r>
          </w:p>
        </w:tc>
        <w:tc>
          <w:tcPr>
            <w:tcW w:w="4830" w:type="dxa"/>
            <w:vAlign w:val="center"/>
          </w:tcPr>
          <w:p w14:paraId="788320F4">
            <w:pPr>
              <w:rPr>
                <w:rFonts w:ascii="宋体" w:hAnsi="宋体" w:eastAsia="宋体" w:cs="宋体"/>
                <w:szCs w:val="21"/>
              </w:rPr>
            </w:pPr>
            <w:r>
              <w:rPr>
                <w:rFonts w:hint="eastAsia" w:ascii="宋体" w:hAnsi="宋体" w:eastAsia="宋体" w:cs="宋体"/>
                <w:szCs w:val="21"/>
              </w:rPr>
              <w:t>具有独立承担民事责任能力的在中华人民共和国境内登记注册的法人或其他组织（符合政府采购法第二十二条规定的承诺函）</w:t>
            </w:r>
          </w:p>
        </w:tc>
        <w:tc>
          <w:tcPr>
            <w:tcW w:w="1260" w:type="dxa"/>
            <w:vAlign w:val="center"/>
          </w:tcPr>
          <w:p w14:paraId="6C6FF6EE">
            <w:pPr>
              <w:rPr>
                <w:rFonts w:ascii="宋体" w:hAnsi="宋体" w:eastAsia="宋体" w:cs="宋体"/>
                <w:szCs w:val="21"/>
              </w:rPr>
            </w:pPr>
          </w:p>
        </w:tc>
        <w:tc>
          <w:tcPr>
            <w:tcW w:w="1260" w:type="dxa"/>
          </w:tcPr>
          <w:p w14:paraId="212BD06B">
            <w:pPr>
              <w:rPr>
                <w:rFonts w:ascii="宋体" w:hAnsi="宋体" w:eastAsia="宋体" w:cs="宋体"/>
                <w:szCs w:val="21"/>
              </w:rPr>
            </w:pPr>
          </w:p>
        </w:tc>
        <w:tc>
          <w:tcPr>
            <w:tcW w:w="1260" w:type="dxa"/>
          </w:tcPr>
          <w:p w14:paraId="509CA50B">
            <w:pPr>
              <w:rPr>
                <w:rFonts w:ascii="宋体" w:hAnsi="宋体" w:eastAsia="宋体" w:cs="宋体"/>
                <w:szCs w:val="21"/>
              </w:rPr>
            </w:pPr>
          </w:p>
        </w:tc>
      </w:tr>
      <w:tr w14:paraId="00C1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794FD4D7">
            <w:pPr>
              <w:jc w:val="center"/>
              <w:rPr>
                <w:rFonts w:ascii="宋体" w:hAnsi="宋体" w:eastAsia="宋体" w:cs="宋体"/>
                <w:szCs w:val="21"/>
              </w:rPr>
            </w:pPr>
            <w:r>
              <w:rPr>
                <w:rFonts w:hint="eastAsia" w:ascii="宋体" w:hAnsi="宋体" w:eastAsia="宋体" w:cs="宋体"/>
                <w:szCs w:val="21"/>
              </w:rPr>
              <w:t>2</w:t>
            </w:r>
          </w:p>
        </w:tc>
        <w:tc>
          <w:tcPr>
            <w:tcW w:w="4830" w:type="dxa"/>
            <w:vAlign w:val="center"/>
          </w:tcPr>
          <w:p w14:paraId="279887EC">
            <w:pPr>
              <w:rPr>
                <w:rFonts w:ascii="宋体" w:hAnsi="宋体" w:eastAsia="宋体" w:cs="宋体"/>
                <w:szCs w:val="21"/>
              </w:rPr>
            </w:pPr>
            <w:r>
              <w:rPr>
                <w:rFonts w:hint="eastAsia" w:ascii="宋体" w:hAnsi="宋体" w:eastAsia="宋体" w:cs="宋体"/>
                <w:szCs w:val="21"/>
              </w:rPr>
              <w:t>本项目不接受联合体投标</w:t>
            </w:r>
          </w:p>
        </w:tc>
        <w:tc>
          <w:tcPr>
            <w:tcW w:w="1260" w:type="dxa"/>
            <w:vAlign w:val="center"/>
          </w:tcPr>
          <w:p w14:paraId="2AB44BAE">
            <w:pPr>
              <w:rPr>
                <w:rFonts w:ascii="宋体" w:hAnsi="宋体" w:eastAsia="宋体" w:cs="宋体"/>
                <w:szCs w:val="21"/>
              </w:rPr>
            </w:pPr>
          </w:p>
        </w:tc>
        <w:tc>
          <w:tcPr>
            <w:tcW w:w="1260" w:type="dxa"/>
          </w:tcPr>
          <w:p w14:paraId="7EC1E397">
            <w:pPr>
              <w:rPr>
                <w:rFonts w:ascii="宋体" w:hAnsi="宋体" w:eastAsia="宋体" w:cs="宋体"/>
                <w:szCs w:val="21"/>
              </w:rPr>
            </w:pPr>
          </w:p>
        </w:tc>
        <w:tc>
          <w:tcPr>
            <w:tcW w:w="1260" w:type="dxa"/>
          </w:tcPr>
          <w:p w14:paraId="6BEA299C">
            <w:pPr>
              <w:rPr>
                <w:rFonts w:ascii="宋体" w:hAnsi="宋体" w:eastAsia="宋体" w:cs="宋体"/>
                <w:szCs w:val="21"/>
              </w:rPr>
            </w:pPr>
          </w:p>
        </w:tc>
      </w:tr>
      <w:tr w14:paraId="0A53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5" w:type="dxa"/>
            <w:vAlign w:val="center"/>
          </w:tcPr>
          <w:p w14:paraId="68065748">
            <w:pPr>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4830" w:type="dxa"/>
            <w:vAlign w:val="center"/>
          </w:tcPr>
          <w:p w14:paraId="24ABEBD7">
            <w:pPr>
              <w:rPr>
                <w:rFonts w:ascii="宋体" w:hAnsi="宋体" w:eastAsia="宋体" w:cs="宋体"/>
                <w:szCs w:val="21"/>
              </w:rPr>
            </w:pPr>
            <w:r>
              <w:rPr>
                <w:rFonts w:hint="eastAsia" w:ascii="宋体" w:hAnsi="宋体" w:eastAsia="宋体" w:cs="宋体"/>
                <w:szCs w:val="21"/>
              </w:rPr>
              <w:t>单位负责人为同一人或者存在控股、管理关系的不同投标人，不得同时参加本项目的投标</w:t>
            </w:r>
          </w:p>
        </w:tc>
        <w:tc>
          <w:tcPr>
            <w:tcW w:w="1260" w:type="dxa"/>
            <w:vAlign w:val="center"/>
          </w:tcPr>
          <w:p w14:paraId="77E4204F">
            <w:pPr>
              <w:rPr>
                <w:rFonts w:ascii="宋体" w:hAnsi="宋体" w:eastAsia="宋体" w:cs="宋体"/>
                <w:szCs w:val="21"/>
              </w:rPr>
            </w:pPr>
          </w:p>
        </w:tc>
        <w:tc>
          <w:tcPr>
            <w:tcW w:w="1260" w:type="dxa"/>
          </w:tcPr>
          <w:p w14:paraId="3B370C8D">
            <w:pPr>
              <w:rPr>
                <w:rFonts w:ascii="宋体" w:hAnsi="宋体" w:eastAsia="宋体" w:cs="宋体"/>
                <w:szCs w:val="21"/>
              </w:rPr>
            </w:pPr>
          </w:p>
        </w:tc>
        <w:tc>
          <w:tcPr>
            <w:tcW w:w="1260" w:type="dxa"/>
          </w:tcPr>
          <w:p w14:paraId="5FE9F5D2">
            <w:pPr>
              <w:rPr>
                <w:rFonts w:ascii="宋体" w:hAnsi="宋体" w:eastAsia="宋体" w:cs="宋体"/>
                <w:szCs w:val="21"/>
              </w:rPr>
            </w:pPr>
          </w:p>
        </w:tc>
      </w:tr>
      <w:tr w14:paraId="506F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5" w:type="dxa"/>
            <w:vAlign w:val="center"/>
          </w:tcPr>
          <w:p w14:paraId="619113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4830" w:type="dxa"/>
            <w:vAlign w:val="center"/>
          </w:tcPr>
          <w:p w14:paraId="2E041B4B">
            <w:pPr>
              <w:rPr>
                <w:rFonts w:hint="default" w:ascii="宋体" w:hAnsi="宋体" w:eastAsia="宋体" w:cs="宋体"/>
                <w:szCs w:val="21"/>
                <w:lang w:val="en-US"/>
              </w:rPr>
            </w:pPr>
            <w:r>
              <w:rPr>
                <w:rFonts w:hint="eastAsia" w:ascii="宋体" w:hAnsi="宋体" w:eastAsia="宋体" w:cs="宋体"/>
                <w:szCs w:val="21"/>
                <w:lang w:val="en-US" w:eastAsia="zh-CN"/>
              </w:rPr>
              <w:t>★条款响应情况</w:t>
            </w:r>
          </w:p>
        </w:tc>
        <w:tc>
          <w:tcPr>
            <w:tcW w:w="1260" w:type="dxa"/>
            <w:vAlign w:val="center"/>
          </w:tcPr>
          <w:p w14:paraId="0FFD7187">
            <w:pPr>
              <w:rPr>
                <w:rFonts w:ascii="宋体" w:hAnsi="宋体" w:eastAsia="宋体" w:cs="宋体"/>
                <w:szCs w:val="21"/>
              </w:rPr>
            </w:pPr>
          </w:p>
        </w:tc>
        <w:tc>
          <w:tcPr>
            <w:tcW w:w="1260" w:type="dxa"/>
          </w:tcPr>
          <w:p w14:paraId="06644DA7">
            <w:pPr>
              <w:rPr>
                <w:rFonts w:ascii="宋体" w:hAnsi="宋体" w:eastAsia="宋体" w:cs="宋体"/>
                <w:szCs w:val="21"/>
              </w:rPr>
            </w:pPr>
          </w:p>
        </w:tc>
        <w:tc>
          <w:tcPr>
            <w:tcW w:w="1260" w:type="dxa"/>
          </w:tcPr>
          <w:p w14:paraId="1881278A">
            <w:pPr>
              <w:rPr>
                <w:rFonts w:ascii="宋体" w:hAnsi="宋体" w:eastAsia="宋体" w:cs="宋体"/>
                <w:szCs w:val="21"/>
              </w:rPr>
            </w:pPr>
          </w:p>
        </w:tc>
      </w:tr>
      <w:tr w14:paraId="644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5" w:type="dxa"/>
            <w:vAlign w:val="center"/>
          </w:tcPr>
          <w:p w14:paraId="4617C72C">
            <w:pPr>
              <w:jc w:val="center"/>
              <w:rPr>
                <w:rFonts w:ascii="宋体" w:hAnsi="宋体" w:eastAsia="宋体" w:cs="宋体"/>
                <w:szCs w:val="21"/>
              </w:rPr>
            </w:pPr>
          </w:p>
        </w:tc>
        <w:tc>
          <w:tcPr>
            <w:tcW w:w="4830" w:type="dxa"/>
            <w:vAlign w:val="center"/>
          </w:tcPr>
          <w:p w14:paraId="6B3A18E3">
            <w:pPr>
              <w:rPr>
                <w:rFonts w:ascii="宋体" w:hAnsi="宋体" w:eastAsia="宋体" w:cs="宋体"/>
                <w:szCs w:val="21"/>
              </w:rPr>
            </w:pPr>
            <w:r>
              <w:rPr>
                <w:rFonts w:hint="eastAsia" w:ascii="宋体" w:hAnsi="宋体" w:eastAsia="宋体" w:cs="宋体"/>
                <w:szCs w:val="21"/>
              </w:rPr>
              <w:t>是否通过并进入下一阶段评审</w:t>
            </w:r>
          </w:p>
        </w:tc>
        <w:tc>
          <w:tcPr>
            <w:tcW w:w="1260" w:type="dxa"/>
            <w:vAlign w:val="center"/>
          </w:tcPr>
          <w:p w14:paraId="6C39B412">
            <w:pPr>
              <w:rPr>
                <w:rFonts w:ascii="宋体" w:hAnsi="宋体" w:eastAsia="宋体" w:cs="宋体"/>
                <w:szCs w:val="21"/>
              </w:rPr>
            </w:pPr>
          </w:p>
        </w:tc>
        <w:tc>
          <w:tcPr>
            <w:tcW w:w="1260" w:type="dxa"/>
          </w:tcPr>
          <w:p w14:paraId="03EC3243">
            <w:pPr>
              <w:rPr>
                <w:rFonts w:ascii="宋体" w:hAnsi="宋体" w:eastAsia="宋体" w:cs="宋体"/>
                <w:szCs w:val="21"/>
              </w:rPr>
            </w:pPr>
          </w:p>
        </w:tc>
        <w:tc>
          <w:tcPr>
            <w:tcW w:w="1260" w:type="dxa"/>
          </w:tcPr>
          <w:p w14:paraId="70E144A0">
            <w:pPr>
              <w:rPr>
                <w:rFonts w:ascii="宋体" w:hAnsi="宋体" w:eastAsia="宋体" w:cs="宋体"/>
                <w:szCs w:val="21"/>
              </w:rPr>
            </w:pPr>
          </w:p>
        </w:tc>
      </w:tr>
    </w:tbl>
    <w:p w14:paraId="1CBB3E5A">
      <w:pPr>
        <w:tabs>
          <w:tab w:val="left" w:pos="720"/>
        </w:tabs>
        <w:snapToGrid w:val="0"/>
        <w:spacing w:before="156" w:beforeLines="50"/>
        <w:rPr>
          <w:rFonts w:ascii="宋体" w:hAnsi="宋体" w:eastAsia="宋体" w:cs="宋体"/>
          <w:szCs w:val="21"/>
        </w:rPr>
      </w:pPr>
      <w:r>
        <w:rPr>
          <w:rFonts w:hint="eastAsia" w:ascii="宋体" w:hAnsi="宋体" w:eastAsia="宋体" w:cs="宋体"/>
          <w:szCs w:val="21"/>
        </w:rPr>
        <w:t>备注：1、符合的打“○”，不符合的打“×”。</w:t>
      </w:r>
    </w:p>
    <w:p w14:paraId="50FE6F84">
      <w:pPr>
        <w:tabs>
          <w:tab w:val="left" w:pos="720"/>
        </w:tabs>
        <w:snapToGrid w:val="0"/>
        <w:spacing w:before="156" w:beforeLines="50"/>
        <w:ind w:firstLine="630" w:firstLineChars="300"/>
        <w:rPr>
          <w:rFonts w:ascii="宋体" w:hAnsi="宋体" w:eastAsia="宋体" w:cs="宋体"/>
          <w:szCs w:val="21"/>
        </w:rPr>
      </w:pPr>
      <w:r>
        <w:rPr>
          <w:rFonts w:hint="eastAsia" w:ascii="宋体" w:hAnsi="宋体" w:eastAsia="宋体" w:cs="宋体"/>
          <w:szCs w:val="21"/>
        </w:rPr>
        <w:t>2、经评标委员会审核后，出现一个“×”的结论为“不通过”。</w:t>
      </w:r>
    </w:p>
    <w:p w14:paraId="08161712">
      <w:pPr>
        <w:tabs>
          <w:tab w:val="left" w:pos="720"/>
        </w:tabs>
        <w:snapToGrid w:val="0"/>
        <w:spacing w:before="156" w:beforeLines="50"/>
        <w:ind w:firstLine="630" w:firstLineChars="300"/>
        <w:rPr>
          <w:rFonts w:ascii="宋体" w:hAnsi="宋体" w:eastAsia="宋体" w:cs="宋体"/>
          <w:szCs w:val="21"/>
        </w:rPr>
      </w:pPr>
      <w:r>
        <w:rPr>
          <w:rFonts w:hint="eastAsia" w:ascii="宋体" w:hAnsi="宋体" w:eastAsia="宋体" w:cs="宋体"/>
          <w:szCs w:val="21"/>
        </w:rPr>
        <w:t>3、“是否通过并进入下一阶段评审”一栏应写“通过”“不通过”。</w:t>
      </w:r>
    </w:p>
    <w:p w14:paraId="1186DEB3">
      <w:pPr>
        <w:tabs>
          <w:tab w:val="left" w:pos="720"/>
        </w:tabs>
        <w:snapToGrid w:val="0"/>
        <w:spacing w:before="156" w:beforeLines="50"/>
        <w:rPr>
          <w:rFonts w:ascii="宋体" w:hAnsi="宋体" w:eastAsia="宋体" w:cs="宋体"/>
          <w:szCs w:val="21"/>
        </w:rPr>
      </w:pPr>
      <w:r>
        <w:rPr>
          <w:rFonts w:hint="eastAsia" w:ascii="宋体" w:hAnsi="宋体" w:eastAsia="宋体" w:cs="宋体"/>
          <w:szCs w:val="21"/>
        </w:rPr>
        <w:t xml:space="preserve">      3、表中全部条件满足为“通过”，同意进入下一阶段评审。</w:t>
      </w:r>
    </w:p>
    <w:p w14:paraId="6F233ABC">
      <w:pPr>
        <w:tabs>
          <w:tab w:val="left" w:pos="720"/>
        </w:tabs>
        <w:snapToGrid w:val="0"/>
        <w:spacing w:before="156" w:beforeLines="50"/>
        <w:ind w:left="945" w:leftChars="300" w:hanging="315" w:hangingChars="150"/>
        <w:rPr>
          <w:rFonts w:ascii="宋体" w:hAnsi="宋体" w:eastAsia="宋体" w:cs="宋体"/>
          <w:szCs w:val="21"/>
        </w:rPr>
      </w:pPr>
      <w:r>
        <w:rPr>
          <w:rFonts w:hint="eastAsia" w:ascii="宋体" w:hAnsi="宋体" w:eastAsia="宋体" w:cs="宋体"/>
          <w:szCs w:val="21"/>
        </w:rPr>
        <w:t>4、若评委意见不一致时，则按少数服从多数的原则，决定该申请人是否通过资格审查，进入下一阶段评审。</w:t>
      </w:r>
    </w:p>
    <w:p w14:paraId="06F08254">
      <w:pPr>
        <w:tabs>
          <w:tab w:val="left" w:pos="720"/>
        </w:tabs>
        <w:snapToGrid w:val="0"/>
        <w:rPr>
          <w:rFonts w:ascii="宋体" w:hAnsi="宋体" w:eastAsia="宋体" w:cs="宋体"/>
          <w:sz w:val="18"/>
          <w:szCs w:val="18"/>
        </w:rPr>
      </w:pPr>
    </w:p>
    <w:p w14:paraId="355C2BA2">
      <w:pPr>
        <w:tabs>
          <w:tab w:val="left" w:pos="720"/>
        </w:tabs>
        <w:snapToGrid w:val="0"/>
        <w:spacing w:line="480" w:lineRule="auto"/>
        <w:ind w:firstLine="945" w:firstLineChars="450"/>
        <w:rPr>
          <w:rFonts w:ascii="宋体" w:hAnsi="宋体" w:eastAsia="宋体" w:cs="宋体"/>
          <w:szCs w:val="21"/>
        </w:rPr>
      </w:pPr>
      <w:r>
        <w:rPr>
          <w:rFonts w:hint="eastAsia" w:ascii="宋体" w:hAnsi="宋体" w:eastAsia="宋体" w:cs="宋体"/>
          <w:szCs w:val="21"/>
        </w:rPr>
        <w:t>评委签名：                                    日期：</w:t>
      </w:r>
    </w:p>
    <w:p w14:paraId="5C2CEE07">
      <w:pPr>
        <w:tabs>
          <w:tab w:val="left" w:pos="720"/>
        </w:tabs>
        <w:snapToGrid w:val="0"/>
        <w:spacing w:line="480" w:lineRule="auto"/>
        <w:ind w:firstLine="1080" w:firstLineChars="450"/>
        <w:rPr>
          <w:rFonts w:ascii="宋体" w:hAnsi="宋体" w:eastAsia="宋体" w:cs="宋体"/>
          <w:position w:val="12"/>
          <w:sz w:val="24"/>
          <w:szCs w:val="24"/>
        </w:rPr>
      </w:pPr>
    </w:p>
    <w:p w14:paraId="352627EB">
      <w:pPr>
        <w:spacing w:line="360" w:lineRule="auto"/>
        <w:outlineLvl w:val="0"/>
        <w:rPr>
          <w:rFonts w:ascii="宋体" w:hAnsi="宋体" w:eastAsia="宋体" w:cs="宋体"/>
          <w:b/>
          <w:bCs/>
          <w:sz w:val="28"/>
          <w:szCs w:val="28"/>
        </w:rPr>
      </w:pPr>
      <w:r>
        <w:rPr>
          <w:rFonts w:hint="eastAsia" w:ascii="宋体" w:hAnsi="宋体" w:eastAsia="宋体" w:cs="宋体"/>
          <w:b/>
          <w:sz w:val="24"/>
          <w:szCs w:val="24"/>
        </w:rPr>
        <w:br w:type="page"/>
      </w:r>
      <w:bookmarkStart w:id="4" w:name="_Toc468951615"/>
      <w:bookmarkStart w:id="5" w:name="_Toc17721"/>
      <w:bookmarkStart w:id="6" w:name="_Toc4784"/>
      <w:bookmarkStart w:id="7" w:name="_Toc6870"/>
      <w:r>
        <w:rPr>
          <w:rFonts w:ascii="宋体" w:hAnsi="宋体" w:eastAsia="宋体" w:cs="宋体"/>
          <w:b/>
          <w:bCs/>
          <w:sz w:val="28"/>
          <w:szCs w:val="28"/>
        </w:rPr>
        <w:t>附表二：</w:t>
      </w:r>
      <w:bookmarkEnd w:id="4"/>
      <w:r>
        <w:rPr>
          <w:rFonts w:ascii="宋体" w:hAnsi="宋体" w:eastAsia="宋体" w:cs="宋体"/>
          <w:b/>
          <w:bCs/>
          <w:sz w:val="28"/>
          <w:szCs w:val="28"/>
        </w:rPr>
        <w:t>符合性审查表</w:t>
      </w:r>
      <w:bookmarkEnd w:id="5"/>
      <w:bookmarkEnd w:id="6"/>
      <w:bookmarkEnd w:id="7"/>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542"/>
        <w:gridCol w:w="1056"/>
        <w:gridCol w:w="1164"/>
        <w:gridCol w:w="996"/>
        <w:gridCol w:w="1030"/>
      </w:tblGrid>
      <w:tr w14:paraId="43B6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8" w:type="dxa"/>
            <w:vAlign w:val="center"/>
          </w:tcPr>
          <w:p w14:paraId="0666126D">
            <w:pPr>
              <w:spacing w:line="440" w:lineRule="exact"/>
              <w:ind w:left="2" w:right="-48" w:rightChars="-23"/>
              <w:jc w:val="center"/>
              <w:rPr>
                <w:rFonts w:ascii="宋体" w:hAnsi="宋体" w:eastAsia="宋体" w:cs="宋体"/>
                <w:szCs w:val="21"/>
              </w:rPr>
            </w:pPr>
            <w:r>
              <w:rPr>
                <w:rFonts w:hint="eastAsia" w:ascii="宋体" w:hAnsi="宋体" w:eastAsia="宋体" w:cs="宋体"/>
                <w:szCs w:val="21"/>
              </w:rPr>
              <w:t>序号</w:t>
            </w:r>
          </w:p>
        </w:tc>
        <w:tc>
          <w:tcPr>
            <w:tcW w:w="3542" w:type="dxa"/>
            <w:tcBorders>
              <w:tl2br w:val="single" w:color="auto" w:sz="4" w:space="0"/>
            </w:tcBorders>
          </w:tcPr>
          <w:p w14:paraId="6129C8DD">
            <w:pPr>
              <w:spacing w:line="440" w:lineRule="exact"/>
              <w:ind w:left="171"/>
              <w:jc w:val="left"/>
              <w:rPr>
                <w:rFonts w:ascii="宋体" w:hAnsi="宋体" w:eastAsia="宋体" w:cs="宋体"/>
                <w:szCs w:val="21"/>
              </w:rPr>
            </w:pPr>
            <w:r>
              <w:rPr>
                <w:rFonts w:hint="eastAsia" w:ascii="宋体" w:hAnsi="宋体" w:eastAsia="宋体" w:cs="宋体"/>
                <w:szCs w:val="21"/>
              </w:rPr>
              <w:t xml:space="preserve">                      投标人</w:t>
            </w:r>
          </w:p>
          <w:p w14:paraId="2FB6EC52">
            <w:pPr>
              <w:spacing w:line="440" w:lineRule="exact"/>
              <w:ind w:left="171"/>
              <w:jc w:val="left"/>
              <w:rPr>
                <w:rFonts w:ascii="宋体" w:hAnsi="宋体" w:eastAsia="宋体" w:cs="宋体"/>
                <w:szCs w:val="21"/>
              </w:rPr>
            </w:pPr>
            <w:r>
              <w:rPr>
                <w:rFonts w:hint="eastAsia" w:ascii="宋体" w:hAnsi="宋体" w:eastAsia="宋体" w:cs="宋体"/>
                <w:szCs w:val="21"/>
              </w:rPr>
              <w:t>评审内容</w:t>
            </w:r>
          </w:p>
        </w:tc>
        <w:tc>
          <w:tcPr>
            <w:tcW w:w="1056" w:type="dxa"/>
          </w:tcPr>
          <w:p w14:paraId="71F72CFC">
            <w:pPr>
              <w:spacing w:line="440" w:lineRule="exact"/>
              <w:ind w:left="171"/>
              <w:jc w:val="left"/>
              <w:rPr>
                <w:rFonts w:ascii="宋体" w:hAnsi="宋体" w:eastAsia="宋体" w:cs="宋体"/>
                <w:szCs w:val="21"/>
              </w:rPr>
            </w:pPr>
          </w:p>
        </w:tc>
        <w:tc>
          <w:tcPr>
            <w:tcW w:w="1164" w:type="dxa"/>
          </w:tcPr>
          <w:p w14:paraId="78CBBC40">
            <w:pPr>
              <w:spacing w:line="440" w:lineRule="exact"/>
              <w:ind w:left="171"/>
              <w:jc w:val="left"/>
              <w:rPr>
                <w:rFonts w:ascii="宋体" w:hAnsi="宋体" w:eastAsia="宋体" w:cs="宋体"/>
                <w:szCs w:val="21"/>
              </w:rPr>
            </w:pPr>
          </w:p>
        </w:tc>
        <w:tc>
          <w:tcPr>
            <w:tcW w:w="996" w:type="dxa"/>
          </w:tcPr>
          <w:p w14:paraId="4505459F">
            <w:pPr>
              <w:spacing w:line="440" w:lineRule="exact"/>
              <w:ind w:left="171"/>
              <w:jc w:val="left"/>
              <w:rPr>
                <w:rFonts w:ascii="宋体" w:hAnsi="宋体" w:eastAsia="宋体" w:cs="宋体"/>
                <w:szCs w:val="21"/>
              </w:rPr>
            </w:pPr>
          </w:p>
        </w:tc>
        <w:tc>
          <w:tcPr>
            <w:tcW w:w="1030" w:type="dxa"/>
          </w:tcPr>
          <w:p w14:paraId="4A99AFD6">
            <w:pPr>
              <w:spacing w:line="440" w:lineRule="exact"/>
              <w:ind w:left="171"/>
              <w:jc w:val="left"/>
              <w:rPr>
                <w:rFonts w:ascii="宋体" w:hAnsi="宋体" w:eastAsia="宋体" w:cs="宋体"/>
                <w:szCs w:val="21"/>
              </w:rPr>
            </w:pPr>
          </w:p>
        </w:tc>
      </w:tr>
      <w:tr w14:paraId="2F0A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737C08D2">
            <w:pPr>
              <w:ind w:left="2" w:right="-48" w:rightChars="-23"/>
              <w:jc w:val="center"/>
              <w:rPr>
                <w:rFonts w:ascii="宋体" w:hAnsi="宋体" w:eastAsia="宋体" w:cs="宋体"/>
                <w:szCs w:val="21"/>
              </w:rPr>
            </w:pPr>
            <w:r>
              <w:rPr>
                <w:rFonts w:hint="eastAsia" w:ascii="宋体" w:hAnsi="宋体" w:eastAsia="宋体" w:cs="宋体"/>
                <w:szCs w:val="21"/>
              </w:rPr>
              <w:t>1</w:t>
            </w:r>
          </w:p>
        </w:tc>
        <w:tc>
          <w:tcPr>
            <w:tcW w:w="3542" w:type="dxa"/>
            <w:vAlign w:val="center"/>
          </w:tcPr>
          <w:p w14:paraId="5BFF6E35">
            <w:pPr>
              <w:ind w:left="171"/>
              <w:jc w:val="left"/>
              <w:rPr>
                <w:rFonts w:ascii="宋体" w:hAnsi="宋体" w:eastAsia="宋体" w:cs="宋体"/>
                <w:szCs w:val="21"/>
              </w:rPr>
            </w:pPr>
            <w:r>
              <w:rPr>
                <w:rFonts w:hint="eastAsia" w:ascii="宋体" w:hAnsi="宋体" w:eastAsia="宋体" w:cs="宋体"/>
                <w:szCs w:val="21"/>
              </w:rPr>
              <w:t>投标文件所列投标人名称与投标人法定印章是否一致</w:t>
            </w:r>
          </w:p>
        </w:tc>
        <w:tc>
          <w:tcPr>
            <w:tcW w:w="1056" w:type="dxa"/>
          </w:tcPr>
          <w:p w14:paraId="622B56F5">
            <w:pPr>
              <w:ind w:left="171"/>
              <w:jc w:val="left"/>
              <w:rPr>
                <w:rFonts w:ascii="宋体" w:hAnsi="宋体" w:eastAsia="宋体" w:cs="宋体"/>
                <w:szCs w:val="21"/>
              </w:rPr>
            </w:pPr>
          </w:p>
        </w:tc>
        <w:tc>
          <w:tcPr>
            <w:tcW w:w="1164" w:type="dxa"/>
          </w:tcPr>
          <w:p w14:paraId="58563705">
            <w:pPr>
              <w:ind w:left="171"/>
              <w:jc w:val="left"/>
              <w:rPr>
                <w:rFonts w:ascii="宋体" w:hAnsi="宋体" w:eastAsia="宋体" w:cs="宋体"/>
                <w:szCs w:val="21"/>
              </w:rPr>
            </w:pPr>
          </w:p>
        </w:tc>
        <w:tc>
          <w:tcPr>
            <w:tcW w:w="996" w:type="dxa"/>
          </w:tcPr>
          <w:p w14:paraId="1245198C">
            <w:pPr>
              <w:ind w:left="171"/>
              <w:jc w:val="left"/>
              <w:rPr>
                <w:rFonts w:ascii="宋体" w:hAnsi="宋体" w:eastAsia="宋体" w:cs="宋体"/>
                <w:szCs w:val="21"/>
              </w:rPr>
            </w:pPr>
          </w:p>
        </w:tc>
        <w:tc>
          <w:tcPr>
            <w:tcW w:w="1030" w:type="dxa"/>
          </w:tcPr>
          <w:p w14:paraId="69E2AADF">
            <w:pPr>
              <w:ind w:left="171"/>
              <w:jc w:val="left"/>
              <w:rPr>
                <w:rFonts w:ascii="宋体" w:hAnsi="宋体" w:eastAsia="宋体" w:cs="宋体"/>
                <w:szCs w:val="21"/>
              </w:rPr>
            </w:pPr>
          </w:p>
        </w:tc>
      </w:tr>
      <w:tr w14:paraId="4048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4A16E422">
            <w:pPr>
              <w:ind w:left="2" w:right="-48" w:rightChars="-23"/>
              <w:jc w:val="center"/>
              <w:rPr>
                <w:rFonts w:ascii="宋体" w:hAnsi="宋体" w:eastAsia="宋体" w:cs="宋体"/>
                <w:szCs w:val="21"/>
              </w:rPr>
            </w:pPr>
            <w:r>
              <w:rPr>
                <w:rFonts w:hint="eastAsia" w:ascii="宋体" w:hAnsi="宋体" w:eastAsia="宋体" w:cs="宋体"/>
                <w:szCs w:val="21"/>
              </w:rPr>
              <w:t>2</w:t>
            </w:r>
          </w:p>
        </w:tc>
        <w:tc>
          <w:tcPr>
            <w:tcW w:w="3542" w:type="dxa"/>
            <w:vAlign w:val="center"/>
          </w:tcPr>
          <w:p w14:paraId="3F5A48D2">
            <w:pPr>
              <w:ind w:left="171"/>
              <w:jc w:val="left"/>
              <w:rPr>
                <w:rFonts w:ascii="宋体" w:hAnsi="宋体" w:eastAsia="宋体" w:cs="宋体"/>
                <w:szCs w:val="21"/>
              </w:rPr>
            </w:pPr>
            <w:r>
              <w:rPr>
                <w:rFonts w:hint="eastAsia" w:ascii="宋体" w:hAnsi="宋体" w:eastAsia="宋体" w:cs="宋体"/>
                <w:szCs w:val="21"/>
              </w:rPr>
              <w:t>投标文件中具有有效的法定代表人证明书原件或法定代表人授权书原件</w:t>
            </w:r>
          </w:p>
        </w:tc>
        <w:tc>
          <w:tcPr>
            <w:tcW w:w="1056" w:type="dxa"/>
          </w:tcPr>
          <w:p w14:paraId="2880B809">
            <w:pPr>
              <w:ind w:left="171"/>
              <w:jc w:val="left"/>
              <w:rPr>
                <w:rFonts w:ascii="宋体" w:hAnsi="宋体" w:eastAsia="宋体" w:cs="宋体"/>
                <w:szCs w:val="21"/>
              </w:rPr>
            </w:pPr>
          </w:p>
        </w:tc>
        <w:tc>
          <w:tcPr>
            <w:tcW w:w="1164" w:type="dxa"/>
          </w:tcPr>
          <w:p w14:paraId="365A21D5">
            <w:pPr>
              <w:ind w:left="171"/>
              <w:jc w:val="left"/>
              <w:rPr>
                <w:rFonts w:ascii="宋体" w:hAnsi="宋体" w:eastAsia="宋体" w:cs="宋体"/>
                <w:szCs w:val="21"/>
              </w:rPr>
            </w:pPr>
          </w:p>
        </w:tc>
        <w:tc>
          <w:tcPr>
            <w:tcW w:w="996" w:type="dxa"/>
          </w:tcPr>
          <w:p w14:paraId="0ADE2D25">
            <w:pPr>
              <w:ind w:left="171"/>
              <w:jc w:val="left"/>
              <w:rPr>
                <w:rFonts w:ascii="宋体" w:hAnsi="宋体" w:eastAsia="宋体" w:cs="宋体"/>
                <w:szCs w:val="21"/>
              </w:rPr>
            </w:pPr>
          </w:p>
        </w:tc>
        <w:tc>
          <w:tcPr>
            <w:tcW w:w="1030" w:type="dxa"/>
          </w:tcPr>
          <w:p w14:paraId="6DFF5EB8">
            <w:pPr>
              <w:ind w:left="171"/>
              <w:jc w:val="left"/>
              <w:rPr>
                <w:rFonts w:ascii="宋体" w:hAnsi="宋体" w:eastAsia="宋体" w:cs="宋体"/>
                <w:szCs w:val="21"/>
              </w:rPr>
            </w:pPr>
          </w:p>
        </w:tc>
      </w:tr>
      <w:tr w14:paraId="504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23450D0E">
            <w:pPr>
              <w:ind w:left="2" w:right="-48" w:rightChars="-23"/>
              <w:jc w:val="center"/>
              <w:rPr>
                <w:rFonts w:ascii="宋体" w:hAnsi="宋体" w:eastAsia="宋体" w:cs="宋体"/>
                <w:szCs w:val="21"/>
              </w:rPr>
            </w:pPr>
            <w:r>
              <w:rPr>
                <w:rFonts w:hint="eastAsia" w:ascii="宋体" w:hAnsi="宋体" w:eastAsia="宋体" w:cs="宋体"/>
                <w:szCs w:val="21"/>
              </w:rPr>
              <w:t>3</w:t>
            </w:r>
          </w:p>
        </w:tc>
        <w:tc>
          <w:tcPr>
            <w:tcW w:w="3542" w:type="dxa"/>
            <w:vAlign w:val="center"/>
          </w:tcPr>
          <w:p w14:paraId="666A99EA">
            <w:pPr>
              <w:ind w:left="171"/>
              <w:jc w:val="left"/>
              <w:rPr>
                <w:rFonts w:ascii="宋体" w:hAnsi="宋体" w:eastAsia="宋体" w:cs="宋体"/>
                <w:szCs w:val="21"/>
              </w:rPr>
            </w:pPr>
            <w:r>
              <w:rPr>
                <w:rFonts w:hint="eastAsia" w:ascii="宋体" w:hAnsi="宋体" w:eastAsia="宋体" w:cs="宋体"/>
                <w:szCs w:val="21"/>
              </w:rPr>
              <w:t>投标文件的封面加盖投标人的法定印章且经申请人代表签名</w:t>
            </w:r>
          </w:p>
        </w:tc>
        <w:tc>
          <w:tcPr>
            <w:tcW w:w="1056" w:type="dxa"/>
          </w:tcPr>
          <w:p w14:paraId="751111AE">
            <w:pPr>
              <w:ind w:left="171"/>
              <w:jc w:val="left"/>
              <w:rPr>
                <w:rFonts w:ascii="宋体" w:hAnsi="宋体" w:eastAsia="宋体" w:cs="宋体"/>
                <w:szCs w:val="21"/>
              </w:rPr>
            </w:pPr>
          </w:p>
        </w:tc>
        <w:tc>
          <w:tcPr>
            <w:tcW w:w="1164" w:type="dxa"/>
          </w:tcPr>
          <w:p w14:paraId="604FFA99">
            <w:pPr>
              <w:ind w:left="171"/>
              <w:jc w:val="left"/>
              <w:rPr>
                <w:rFonts w:ascii="宋体" w:hAnsi="宋体" w:eastAsia="宋体" w:cs="宋体"/>
                <w:szCs w:val="21"/>
              </w:rPr>
            </w:pPr>
          </w:p>
        </w:tc>
        <w:tc>
          <w:tcPr>
            <w:tcW w:w="996" w:type="dxa"/>
          </w:tcPr>
          <w:p w14:paraId="771462DF">
            <w:pPr>
              <w:ind w:left="171"/>
              <w:jc w:val="left"/>
              <w:rPr>
                <w:rFonts w:ascii="宋体" w:hAnsi="宋体" w:eastAsia="宋体" w:cs="宋体"/>
                <w:szCs w:val="21"/>
              </w:rPr>
            </w:pPr>
          </w:p>
        </w:tc>
        <w:tc>
          <w:tcPr>
            <w:tcW w:w="1030" w:type="dxa"/>
          </w:tcPr>
          <w:p w14:paraId="2C57954E">
            <w:pPr>
              <w:ind w:left="171"/>
              <w:jc w:val="left"/>
              <w:rPr>
                <w:rFonts w:ascii="宋体" w:hAnsi="宋体" w:eastAsia="宋体" w:cs="宋体"/>
                <w:szCs w:val="21"/>
              </w:rPr>
            </w:pPr>
          </w:p>
        </w:tc>
      </w:tr>
      <w:tr w14:paraId="2BE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00882444">
            <w:pPr>
              <w:ind w:left="2" w:right="-48" w:rightChars="-23"/>
              <w:jc w:val="center"/>
              <w:rPr>
                <w:rFonts w:ascii="宋体" w:hAnsi="宋体" w:eastAsia="宋体" w:cs="宋体"/>
                <w:szCs w:val="21"/>
              </w:rPr>
            </w:pPr>
            <w:r>
              <w:rPr>
                <w:rFonts w:hint="eastAsia" w:ascii="宋体" w:hAnsi="宋体" w:eastAsia="宋体" w:cs="宋体"/>
                <w:szCs w:val="21"/>
              </w:rPr>
              <w:t>4</w:t>
            </w:r>
          </w:p>
        </w:tc>
        <w:tc>
          <w:tcPr>
            <w:tcW w:w="3542" w:type="dxa"/>
            <w:vAlign w:val="center"/>
          </w:tcPr>
          <w:p w14:paraId="3DF04346">
            <w:pPr>
              <w:ind w:left="171"/>
              <w:jc w:val="left"/>
              <w:rPr>
                <w:rFonts w:ascii="宋体" w:hAnsi="宋体" w:eastAsia="宋体" w:cs="宋体"/>
                <w:szCs w:val="21"/>
              </w:rPr>
            </w:pPr>
            <w:r>
              <w:rPr>
                <w:rFonts w:hint="eastAsia" w:ascii="宋体" w:hAnsi="宋体" w:eastAsia="宋体" w:cs="宋体"/>
                <w:szCs w:val="21"/>
              </w:rPr>
              <w:t>按规定的格式填写，内容齐全，没有关键字迹模糊、无法辩认的情况</w:t>
            </w:r>
          </w:p>
        </w:tc>
        <w:tc>
          <w:tcPr>
            <w:tcW w:w="1056" w:type="dxa"/>
          </w:tcPr>
          <w:p w14:paraId="600754E8">
            <w:pPr>
              <w:ind w:left="171"/>
              <w:jc w:val="left"/>
              <w:rPr>
                <w:rFonts w:ascii="宋体" w:hAnsi="宋体" w:eastAsia="宋体" w:cs="宋体"/>
                <w:szCs w:val="21"/>
              </w:rPr>
            </w:pPr>
          </w:p>
        </w:tc>
        <w:tc>
          <w:tcPr>
            <w:tcW w:w="1164" w:type="dxa"/>
          </w:tcPr>
          <w:p w14:paraId="4963945D">
            <w:pPr>
              <w:ind w:left="171"/>
              <w:jc w:val="left"/>
              <w:rPr>
                <w:rFonts w:ascii="宋体" w:hAnsi="宋体" w:eastAsia="宋体" w:cs="宋体"/>
                <w:szCs w:val="21"/>
              </w:rPr>
            </w:pPr>
          </w:p>
        </w:tc>
        <w:tc>
          <w:tcPr>
            <w:tcW w:w="996" w:type="dxa"/>
          </w:tcPr>
          <w:p w14:paraId="537C30CA">
            <w:pPr>
              <w:ind w:left="171"/>
              <w:jc w:val="left"/>
              <w:rPr>
                <w:rFonts w:ascii="宋体" w:hAnsi="宋体" w:eastAsia="宋体" w:cs="宋体"/>
                <w:szCs w:val="21"/>
              </w:rPr>
            </w:pPr>
          </w:p>
        </w:tc>
        <w:tc>
          <w:tcPr>
            <w:tcW w:w="1030" w:type="dxa"/>
          </w:tcPr>
          <w:p w14:paraId="508045C5">
            <w:pPr>
              <w:ind w:left="171"/>
              <w:jc w:val="left"/>
              <w:rPr>
                <w:rFonts w:ascii="宋体" w:hAnsi="宋体" w:eastAsia="宋体" w:cs="宋体"/>
                <w:szCs w:val="21"/>
              </w:rPr>
            </w:pPr>
          </w:p>
        </w:tc>
      </w:tr>
      <w:tr w14:paraId="127F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8" w:type="dxa"/>
            <w:vAlign w:val="center"/>
          </w:tcPr>
          <w:p w14:paraId="328EF56A">
            <w:pPr>
              <w:ind w:left="2" w:right="-48" w:rightChars="-23"/>
              <w:jc w:val="center"/>
              <w:rPr>
                <w:rFonts w:ascii="宋体" w:hAnsi="宋体" w:eastAsia="宋体" w:cs="宋体"/>
                <w:szCs w:val="21"/>
              </w:rPr>
            </w:pPr>
            <w:r>
              <w:rPr>
                <w:rFonts w:hint="eastAsia" w:ascii="宋体" w:hAnsi="宋体" w:eastAsia="宋体" w:cs="宋体"/>
                <w:szCs w:val="21"/>
              </w:rPr>
              <w:t>5</w:t>
            </w:r>
          </w:p>
        </w:tc>
        <w:tc>
          <w:tcPr>
            <w:tcW w:w="3542" w:type="dxa"/>
            <w:vAlign w:val="center"/>
          </w:tcPr>
          <w:p w14:paraId="6245DBF5">
            <w:pPr>
              <w:ind w:left="171"/>
              <w:jc w:val="left"/>
              <w:rPr>
                <w:rFonts w:ascii="宋体" w:hAnsi="宋体" w:eastAsia="宋体" w:cs="宋体"/>
                <w:szCs w:val="21"/>
              </w:rPr>
            </w:pPr>
            <w:r>
              <w:rPr>
                <w:rFonts w:hint="eastAsia" w:ascii="宋体" w:hAnsi="宋体" w:eastAsia="宋体" w:cs="宋体"/>
                <w:szCs w:val="24"/>
              </w:rPr>
              <w:t>不存在串通投标情形（串通投标情形以《中华人民共和国招标投标法实施条例》第四十条为准）</w:t>
            </w:r>
          </w:p>
        </w:tc>
        <w:tc>
          <w:tcPr>
            <w:tcW w:w="1056" w:type="dxa"/>
          </w:tcPr>
          <w:p w14:paraId="6C983380">
            <w:pPr>
              <w:ind w:left="171"/>
              <w:jc w:val="left"/>
              <w:rPr>
                <w:rFonts w:ascii="宋体" w:hAnsi="宋体" w:eastAsia="宋体" w:cs="宋体"/>
                <w:szCs w:val="21"/>
              </w:rPr>
            </w:pPr>
          </w:p>
        </w:tc>
        <w:tc>
          <w:tcPr>
            <w:tcW w:w="1164" w:type="dxa"/>
          </w:tcPr>
          <w:p w14:paraId="143F2452">
            <w:pPr>
              <w:ind w:left="171"/>
              <w:jc w:val="left"/>
              <w:rPr>
                <w:rFonts w:ascii="宋体" w:hAnsi="宋体" w:eastAsia="宋体" w:cs="宋体"/>
                <w:szCs w:val="21"/>
              </w:rPr>
            </w:pPr>
          </w:p>
        </w:tc>
        <w:tc>
          <w:tcPr>
            <w:tcW w:w="996" w:type="dxa"/>
          </w:tcPr>
          <w:p w14:paraId="0B7FB592">
            <w:pPr>
              <w:ind w:left="171"/>
              <w:jc w:val="left"/>
              <w:rPr>
                <w:rFonts w:ascii="宋体" w:hAnsi="宋体" w:eastAsia="宋体" w:cs="宋体"/>
                <w:szCs w:val="21"/>
              </w:rPr>
            </w:pPr>
          </w:p>
        </w:tc>
        <w:tc>
          <w:tcPr>
            <w:tcW w:w="1030" w:type="dxa"/>
          </w:tcPr>
          <w:p w14:paraId="27DABFC4">
            <w:pPr>
              <w:ind w:left="171"/>
              <w:jc w:val="left"/>
              <w:rPr>
                <w:rFonts w:ascii="宋体" w:hAnsi="宋体" w:eastAsia="宋体" w:cs="宋体"/>
                <w:szCs w:val="21"/>
              </w:rPr>
            </w:pPr>
          </w:p>
        </w:tc>
      </w:tr>
      <w:tr w14:paraId="26F3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8" w:type="dxa"/>
            <w:vAlign w:val="center"/>
          </w:tcPr>
          <w:p w14:paraId="22D5E572">
            <w:pPr>
              <w:ind w:left="2" w:right="-48" w:rightChars="-23"/>
              <w:jc w:val="center"/>
              <w:rPr>
                <w:rFonts w:ascii="宋体" w:hAnsi="宋体" w:eastAsia="宋体" w:cs="宋体"/>
                <w:szCs w:val="21"/>
              </w:rPr>
            </w:pPr>
            <w:r>
              <w:rPr>
                <w:rFonts w:hint="eastAsia" w:ascii="宋体" w:hAnsi="宋体" w:eastAsia="宋体" w:cs="宋体"/>
                <w:szCs w:val="21"/>
              </w:rPr>
              <w:t>结论</w:t>
            </w:r>
          </w:p>
        </w:tc>
        <w:tc>
          <w:tcPr>
            <w:tcW w:w="3542" w:type="dxa"/>
            <w:vAlign w:val="center"/>
          </w:tcPr>
          <w:p w14:paraId="7975EF59">
            <w:pPr>
              <w:ind w:left="171"/>
              <w:jc w:val="left"/>
              <w:rPr>
                <w:rFonts w:ascii="宋体" w:hAnsi="宋体" w:eastAsia="宋体" w:cs="宋体"/>
                <w:szCs w:val="21"/>
              </w:rPr>
            </w:pPr>
            <w:r>
              <w:rPr>
                <w:rFonts w:hint="eastAsia" w:ascii="宋体" w:hAnsi="宋体" w:eastAsia="宋体" w:cs="宋体"/>
                <w:szCs w:val="21"/>
              </w:rPr>
              <w:t>是否通过并进入下一阶段评审</w:t>
            </w:r>
          </w:p>
        </w:tc>
        <w:tc>
          <w:tcPr>
            <w:tcW w:w="1056" w:type="dxa"/>
          </w:tcPr>
          <w:p w14:paraId="6D8C4133">
            <w:pPr>
              <w:ind w:left="171"/>
              <w:jc w:val="left"/>
              <w:rPr>
                <w:rFonts w:ascii="宋体" w:hAnsi="宋体" w:eastAsia="宋体" w:cs="宋体"/>
                <w:szCs w:val="21"/>
              </w:rPr>
            </w:pPr>
          </w:p>
        </w:tc>
        <w:tc>
          <w:tcPr>
            <w:tcW w:w="1164" w:type="dxa"/>
          </w:tcPr>
          <w:p w14:paraId="7C065BCD">
            <w:pPr>
              <w:ind w:left="171"/>
              <w:jc w:val="left"/>
              <w:rPr>
                <w:rFonts w:ascii="宋体" w:hAnsi="宋体" w:eastAsia="宋体" w:cs="宋体"/>
                <w:szCs w:val="21"/>
              </w:rPr>
            </w:pPr>
          </w:p>
        </w:tc>
        <w:tc>
          <w:tcPr>
            <w:tcW w:w="996" w:type="dxa"/>
          </w:tcPr>
          <w:p w14:paraId="467FFF60">
            <w:pPr>
              <w:ind w:left="171"/>
              <w:jc w:val="left"/>
              <w:rPr>
                <w:rFonts w:ascii="宋体" w:hAnsi="宋体" w:eastAsia="宋体" w:cs="宋体"/>
                <w:szCs w:val="21"/>
              </w:rPr>
            </w:pPr>
          </w:p>
        </w:tc>
        <w:tc>
          <w:tcPr>
            <w:tcW w:w="1030" w:type="dxa"/>
          </w:tcPr>
          <w:p w14:paraId="37E2EED0">
            <w:pPr>
              <w:ind w:left="171"/>
              <w:jc w:val="left"/>
              <w:rPr>
                <w:rFonts w:ascii="宋体" w:hAnsi="宋体" w:eastAsia="宋体" w:cs="宋体"/>
                <w:szCs w:val="21"/>
              </w:rPr>
            </w:pPr>
          </w:p>
        </w:tc>
      </w:tr>
    </w:tbl>
    <w:p w14:paraId="58F012FE">
      <w:pPr>
        <w:tabs>
          <w:tab w:val="left" w:pos="720"/>
        </w:tabs>
        <w:snapToGrid w:val="0"/>
        <w:spacing w:line="320" w:lineRule="exact"/>
        <w:rPr>
          <w:rFonts w:ascii="宋体" w:hAnsi="宋体" w:eastAsia="宋体" w:cs="宋体"/>
          <w:szCs w:val="21"/>
        </w:rPr>
      </w:pPr>
    </w:p>
    <w:p w14:paraId="40511516">
      <w:pPr>
        <w:tabs>
          <w:tab w:val="left" w:pos="720"/>
        </w:tabs>
        <w:snapToGrid w:val="0"/>
        <w:spacing w:line="320" w:lineRule="exact"/>
        <w:rPr>
          <w:rFonts w:ascii="宋体" w:hAnsi="宋体" w:eastAsia="宋体" w:cs="宋体"/>
          <w:szCs w:val="21"/>
        </w:rPr>
      </w:pPr>
      <w:r>
        <w:rPr>
          <w:rFonts w:hint="eastAsia" w:ascii="宋体" w:hAnsi="宋体" w:eastAsia="宋体" w:cs="宋体"/>
          <w:szCs w:val="21"/>
        </w:rPr>
        <w:t>备注：1、“是否通过并进入下一阶段评审”一栏应写“通过”“不通过”。</w:t>
      </w:r>
    </w:p>
    <w:p w14:paraId="52D949CB">
      <w:pPr>
        <w:tabs>
          <w:tab w:val="left" w:pos="720"/>
        </w:tabs>
        <w:snapToGrid w:val="0"/>
        <w:spacing w:line="320" w:lineRule="exact"/>
        <w:ind w:firstLine="630" w:firstLineChars="300"/>
        <w:rPr>
          <w:rFonts w:ascii="宋体" w:hAnsi="宋体" w:eastAsia="宋体" w:cs="宋体"/>
          <w:szCs w:val="21"/>
        </w:rPr>
      </w:pPr>
      <w:r>
        <w:rPr>
          <w:rFonts w:hint="eastAsia" w:ascii="宋体" w:hAnsi="宋体" w:eastAsia="宋体" w:cs="宋体"/>
          <w:szCs w:val="21"/>
        </w:rPr>
        <w:t>2、未出现上述情况的打“○”，出现的打“×”。</w:t>
      </w:r>
    </w:p>
    <w:p w14:paraId="24A08B2B">
      <w:pPr>
        <w:tabs>
          <w:tab w:val="left" w:pos="720"/>
        </w:tabs>
        <w:snapToGrid w:val="0"/>
        <w:spacing w:line="320" w:lineRule="exact"/>
        <w:rPr>
          <w:rFonts w:ascii="宋体" w:hAnsi="宋体" w:eastAsia="宋体" w:cs="宋体"/>
          <w:szCs w:val="21"/>
        </w:rPr>
      </w:pPr>
      <w:r>
        <w:rPr>
          <w:rFonts w:hint="eastAsia" w:ascii="宋体" w:hAnsi="宋体" w:eastAsia="宋体" w:cs="宋体"/>
          <w:szCs w:val="21"/>
        </w:rPr>
        <w:t xml:space="preserve">      3、经评标委员会审核后，出现一个“×”的结论为“不通过”，即按废标处理。</w:t>
      </w:r>
    </w:p>
    <w:p w14:paraId="154537AF">
      <w:pPr>
        <w:tabs>
          <w:tab w:val="left" w:pos="720"/>
        </w:tabs>
        <w:snapToGrid w:val="0"/>
        <w:spacing w:line="320" w:lineRule="exact"/>
        <w:ind w:firstLine="630" w:firstLineChars="300"/>
        <w:rPr>
          <w:rFonts w:ascii="宋体" w:hAnsi="宋体" w:eastAsia="宋体" w:cs="宋体"/>
          <w:szCs w:val="21"/>
        </w:rPr>
      </w:pPr>
      <w:r>
        <w:rPr>
          <w:rFonts w:hint="eastAsia" w:ascii="宋体" w:hAnsi="宋体" w:eastAsia="宋体" w:cs="宋体"/>
          <w:szCs w:val="21"/>
        </w:rPr>
        <w:t>4、表中全部条件满足为“通过”，同意进入下一阶段评审。</w:t>
      </w:r>
    </w:p>
    <w:p w14:paraId="235B31D5">
      <w:pPr>
        <w:tabs>
          <w:tab w:val="left" w:pos="720"/>
        </w:tabs>
        <w:snapToGrid w:val="0"/>
        <w:spacing w:line="320" w:lineRule="exact"/>
        <w:ind w:left="945" w:leftChars="300" w:hanging="315" w:hangingChars="150"/>
        <w:rPr>
          <w:rFonts w:ascii="宋体" w:hAnsi="宋体" w:eastAsia="宋体" w:cs="宋体"/>
          <w:szCs w:val="21"/>
        </w:rPr>
      </w:pPr>
      <w:r>
        <w:rPr>
          <w:rFonts w:hint="eastAsia" w:ascii="宋体" w:hAnsi="宋体" w:eastAsia="宋体" w:cs="宋体"/>
          <w:szCs w:val="21"/>
        </w:rPr>
        <w:t>5、若评委意见不一致时，则按少数服从多数的原则，决定该申请人是否通过符合性审查，进入下一阶段评审。</w:t>
      </w:r>
    </w:p>
    <w:p w14:paraId="68118643">
      <w:pPr>
        <w:tabs>
          <w:tab w:val="left" w:pos="720"/>
        </w:tabs>
        <w:snapToGrid w:val="0"/>
        <w:spacing w:line="320" w:lineRule="exact"/>
        <w:ind w:left="945" w:leftChars="300" w:hanging="315" w:hangingChars="150"/>
        <w:rPr>
          <w:rFonts w:ascii="宋体" w:hAnsi="宋体" w:eastAsia="宋体" w:cs="宋体"/>
          <w:szCs w:val="21"/>
        </w:rPr>
      </w:pPr>
    </w:p>
    <w:p w14:paraId="1F9E80CB">
      <w:pPr>
        <w:tabs>
          <w:tab w:val="left" w:pos="720"/>
        </w:tabs>
        <w:snapToGrid w:val="0"/>
        <w:spacing w:line="320" w:lineRule="exact"/>
        <w:ind w:firstLine="3780" w:firstLineChars="1800"/>
        <w:rPr>
          <w:rFonts w:ascii="宋体" w:hAnsi="宋体" w:eastAsia="宋体" w:cs="宋体"/>
          <w:b/>
          <w:sz w:val="24"/>
          <w:szCs w:val="24"/>
        </w:rPr>
        <w:sectPr>
          <w:endnotePr>
            <w:numFmt w:val="decimal"/>
          </w:endnotePr>
          <w:pgSz w:w="11906" w:h="16838"/>
          <w:pgMar w:top="1478" w:right="1474" w:bottom="1500" w:left="1588" w:header="851" w:footer="851" w:gutter="0"/>
          <w:cols w:space="720" w:num="1"/>
          <w:docGrid w:type="linesAndChars" w:linePitch="312" w:charSpace="0"/>
        </w:sectPr>
      </w:pPr>
      <w:r>
        <w:rPr>
          <w:rFonts w:hint="eastAsia" w:ascii="宋体" w:hAnsi="宋体" w:eastAsia="宋体" w:cs="宋体"/>
          <w:szCs w:val="24"/>
        </w:rPr>
        <w:t>评委签名：                     日期</w:t>
      </w:r>
    </w:p>
    <w:p w14:paraId="248D7BB7">
      <w:pPr>
        <w:spacing w:line="360" w:lineRule="auto"/>
        <w:outlineLvl w:val="0"/>
        <w:rPr>
          <w:rFonts w:ascii="宋体" w:hAnsi="宋体" w:eastAsia="宋体" w:cs="宋体"/>
          <w:b/>
          <w:bCs/>
          <w:sz w:val="28"/>
          <w:szCs w:val="28"/>
        </w:rPr>
      </w:pPr>
      <w:r>
        <w:rPr>
          <w:rFonts w:hint="eastAsia" w:ascii="宋体" w:hAnsi="宋体" w:eastAsia="宋体" w:cs="宋体"/>
          <w:b/>
          <w:bCs/>
          <w:sz w:val="28"/>
          <w:szCs w:val="28"/>
        </w:rPr>
        <w:t>附表三：</w:t>
      </w:r>
      <w:r>
        <w:rPr>
          <w:rFonts w:ascii="宋体" w:hAnsi="宋体" w:eastAsia="宋体" w:cs="宋体"/>
          <w:b/>
          <w:bCs/>
          <w:sz w:val="28"/>
          <w:szCs w:val="28"/>
        </w:rPr>
        <w:t>评</w:t>
      </w:r>
      <w:r>
        <w:rPr>
          <w:rFonts w:hint="eastAsia" w:ascii="宋体" w:hAnsi="宋体" w:eastAsia="宋体" w:cs="宋体"/>
          <w:b/>
          <w:bCs/>
          <w:sz w:val="28"/>
          <w:szCs w:val="28"/>
        </w:rPr>
        <w:t>审</w:t>
      </w:r>
      <w:r>
        <w:rPr>
          <w:rFonts w:ascii="宋体" w:hAnsi="宋体" w:eastAsia="宋体" w:cs="宋体"/>
          <w:b/>
          <w:bCs/>
          <w:sz w:val="28"/>
          <w:szCs w:val="28"/>
        </w:rPr>
        <w:t>项目的分值分配表</w:t>
      </w:r>
      <w:bookmarkEnd w:id="0"/>
      <w:bookmarkEnd w:id="1"/>
      <w:bookmarkEnd w:id="2"/>
      <w:bookmarkEnd w:id="3"/>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27"/>
        <w:gridCol w:w="1727"/>
        <w:gridCol w:w="1727"/>
        <w:gridCol w:w="2089"/>
      </w:tblGrid>
      <w:tr w14:paraId="7224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27" w:type="dxa"/>
            <w:shd w:val="clear" w:color="auto" w:fill="D9D9D9"/>
            <w:vAlign w:val="center"/>
          </w:tcPr>
          <w:p w14:paraId="100524B6">
            <w:pPr>
              <w:jc w:val="center"/>
              <w:rPr>
                <w:rFonts w:ascii="宋体" w:hAnsi="宋体" w:eastAsia="宋体" w:cs="宋体"/>
                <w:b/>
                <w:sz w:val="24"/>
                <w:szCs w:val="24"/>
                <w:shd w:val="pct15" w:color="auto" w:fill="FFFFFF"/>
              </w:rPr>
            </w:pPr>
            <w:bookmarkStart w:id="8" w:name="OLE_LINK13" w:colFirst="0" w:colLast="4"/>
            <w:r>
              <w:rPr>
                <w:rFonts w:hint="eastAsia" w:ascii="宋体" w:hAnsi="宋体" w:eastAsia="宋体" w:cs="宋体"/>
                <w:b/>
                <w:sz w:val="24"/>
                <w:szCs w:val="24"/>
                <w:shd w:val="pct15" w:color="auto" w:fill="FFFFFF"/>
              </w:rPr>
              <w:t>评分项目</w:t>
            </w:r>
          </w:p>
        </w:tc>
        <w:tc>
          <w:tcPr>
            <w:tcW w:w="1727" w:type="dxa"/>
            <w:shd w:val="clear" w:color="auto" w:fill="D9D9D9"/>
            <w:vAlign w:val="center"/>
          </w:tcPr>
          <w:p w14:paraId="05EAAD62">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价格部分</w:t>
            </w:r>
          </w:p>
        </w:tc>
        <w:tc>
          <w:tcPr>
            <w:tcW w:w="1727" w:type="dxa"/>
            <w:shd w:val="clear" w:color="auto" w:fill="D9D9D9"/>
            <w:vAlign w:val="center"/>
          </w:tcPr>
          <w:p w14:paraId="7DCD116A">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方案部分</w:t>
            </w:r>
          </w:p>
        </w:tc>
        <w:tc>
          <w:tcPr>
            <w:tcW w:w="1727" w:type="dxa"/>
            <w:shd w:val="clear" w:color="auto" w:fill="D9D9D9"/>
            <w:vAlign w:val="center"/>
          </w:tcPr>
          <w:p w14:paraId="18AA33A8">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商务部分</w:t>
            </w:r>
          </w:p>
        </w:tc>
        <w:tc>
          <w:tcPr>
            <w:tcW w:w="2089" w:type="dxa"/>
            <w:shd w:val="clear" w:color="auto" w:fill="D9D9D9"/>
            <w:vAlign w:val="center"/>
          </w:tcPr>
          <w:p w14:paraId="7034B424">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合计</w:t>
            </w:r>
          </w:p>
        </w:tc>
      </w:tr>
      <w:tr w14:paraId="50C4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27" w:type="dxa"/>
            <w:vAlign w:val="center"/>
          </w:tcPr>
          <w:p w14:paraId="04975F32">
            <w:pPr>
              <w:jc w:val="center"/>
              <w:rPr>
                <w:rFonts w:ascii="宋体" w:hAnsi="宋体" w:eastAsia="宋体" w:cs="宋体"/>
                <w:sz w:val="24"/>
                <w:szCs w:val="24"/>
              </w:rPr>
            </w:pPr>
            <w:r>
              <w:rPr>
                <w:rFonts w:hint="eastAsia" w:ascii="宋体" w:hAnsi="宋体" w:eastAsia="宋体" w:cs="宋体"/>
                <w:sz w:val="24"/>
                <w:szCs w:val="24"/>
              </w:rPr>
              <w:t>分值</w:t>
            </w:r>
          </w:p>
        </w:tc>
        <w:tc>
          <w:tcPr>
            <w:tcW w:w="1727" w:type="dxa"/>
            <w:vAlign w:val="center"/>
          </w:tcPr>
          <w:p w14:paraId="6720BC92">
            <w:pPr>
              <w:jc w:val="center"/>
              <w:rPr>
                <w:rFonts w:ascii="宋体" w:hAnsi="宋体" w:eastAsia="宋体" w:cs="宋体"/>
                <w:sz w:val="24"/>
                <w:szCs w:val="24"/>
              </w:rPr>
            </w:pPr>
            <w:r>
              <w:rPr>
                <w:rFonts w:hint="eastAsia" w:ascii="宋体" w:hAnsi="宋体" w:eastAsia="宋体" w:cs="宋体"/>
                <w:sz w:val="24"/>
                <w:szCs w:val="24"/>
              </w:rPr>
              <w:t>30分</w:t>
            </w:r>
          </w:p>
        </w:tc>
        <w:tc>
          <w:tcPr>
            <w:tcW w:w="1727" w:type="dxa"/>
            <w:vAlign w:val="center"/>
          </w:tcPr>
          <w:p w14:paraId="0B8DEC84">
            <w:pPr>
              <w:jc w:val="center"/>
              <w:rPr>
                <w:rFonts w:ascii="宋体" w:hAnsi="宋体" w:eastAsia="宋体" w:cs="宋体"/>
                <w:sz w:val="24"/>
                <w:szCs w:val="24"/>
              </w:rPr>
            </w:pPr>
            <w:r>
              <w:rPr>
                <w:rFonts w:hint="eastAsia" w:ascii="宋体" w:hAnsi="宋体" w:eastAsia="宋体" w:cs="宋体"/>
                <w:sz w:val="24"/>
                <w:szCs w:val="24"/>
              </w:rPr>
              <w:t>40分</w:t>
            </w:r>
          </w:p>
        </w:tc>
        <w:tc>
          <w:tcPr>
            <w:tcW w:w="1727" w:type="dxa"/>
            <w:vAlign w:val="center"/>
          </w:tcPr>
          <w:p w14:paraId="005B0025">
            <w:pPr>
              <w:jc w:val="center"/>
              <w:rPr>
                <w:rFonts w:ascii="宋体" w:hAnsi="宋体" w:eastAsia="宋体" w:cs="宋体"/>
                <w:sz w:val="24"/>
                <w:szCs w:val="24"/>
              </w:rPr>
            </w:pPr>
            <w:r>
              <w:rPr>
                <w:rFonts w:hint="eastAsia" w:ascii="宋体" w:hAnsi="宋体" w:eastAsia="宋体" w:cs="宋体"/>
                <w:sz w:val="24"/>
                <w:szCs w:val="24"/>
              </w:rPr>
              <w:t>30分</w:t>
            </w:r>
          </w:p>
        </w:tc>
        <w:tc>
          <w:tcPr>
            <w:tcW w:w="2089" w:type="dxa"/>
            <w:vAlign w:val="center"/>
          </w:tcPr>
          <w:p w14:paraId="1A8890E2">
            <w:pPr>
              <w:jc w:val="center"/>
              <w:rPr>
                <w:rFonts w:ascii="宋体" w:hAnsi="宋体" w:eastAsia="宋体" w:cs="宋体"/>
                <w:sz w:val="24"/>
                <w:szCs w:val="24"/>
              </w:rPr>
            </w:pPr>
            <w:r>
              <w:rPr>
                <w:rFonts w:hint="eastAsia" w:ascii="宋体" w:hAnsi="宋体" w:eastAsia="宋体" w:cs="宋体"/>
                <w:sz w:val="24"/>
                <w:szCs w:val="24"/>
              </w:rPr>
              <w:t>100分</w:t>
            </w:r>
          </w:p>
        </w:tc>
      </w:tr>
      <w:bookmarkEnd w:id="8"/>
    </w:tbl>
    <w:p w14:paraId="42433EE9">
      <w:pPr>
        <w:spacing w:line="360" w:lineRule="auto"/>
        <w:rPr>
          <w:rFonts w:ascii="宋体" w:hAnsi="宋体" w:eastAsia="宋体" w:cs="宋体"/>
          <w:b/>
          <w:bCs/>
          <w:sz w:val="28"/>
          <w:szCs w:val="28"/>
        </w:rPr>
      </w:pPr>
      <w:bookmarkStart w:id="9" w:name="_Toc7858"/>
    </w:p>
    <w:p w14:paraId="7464623B">
      <w:pPr>
        <w:spacing w:line="360" w:lineRule="auto"/>
        <w:rPr>
          <w:rFonts w:ascii="宋体" w:hAnsi="宋体" w:eastAsia="宋体" w:cs="宋体"/>
          <w:b/>
          <w:bCs/>
          <w:sz w:val="28"/>
          <w:szCs w:val="28"/>
        </w:rPr>
      </w:pPr>
      <w:r>
        <w:rPr>
          <w:rFonts w:hint="eastAsia" w:ascii="宋体" w:hAnsi="宋体" w:eastAsia="宋体" w:cs="宋体"/>
          <w:b/>
          <w:bCs/>
          <w:sz w:val="28"/>
          <w:szCs w:val="28"/>
        </w:rPr>
        <w:t>附表四：</w:t>
      </w:r>
      <w:r>
        <w:rPr>
          <w:rFonts w:ascii="宋体" w:hAnsi="宋体" w:eastAsia="宋体" w:cs="宋体"/>
          <w:b/>
          <w:bCs/>
          <w:sz w:val="28"/>
          <w:szCs w:val="28"/>
        </w:rPr>
        <w:t>价格评审表</w:t>
      </w:r>
    </w:p>
    <w:tbl>
      <w:tblPr>
        <w:tblStyle w:val="6"/>
        <w:tblW w:w="89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5850"/>
      </w:tblGrid>
      <w:tr w14:paraId="5A5B9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3129" w:type="dxa"/>
            <w:shd w:val="clear" w:color="auto" w:fill="D9D9D9"/>
            <w:vAlign w:val="center"/>
          </w:tcPr>
          <w:p w14:paraId="21204602">
            <w:pPr>
              <w:jc w:val="center"/>
              <w:rPr>
                <w:rFonts w:ascii="宋体" w:hAnsi="宋体" w:eastAsia="宋体" w:cs="宋体"/>
                <w:b/>
                <w:bCs/>
                <w:sz w:val="24"/>
                <w:szCs w:val="24"/>
              </w:rPr>
            </w:pPr>
            <w:r>
              <w:rPr>
                <w:rFonts w:hint="eastAsia" w:ascii="宋体" w:hAnsi="宋体" w:eastAsia="宋体" w:cs="宋体"/>
                <w:b/>
                <w:bCs/>
                <w:sz w:val="24"/>
                <w:szCs w:val="24"/>
              </w:rPr>
              <w:t>评分项目</w:t>
            </w:r>
          </w:p>
        </w:tc>
        <w:tc>
          <w:tcPr>
            <w:tcW w:w="5850" w:type="dxa"/>
            <w:shd w:val="clear" w:color="auto" w:fill="D9D9D9"/>
            <w:vAlign w:val="center"/>
          </w:tcPr>
          <w:p w14:paraId="24B1EC7C">
            <w:pPr>
              <w:jc w:val="center"/>
              <w:rPr>
                <w:rFonts w:ascii="宋体" w:hAnsi="宋体" w:eastAsia="宋体" w:cs="宋体"/>
                <w:b/>
                <w:bCs/>
                <w:sz w:val="24"/>
                <w:szCs w:val="24"/>
              </w:rPr>
            </w:pPr>
            <w:r>
              <w:rPr>
                <w:rFonts w:hint="eastAsia" w:ascii="宋体" w:hAnsi="宋体" w:eastAsia="宋体" w:cs="宋体"/>
                <w:b/>
                <w:bCs/>
                <w:sz w:val="24"/>
                <w:szCs w:val="24"/>
              </w:rPr>
              <w:t>评分标准</w:t>
            </w:r>
          </w:p>
        </w:tc>
      </w:tr>
      <w:tr w14:paraId="426D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tblHeader/>
          <w:jc w:val="center"/>
        </w:trPr>
        <w:tc>
          <w:tcPr>
            <w:tcW w:w="3129" w:type="dxa"/>
            <w:vAlign w:val="center"/>
          </w:tcPr>
          <w:p w14:paraId="56D39290">
            <w:pPr>
              <w:jc w:val="center"/>
              <w:rPr>
                <w:rFonts w:ascii="宋体" w:hAnsi="宋体" w:eastAsia="宋体" w:cs="宋体"/>
                <w:sz w:val="24"/>
                <w:szCs w:val="24"/>
              </w:rPr>
            </w:pPr>
            <w:bookmarkStart w:id="10" w:name="OLE_LINK20" w:colFirst="1" w:colLast="2"/>
            <w:r>
              <w:rPr>
                <w:rFonts w:hint="eastAsia" w:ascii="宋体" w:hAnsi="宋体" w:eastAsia="宋体" w:cs="宋体"/>
                <w:sz w:val="24"/>
                <w:szCs w:val="24"/>
              </w:rPr>
              <w:t>投标总价</w:t>
            </w:r>
          </w:p>
        </w:tc>
        <w:tc>
          <w:tcPr>
            <w:tcW w:w="5850" w:type="dxa"/>
            <w:vAlign w:val="center"/>
          </w:tcPr>
          <w:p w14:paraId="5D085246">
            <w:pPr>
              <w:jc w:val="center"/>
              <w:rPr>
                <w:rFonts w:ascii="宋体" w:hAnsi="宋体" w:eastAsia="宋体" w:cs="宋体"/>
                <w:sz w:val="24"/>
                <w:szCs w:val="24"/>
              </w:rPr>
            </w:pPr>
            <w:r>
              <w:rPr>
                <w:rFonts w:hint="eastAsia" w:ascii="宋体" w:hAnsi="宋体" w:eastAsia="宋体" w:cs="宋体"/>
                <w:sz w:val="24"/>
                <w:szCs w:val="24"/>
              </w:rPr>
              <w:t>投标报价得分=(评标基准价/投标报价) ×30</w:t>
            </w:r>
          </w:p>
        </w:tc>
      </w:tr>
      <w:bookmarkEnd w:id="10"/>
    </w:tbl>
    <w:p w14:paraId="568F2865">
      <w:pPr>
        <w:rPr>
          <w:rFonts w:ascii="宋体" w:hAnsi="宋体" w:eastAsia="宋体" w:cs="宋体"/>
          <w:sz w:val="24"/>
          <w:szCs w:val="24"/>
        </w:rPr>
      </w:pPr>
    </w:p>
    <w:p w14:paraId="2F2FFEF3">
      <w:pPr>
        <w:ind w:firstLine="480" w:firstLineChars="200"/>
        <w:rPr>
          <w:rFonts w:ascii="仿宋_GB2312" w:hAnsi="黑体" w:eastAsia="仿宋_GB2312" w:cs="Times New Roman"/>
          <w:sz w:val="32"/>
          <w:szCs w:val="32"/>
        </w:rPr>
      </w:pPr>
      <w:r>
        <w:rPr>
          <w:rFonts w:hint="eastAsia" w:ascii="宋体" w:hAnsi="宋体" w:eastAsia="宋体" w:cs="宋体"/>
          <w:sz w:val="24"/>
          <w:szCs w:val="24"/>
        </w:rPr>
        <w:t>在</w:t>
      </w:r>
      <w:r>
        <w:rPr>
          <w:rFonts w:ascii="宋体" w:hAnsi="宋体" w:eastAsia="宋体" w:cs="宋体"/>
          <w:sz w:val="24"/>
          <w:szCs w:val="24"/>
        </w:rPr>
        <w:t>各有效投标人的评审价中，取最低</w:t>
      </w:r>
      <w:r>
        <w:rPr>
          <w:rFonts w:hint="eastAsia" w:ascii="宋体" w:hAnsi="宋体" w:eastAsia="宋体" w:cs="宋体"/>
          <w:sz w:val="24"/>
          <w:szCs w:val="24"/>
        </w:rPr>
        <w:t>者</w:t>
      </w:r>
      <w:r>
        <w:rPr>
          <w:rFonts w:ascii="宋体" w:hAnsi="宋体" w:eastAsia="宋体" w:cs="宋体"/>
          <w:sz w:val="24"/>
          <w:szCs w:val="24"/>
        </w:rPr>
        <w:t>为</w:t>
      </w:r>
      <w:r>
        <w:rPr>
          <w:rFonts w:hint="eastAsia" w:ascii="宋体" w:hAnsi="宋体" w:eastAsia="宋体" w:cs="宋体"/>
          <w:sz w:val="24"/>
          <w:szCs w:val="24"/>
        </w:rPr>
        <w:t>评标基准价。</w:t>
      </w:r>
    </w:p>
    <w:p w14:paraId="066CB744">
      <w:pPr>
        <w:pStyle w:val="10"/>
      </w:pPr>
    </w:p>
    <w:p w14:paraId="46ADA0B9">
      <w:pPr>
        <w:spacing w:line="360" w:lineRule="auto"/>
        <w:jc w:val="center"/>
        <w:rPr>
          <w:rFonts w:ascii="宋体" w:hAnsi="宋体" w:eastAsia="宋体" w:cs="宋体"/>
          <w:b/>
          <w:bCs/>
          <w:sz w:val="28"/>
          <w:szCs w:val="28"/>
        </w:rPr>
      </w:pPr>
    </w:p>
    <w:p w14:paraId="2433FDAE">
      <w:pPr>
        <w:spacing w:line="360" w:lineRule="auto"/>
        <w:rPr>
          <w:rFonts w:ascii="宋体" w:hAnsi="宋体" w:eastAsia="宋体" w:cs="宋体"/>
          <w:b/>
          <w:bCs/>
          <w:sz w:val="28"/>
          <w:szCs w:val="28"/>
        </w:rPr>
      </w:pPr>
      <w:r>
        <w:rPr>
          <w:rFonts w:hint="eastAsia" w:ascii="宋体" w:hAnsi="宋体" w:eastAsia="宋体" w:cs="宋体"/>
          <w:b/>
          <w:bCs/>
          <w:sz w:val="28"/>
          <w:szCs w:val="28"/>
        </w:rPr>
        <w:t>附表五：方案评审表</w:t>
      </w:r>
    </w:p>
    <w:tbl>
      <w:tblPr>
        <w:tblStyle w:val="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6AFDA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5A89C04D">
            <w:pPr>
              <w:spacing w:line="400" w:lineRule="atLeast"/>
              <w:jc w:val="center"/>
              <w:rPr>
                <w:rFonts w:ascii="宋体" w:hAnsi="宋体" w:eastAsia="宋体" w:cs="宋体"/>
                <w:b/>
                <w:sz w:val="24"/>
                <w:szCs w:val="24"/>
              </w:rPr>
            </w:pPr>
            <w:r>
              <w:rPr>
                <w:rFonts w:hint="eastAsia" w:ascii="宋体" w:hAnsi="宋体" w:eastAsia="宋体" w:cs="宋体"/>
                <w:b/>
                <w:sz w:val="24"/>
                <w:szCs w:val="24"/>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331B6122">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DC182BA">
            <w:pPr>
              <w:spacing w:line="400" w:lineRule="atLeast"/>
              <w:jc w:val="center"/>
              <w:rPr>
                <w:rFonts w:ascii="宋体" w:hAnsi="宋体" w:eastAsia="宋体" w:cs="宋体"/>
                <w:b/>
                <w:sz w:val="24"/>
                <w:szCs w:val="24"/>
              </w:rPr>
            </w:pPr>
            <w:r>
              <w:rPr>
                <w:rFonts w:hint="eastAsia" w:ascii="宋体" w:hAnsi="宋体" w:eastAsia="宋体" w:cs="宋体"/>
                <w:b/>
                <w:sz w:val="24"/>
                <w:szCs w:val="24"/>
              </w:rPr>
              <w:t>分值</w:t>
            </w:r>
          </w:p>
        </w:tc>
        <w:tc>
          <w:tcPr>
            <w:tcW w:w="5192" w:type="dxa"/>
            <w:tcBorders>
              <w:top w:val="single" w:color="auto" w:sz="4" w:space="0"/>
              <w:left w:val="single" w:color="auto" w:sz="4" w:space="0"/>
              <w:right w:val="single" w:color="auto" w:sz="2" w:space="0"/>
            </w:tcBorders>
            <w:shd w:val="clear" w:color="auto" w:fill="D9D9D9"/>
            <w:vAlign w:val="center"/>
          </w:tcPr>
          <w:p w14:paraId="724EFF05">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评审内容</w:t>
            </w:r>
          </w:p>
        </w:tc>
      </w:tr>
      <w:tr w14:paraId="6538D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262F610B">
            <w:pPr>
              <w:spacing w:line="400" w:lineRule="atLeast"/>
              <w:jc w:val="center"/>
              <w:rPr>
                <w:rFonts w:ascii="宋体" w:hAnsi="宋体" w:eastAsia="宋体" w:cs="宋体"/>
                <w:sz w:val="24"/>
                <w:szCs w:val="24"/>
              </w:rPr>
            </w:pPr>
            <w:r>
              <w:rPr>
                <w:rFonts w:hint="eastAsia" w:ascii="宋体" w:hAnsi="宋体" w:eastAsia="宋体" w:cs="宋体"/>
                <w:sz w:val="24"/>
                <w:szCs w:val="24"/>
              </w:rPr>
              <w:t>1</w:t>
            </w:r>
          </w:p>
        </w:tc>
        <w:tc>
          <w:tcPr>
            <w:tcW w:w="2237" w:type="dxa"/>
            <w:tcBorders>
              <w:left w:val="single" w:color="auto" w:sz="4" w:space="0"/>
              <w:bottom w:val="single" w:color="auto" w:sz="2" w:space="0"/>
              <w:right w:val="single" w:color="auto" w:sz="2" w:space="0"/>
            </w:tcBorders>
            <w:vAlign w:val="center"/>
          </w:tcPr>
          <w:p w14:paraId="0DECD02B">
            <w:pPr>
              <w:spacing w:line="400" w:lineRule="atLeast"/>
              <w:jc w:val="left"/>
              <w:rPr>
                <w:rFonts w:ascii="宋体" w:hAnsi="宋体" w:eastAsia="宋体" w:cs="宋体"/>
                <w:sz w:val="24"/>
                <w:szCs w:val="24"/>
              </w:rPr>
            </w:pPr>
            <w:r>
              <w:rPr>
                <w:rFonts w:hint="eastAsia" w:ascii="宋体" w:hAnsi="宋体" w:eastAsia="宋体" w:cs="宋体"/>
                <w:sz w:val="24"/>
                <w:szCs w:val="24"/>
              </w:rPr>
              <w:t>针对项目认识及项目需求等情况详细描述</w:t>
            </w:r>
          </w:p>
        </w:tc>
        <w:tc>
          <w:tcPr>
            <w:tcW w:w="929" w:type="dxa"/>
            <w:tcBorders>
              <w:top w:val="single" w:color="auto" w:sz="4" w:space="0"/>
              <w:left w:val="single" w:color="auto" w:sz="4" w:space="0"/>
              <w:right w:val="single" w:color="auto" w:sz="2" w:space="0"/>
            </w:tcBorders>
            <w:vAlign w:val="center"/>
          </w:tcPr>
          <w:p w14:paraId="30A6E683">
            <w:pPr>
              <w:spacing w:line="400" w:lineRule="atLeast"/>
              <w:jc w:val="center"/>
              <w:rPr>
                <w:rFonts w:ascii="宋体" w:hAnsi="宋体" w:eastAsia="宋体" w:cs="宋体"/>
                <w:sz w:val="24"/>
                <w:szCs w:val="24"/>
              </w:rPr>
            </w:pPr>
            <w:r>
              <w:rPr>
                <w:rFonts w:hint="eastAsia" w:ascii="宋体" w:hAnsi="宋体" w:eastAsia="宋体" w:cs="宋体"/>
                <w:sz w:val="24"/>
                <w:szCs w:val="24"/>
              </w:rPr>
              <w:t>10分</w:t>
            </w:r>
          </w:p>
        </w:tc>
        <w:tc>
          <w:tcPr>
            <w:tcW w:w="5192" w:type="dxa"/>
            <w:tcBorders>
              <w:top w:val="single" w:color="auto" w:sz="4" w:space="0"/>
              <w:left w:val="single" w:color="auto" w:sz="4" w:space="0"/>
              <w:right w:val="single" w:color="auto" w:sz="2" w:space="0"/>
            </w:tcBorders>
            <w:vAlign w:val="center"/>
          </w:tcPr>
          <w:p w14:paraId="346DECC4">
            <w:pPr>
              <w:spacing w:line="440" w:lineRule="atLeast"/>
              <w:rPr>
                <w:rFonts w:ascii="宋体" w:hAnsi="宋体" w:eastAsia="宋体" w:cs="宋体"/>
                <w:sz w:val="24"/>
                <w:szCs w:val="24"/>
              </w:rPr>
            </w:pPr>
            <w:r>
              <w:rPr>
                <w:rFonts w:hint="eastAsia" w:ascii="宋体" w:hAnsi="宋体" w:eastAsia="宋体" w:cs="宋体"/>
                <w:sz w:val="24"/>
                <w:szCs w:val="24"/>
              </w:rPr>
              <w:t>要求内容详尽、方案完整、设计科学合理，由评委对各投标人进行比较、评议。</w:t>
            </w:r>
          </w:p>
          <w:p w14:paraId="0EB68B02">
            <w:pPr>
              <w:spacing w:line="440" w:lineRule="atLeast"/>
              <w:rPr>
                <w:rFonts w:ascii="宋体" w:hAnsi="宋体" w:eastAsia="宋体" w:cs="宋体"/>
                <w:b/>
                <w:bCs/>
                <w:kern w:val="0"/>
                <w:sz w:val="24"/>
                <w:szCs w:val="24"/>
              </w:rPr>
            </w:pPr>
            <w:r>
              <w:rPr>
                <w:rFonts w:hint="eastAsia" w:ascii="宋体" w:hAnsi="宋体" w:eastAsia="宋体" w:cs="宋体"/>
                <w:sz w:val="24"/>
                <w:szCs w:val="24"/>
              </w:rPr>
              <w:t>确定优（10-8分）、中（7-4分）、差（3-0分）。</w:t>
            </w:r>
          </w:p>
        </w:tc>
      </w:tr>
      <w:tr w14:paraId="3EAF4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49E53E79">
            <w:pPr>
              <w:spacing w:line="400" w:lineRule="atLeast"/>
              <w:jc w:val="center"/>
              <w:rPr>
                <w:rFonts w:ascii="宋体" w:hAnsi="宋体" w:eastAsia="宋体" w:cs="宋体"/>
                <w:sz w:val="24"/>
                <w:szCs w:val="24"/>
              </w:rPr>
            </w:pPr>
            <w:r>
              <w:rPr>
                <w:rFonts w:hint="eastAsia" w:ascii="宋体" w:hAnsi="宋体" w:eastAsia="宋体" w:cs="宋体"/>
                <w:sz w:val="24"/>
                <w:szCs w:val="24"/>
              </w:rPr>
              <w:t>2</w:t>
            </w:r>
          </w:p>
        </w:tc>
        <w:tc>
          <w:tcPr>
            <w:tcW w:w="2237" w:type="dxa"/>
            <w:tcBorders>
              <w:left w:val="single" w:color="auto" w:sz="4" w:space="0"/>
              <w:bottom w:val="single" w:color="auto" w:sz="2" w:space="0"/>
              <w:right w:val="single" w:color="auto" w:sz="2" w:space="0"/>
            </w:tcBorders>
            <w:vAlign w:val="center"/>
          </w:tcPr>
          <w:p w14:paraId="099F3D80">
            <w:pPr>
              <w:spacing w:line="400" w:lineRule="atLeast"/>
              <w:jc w:val="left"/>
              <w:rPr>
                <w:rFonts w:ascii="宋体" w:hAnsi="宋体" w:eastAsia="宋体" w:cs="宋体"/>
                <w:sz w:val="24"/>
                <w:szCs w:val="24"/>
              </w:rPr>
            </w:pPr>
            <w:r>
              <w:rPr>
                <w:rFonts w:hint="eastAsia" w:ascii="宋体" w:hAnsi="宋体" w:eastAsia="宋体" w:cs="宋体"/>
                <w:sz w:val="24"/>
                <w:szCs w:val="24"/>
              </w:rPr>
              <w:t>方案完整性、合理性、可行性、先进性及其他指标响应情况</w:t>
            </w:r>
          </w:p>
        </w:tc>
        <w:tc>
          <w:tcPr>
            <w:tcW w:w="929" w:type="dxa"/>
            <w:tcBorders>
              <w:top w:val="single" w:color="auto" w:sz="4" w:space="0"/>
              <w:left w:val="single" w:color="auto" w:sz="4" w:space="0"/>
              <w:right w:val="single" w:color="auto" w:sz="2" w:space="0"/>
            </w:tcBorders>
            <w:vAlign w:val="center"/>
          </w:tcPr>
          <w:p w14:paraId="10217C62">
            <w:pPr>
              <w:spacing w:line="400" w:lineRule="atLeast"/>
              <w:jc w:val="center"/>
              <w:rPr>
                <w:rFonts w:ascii="宋体" w:hAnsi="宋体" w:eastAsia="宋体" w:cs="宋体"/>
                <w:sz w:val="24"/>
                <w:szCs w:val="24"/>
              </w:rPr>
            </w:pPr>
            <w:r>
              <w:rPr>
                <w:rFonts w:hint="eastAsia" w:ascii="宋体" w:hAnsi="宋体" w:eastAsia="宋体" w:cs="宋体"/>
                <w:sz w:val="24"/>
                <w:szCs w:val="24"/>
              </w:rPr>
              <w:t>30分</w:t>
            </w:r>
          </w:p>
        </w:tc>
        <w:tc>
          <w:tcPr>
            <w:tcW w:w="5192" w:type="dxa"/>
            <w:tcBorders>
              <w:top w:val="single" w:color="auto" w:sz="4" w:space="0"/>
              <w:left w:val="single" w:color="auto" w:sz="4" w:space="0"/>
              <w:right w:val="single" w:color="auto" w:sz="2" w:space="0"/>
            </w:tcBorders>
            <w:vAlign w:val="center"/>
          </w:tcPr>
          <w:p w14:paraId="094C3110">
            <w:pPr>
              <w:spacing w:line="440" w:lineRule="atLeast"/>
              <w:rPr>
                <w:rFonts w:ascii="宋体" w:hAnsi="宋体" w:eastAsia="宋体" w:cs="宋体"/>
                <w:sz w:val="24"/>
                <w:szCs w:val="24"/>
              </w:rPr>
            </w:pPr>
            <w:r>
              <w:rPr>
                <w:rFonts w:hint="eastAsia" w:ascii="宋体" w:hAnsi="宋体" w:eastAsia="宋体" w:cs="宋体"/>
                <w:sz w:val="24"/>
                <w:szCs w:val="24"/>
              </w:rPr>
              <w:t>要求方案文件完整详实，科学合理，对招标文件的需求响应明确（简介及技术特点说明及详细方案），由评委对各投标人进行比较、评议。</w:t>
            </w:r>
          </w:p>
          <w:p w14:paraId="7A2AE3CC">
            <w:pPr>
              <w:spacing w:line="440" w:lineRule="atLeast"/>
              <w:rPr>
                <w:rFonts w:ascii="宋体" w:hAnsi="宋体" w:eastAsia="宋体" w:cs="宋体"/>
                <w:sz w:val="24"/>
                <w:szCs w:val="24"/>
              </w:rPr>
            </w:pPr>
            <w:r>
              <w:rPr>
                <w:rFonts w:hint="eastAsia" w:ascii="宋体" w:hAnsi="宋体" w:eastAsia="宋体" w:cs="宋体"/>
                <w:sz w:val="24"/>
                <w:szCs w:val="24"/>
              </w:rPr>
              <w:t>确定优（30-20分）、中（20-10分）、差（10-0分）</w:t>
            </w:r>
            <w:r>
              <w:rPr>
                <w:rFonts w:hint="eastAsia" w:ascii="宋体" w:hAnsi="宋体" w:eastAsia="宋体" w:cs="宋体"/>
                <w:szCs w:val="21"/>
              </w:rPr>
              <w:t>。</w:t>
            </w:r>
          </w:p>
        </w:tc>
      </w:tr>
      <w:tr w14:paraId="7CFCD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644" w:hRule="atLeast"/>
          <w:jc w:val="center"/>
        </w:trPr>
        <w:tc>
          <w:tcPr>
            <w:tcW w:w="642" w:type="dxa"/>
            <w:tcBorders>
              <w:left w:val="single" w:color="auto" w:sz="2" w:space="0"/>
              <w:bottom w:val="single" w:color="auto" w:sz="2" w:space="0"/>
              <w:right w:val="single" w:color="auto" w:sz="4" w:space="0"/>
            </w:tcBorders>
            <w:vAlign w:val="center"/>
          </w:tcPr>
          <w:p w14:paraId="0BE44F8A">
            <w:pPr>
              <w:spacing w:line="400" w:lineRule="atLeast"/>
              <w:jc w:val="center"/>
              <w:rPr>
                <w:rFonts w:ascii="宋体" w:hAnsi="宋体" w:eastAsia="宋体" w:cs="宋体"/>
                <w:sz w:val="24"/>
                <w:szCs w:val="24"/>
              </w:rPr>
            </w:pPr>
          </w:p>
        </w:tc>
        <w:tc>
          <w:tcPr>
            <w:tcW w:w="2237" w:type="dxa"/>
            <w:tcBorders>
              <w:left w:val="single" w:color="auto" w:sz="4" w:space="0"/>
              <w:bottom w:val="single" w:color="auto" w:sz="2" w:space="0"/>
              <w:right w:val="single" w:color="auto" w:sz="2" w:space="0"/>
            </w:tcBorders>
            <w:vAlign w:val="center"/>
          </w:tcPr>
          <w:p w14:paraId="4EF78B1B">
            <w:pPr>
              <w:spacing w:line="400" w:lineRule="atLeast"/>
              <w:jc w:val="center"/>
              <w:rPr>
                <w:rFonts w:ascii="宋体" w:hAnsi="宋体" w:eastAsia="宋体" w:cs="宋体"/>
                <w:sz w:val="24"/>
                <w:szCs w:val="24"/>
              </w:rPr>
            </w:pPr>
            <w:r>
              <w:rPr>
                <w:rFonts w:hint="eastAsia" w:ascii="宋体" w:hAnsi="宋体" w:eastAsia="宋体" w:cs="宋体"/>
                <w:b/>
                <w:bCs/>
                <w:sz w:val="24"/>
                <w:szCs w:val="24"/>
              </w:rPr>
              <w:t>合计</w:t>
            </w:r>
          </w:p>
        </w:tc>
        <w:tc>
          <w:tcPr>
            <w:tcW w:w="929" w:type="dxa"/>
            <w:tcBorders>
              <w:top w:val="single" w:color="auto" w:sz="4" w:space="0"/>
              <w:left w:val="single" w:color="auto" w:sz="4" w:space="0"/>
              <w:right w:val="single" w:color="auto" w:sz="2" w:space="0"/>
            </w:tcBorders>
            <w:vAlign w:val="center"/>
          </w:tcPr>
          <w:p w14:paraId="20C7C882">
            <w:pPr>
              <w:spacing w:line="400" w:lineRule="atLeast"/>
              <w:jc w:val="center"/>
              <w:rPr>
                <w:rFonts w:ascii="宋体" w:hAnsi="宋体" w:eastAsia="宋体" w:cs="宋体"/>
                <w:sz w:val="24"/>
                <w:szCs w:val="24"/>
              </w:rPr>
            </w:pPr>
            <w:r>
              <w:rPr>
                <w:rFonts w:hint="eastAsia" w:ascii="宋体" w:hAnsi="宋体" w:eastAsia="宋体" w:cs="宋体"/>
                <w:b/>
                <w:bCs/>
                <w:sz w:val="24"/>
                <w:szCs w:val="24"/>
              </w:rPr>
              <w:t>40分</w:t>
            </w:r>
          </w:p>
        </w:tc>
        <w:tc>
          <w:tcPr>
            <w:tcW w:w="5192" w:type="dxa"/>
            <w:tcBorders>
              <w:top w:val="single" w:color="auto" w:sz="4" w:space="0"/>
              <w:left w:val="single" w:color="auto" w:sz="4" w:space="0"/>
              <w:right w:val="single" w:color="auto" w:sz="2" w:space="0"/>
            </w:tcBorders>
            <w:vAlign w:val="center"/>
          </w:tcPr>
          <w:p w14:paraId="21631FD1">
            <w:pPr>
              <w:spacing w:line="400" w:lineRule="atLeast"/>
              <w:rPr>
                <w:rFonts w:ascii="宋体" w:hAnsi="宋体" w:eastAsia="宋体" w:cs="宋体"/>
                <w:b/>
                <w:bCs/>
                <w:sz w:val="24"/>
                <w:szCs w:val="24"/>
                <w:lang w:val="zh-CN"/>
              </w:rPr>
            </w:pPr>
          </w:p>
        </w:tc>
      </w:tr>
    </w:tbl>
    <w:p w14:paraId="36FDD90F">
      <w:pPr>
        <w:rPr>
          <w:rFonts w:ascii="宋体" w:hAnsi="宋体" w:eastAsia="宋体" w:cs="宋体"/>
          <w:szCs w:val="24"/>
        </w:rPr>
      </w:pPr>
      <w:r>
        <w:rPr>
          <w:rFonts w:hint="eastAsia" w:ascii="宋体" w:hAnsi="宋体" w:eastAsia="宋体" w:cs="宋体"/>
          <w:sz w:val="24"/>
          <w:szCs w:val="24"/>
        </w:rPr>
        <w:t>注：各评委按规定的范围内进行量化打分，并统计总分。</w:t>
      </w:r>
    </w:p>
    <w:p w14:paraId="0AF06888">
      <w:pPr>
        <w:rPr>
          <w:rFonts w:ascii="宋体" w:hAnsi="宋体" w:eastAsia="宋体" w:cs="宋体"/>
          <w:szCs w:val="24"/>
        </w:rPr>
      </w:pPr>
    </w:p>
    <w:p w14:paraId="55D4D3DC">
      <w:pPr>
        <w:pStyle w:val="5"/>
      </w:pPr>
    </w:p>
    <w:p w14:paraId="07864EEB">
      <w:pPr>
        <w:pStyle w:val="5"/>
      </w:pPr>
    </w:p>
    <w:p w14:paraId="5D2E9AA4">
      <w:pPr>
        <w:pStyle w:val="5"/>
      </w:pPr>
    </w:p>
    <w:p w14:paraId="71651C12">
      <w:pPr>
        <w:pStyle w:val="5"/>
      </w:pPr>
    </w:p>
    <w:p w14:paraId="495CC254">
      <w:pPr>
        <w:spacing w:line="360" w:lineRule="auto"/>
        <w:outlineLvl w:val="0"/>
        <w:rPr>
          <w:rFonts w:ascii="宋体" w:hAnsi="宋体" w:eastAsia="宋体" w:cs="宋体"/>
          <w:b/>
          <w:bCs/>
          <w:sz w:val="28"/>
          <w:szCs w:val="28"/>
        </w:rPr>
      </w:pPr>
      <w:bookmarkStart w:id="11" w:name="_Toc18386"/>
      <w:bookmarkStart w:id="12" w:name="_Toc16833"/>
      <w:bookmarkStart w:id="13" w:name="_Toc11041"/>
      <w:r>
        <w:rPr>
          <w:rFonts w:hint="eastAsia" w:ascii="宋体" w:hAnsi="宋体" w:eastAsia="宋体" w:cs="宋体"/>
          <w:b/>
          <w:bCs/>
          <w:sz w:val="28"/>
          <w:szCs w:val="28"/>
        </w:rPr>
        <w:t>附表六：商务评审表</w:t>
      </w:r>
      <w:bookmarkEnd w:id="9"/>
      <w:bookmarkEnd w:id="11"/>
      <w:bookmarkEnd w:id="12"/>
      <w:bookmarkEnd w:id="13"/>
    </w:p>
    <w:tbl>
      <w:tblPr>
        <w:tblStyle w:val="6"/>
        <w:tblW w:w="91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342"/>
      </w:tblGrid>
      <w:tr w14:paraId="17AA3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0AB24569">
            <w:pPr>
              <w:spacing w:line="400" w:lineRule="atLeast"/>
              <w:jc w:val="center"/>
              <w:rPr>
                <w:rFonts w:ascii="宋体" w:hAnsi="宋体" w:eastAsia="宋体" w:cs="宋体"/>
                <w:b/>
                <w:sz w:val="24"/>
                <w:szCs w:val="24"/>
              </w:rPr>
            </w:pPr>
            <w:r>
              <w:rPr>
                <w:rFonts w:hint="eastAsia" w:ascii="宋体" w:hAnsi="宋体" w:eastAsia="宋体" w:cs="宋体"/>
                <w:b/>
                <w:sz w:val="24"/>
                <w:szCs w:val="24"/>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4C24F9F9">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351A78EF">
            <w:pPr>
              <w:spacing w:line="400" w:lineRule="atLeast"/>
              <w:jc w:val="center"/>
              <w:rPr>
                <w:rFonts w:ascii="宋体" w:hAnsi="宋体" w:eastAsia="宋体" w:cs="宋体"/>
                <w:b/>
                <w:sz w:val="24"/>
                <w:szCs w:val="24"/>
              </w:rPr>
            </w:pPr>
            <w:r>
              <w:rPr>
                <w:rFonts w:hint="eastAsia" w:ascii="宋体" w:hAnsi="宋体" w:eastAsia="宋体" w:cs="宋体"/>
                <w:b/>
                <w:sz w:val="24"/>
                <w:szCs w:val="24"/>
              </w:rPr>
              <w:t>分值</w:t>
            </w:r>
          </w:p>
        </w:tc>
        <w:tc>
          <w:tcPr>
            <w:tcW w:w="5342" w:type="dxa"/>
            <w:tcBorders>
              <w:top w:val="single" w:color="auto" w:sz="4" w:space="0"/>
              <w:left w:val="single" w:color="auto" w:sz="4" w:space="0"/>
              <w:right w:val="single" w:color="auto" w:sz="2" w:space="0"/>
            </w:tcBorders>
            <w:shd w:val="clear" w:color="auto" w:fill="D9D9D9"/>
            <w:vAlign w:val="center"/>
          </w:tcPr>
          <w:p w14:paraId="1BDEB207">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评审内容</w:t>
            </w:r>
          </w:p>
        </w:tc>
      </w:tr>
      <w:tr w14:paraId="7C34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4" w:hRule="atLeast"/>
          <w:jc w:val="center"/>
        </w:trPr>
        <w:tc>
          <w:tcPr>
            <w:tcW w:w="642" w:type="dxa"/>
            <w:vAlign w:val="center"/>
          </w:tcPr>
          <w:p w14:paraId="5E410A36">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1</w:t>
            </w:r>
          </w:p>
        </w:tc>
        <w:tc>
          <w:tcPr>
            <w:tcW w:w="2237" w:type="dxa"/>
            <w:vAlign w:val="center"/>
          </w:tcPr>
          <w:p w14:paraId="164E4306">
            <w:pPr>
              <w:spacing w:line="440" w:lineRule="exact"/>
              <w:jc w:val="center"/>
              <w:rPr>
                <w:rFonts w:ascii="宋体" w:hAnsi="宋体" w:eastAsia="宋体" w:cs="宋体"/>
                <w:sz w:val="24"/>
                <w:szCs w:val="24"/>
              </w:rPr>
            </w:pPr>
            <w:r>
              <w:rPr>
                <w:rFonts w:hint="eastAsia" w:ascii="宋体" w:hAnsi="宋体" w:cs="宋体"/>
                <w:sz w:val="24"/>
              </w:rPr>
              <w:t>投标人业绩</w:t>
            </w:r>
          </w:p>
        </w:tc>
        <w:tc>
          <w:tcPr>
            <w:tcW w:w="929" w:type="dxa"/>
            <w:vAlign w:val="center"/>
          </w:tcPr>
          <w:p w14:paraId="381FDD75">
            <w:pPr>
              <w:spacing w:line="440" w:lineRule="exact"/>
              <w:jc w:val="center"/>
              <w:rPr>
                <w:rFonts w:ascii="宋体" w:hAnsi="宋体" w:eastAsia="宋体" w:cs="宋体"/>
                <w:sz w:val="24"/>
                <w:szCs w:val="24"/>
              </w:rPr>
            </w:pPr>
            <w:r>
              <w:rPr>
                <w:rFonts w:hint="eastAsia" w:ascii="宋体" w:hAnsi="宋体" w:eastAsia="宋体" w:cs="宋体"/>
                <w:sz w:val="24"/>
                <w:szCs w:val="24"/>
              </w:rPr>
              <w:t>5</w:t>
            </w:r>
          </w:p>
        </w:tc>
        <w:tc>
          <w:tcPr>
            <w:tcW w:w="5342" w:type="dxa"/>
            <w:vAlign w:val="center"/>
          </w:tcPr>
          <w:p w14:paraId="08212ABF">
            <w:pPr>
              <w:pStyle w:val="10"/>
            </w:pPr>
            <w:r>
              <w:rPr>
                <w:rFonts w:hint="eastAsia"/>
              </w:rPr>
              <w:t>20</w:t>
            </w:r>
            <w:r>
              <w:rPr>
                <w:rFonts w:hint="eastAsia"/>
                <w:lang w:val="en-US" w:eastAsia="zh-CN"/>
              </w:rPr>
              <w:t>20</w:t>
            </w:r>
            <w:r>
              <w:rPr>
                <w:rFonts w:hint="eastAsia"/>
              </w:rPr>
              <w:t>年至今承接过</w:t>
            </w:r>
            <w:r>
              <w:rPr>
                <w:rFonts w:hint="eastAsia"/>
                <w:lang w:eastAsia="zh-CN"/>
              </w:rPr>
              <w:t>类似新建或维修维护</w:t>
            </w:r>
            <w:r>
              <w:rPr>
                <w:rFonts w:hint="eastAsia"/>
              </w:rPr>
              <w:t>项目，每一项业绩得1分，本项最多得5分。</w:t>
            </w:r>
          </w:p>
          <w:p w14:paraId="1D21B10D">
            <w:pPr>
              <w:pStyle w:val="10"/>
            </w:pPr>
            <w:r>
              <w:rPr>
                <w:rFonts w:hint="eastAsia"/>
              </w:rPr>
              <w:t>注：时间以合同签订时间为准，业绩必须提供中标通知书或设计合同复印件并加盖公章，无证明材料不得分。</w:t>
            </w:r>
          </w:p>
        </w:tc>
      </w:tr>
      <w:tr w14:paraId="0A0A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642" w:type="dxa"/>
            <w:shd w:val="clear" w:color="auto" w:fill="auto"/>
            <w:vAlign w:val="center"/>
          </w:tcPr>
          <w:p w14:paraId="61A4D04E">
            <w:pPr>
              <w:spacing w:line="400" w:lineRule="atLeast"/>
              <w:ind w:left="-50" w:leftChars="0" w:right="-51"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2237" w:type="dxa"/>
            <w:shd w:val="clear" w:color="auto" w:fill="auto"/>
            <w:vAlign w:val="center"/>
          </w:tcPr>
          <w:p w14:paraId="336A9E91">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资质</w:t>
            </w:r>
            <w:r>
              <w:rPr>
                <w:rFonts w:hint="eastAsia" w:ascii="宋体" w:hAnsi="宋体" w:eastAsia="宋体" w:cs="宋体"/>
                <w:sz w:val="24"/>
                <w:szCs w:val="24"/>
                <w:lang w:val="en-US" w:eastAsia="zh-CN"/>
              </w:rPr>
              <w:t>认证</w:t>
            </w:r>
          </w:p>
        </w:tc>
        <w:tc>
          <w:tcPr>
            <w:tcW w:w="929" w:type="dxa"/>
            <w:shd w:val="clear" w:color="auto" w:fill="auto"/>
            <w:vAlign w:val="center"/>
          </w:tcPr>
          <w:p w14:paraId="0516CF47">
            <w:pPr>
              <w:spacing w:line="440" w:lineRule="exact"/>
              <w:jc w:val="center"/>
              <w:rPr>
                <w:rFonts w:hint="eastAsia" w:ascii="Calibri" w:hAnsi="Calibri" w:eastAsia="宋体" w:cs="Times New Roman"/>
                <w:kern w:val="2"/>
                <w:sz w:val="21"/>
                <w:szCs w:val="22"/>
                <w:lang w:val="en-US" w:eastAsia="zh-CN" w:bidi="ar-SA"/>
              </w:rPr>
            </w:pPr>
            <w:r>
              <w:rPr>
                <w:rFonts w:hint="eastAsia" w:ascii="宋体" w:hAnsi="宋体" w:eastAsia="宋体" w:cs="宋体"/>
                <w:sz w:val="24"/>
                <w:szCs w:val="24"/>
                <w:lang w:val="en-US" w:eastAsia="zh-CN"/>
              </w:rPr>
              <w:t>5</w:t>
            </w:r>
          </w:p>
        </w:tc>
        <w:tc>
          <w:tcPr>
            <w:tcW w:w="5342" w:type="dxa"/>
            <w:shd w:val="clear" w:color="auto" w:fill="auto"/>
            <w:vAlign w:val="center"/>
          </w:tcPr>
          <w:p w14:paraId="69C02B7C">
            <w:pPr>
              <w:pStyle w:val="10"/>
              <w:rPr>
                <w:rFonts w:hint="eastAsia"/>
                <w:lang w:val="en-US" w:eastAsia="zh-CN"/>
              </w:rPr>
            </w:pPr>
            <w:r>
              <w:rPr>
                <w:rFonts w:hint="eastAsia" w:ascii="Calibri" w:hAnsi="Calibri" w:eastAsia="宋体" w:cs="Times New Roman"/>
                <w:kern w:val="2"/>
                <w:sz w:val="21"/>
                <w:szCs w:val="22"/>
                <w:lang w:val="en-US" w:eastAsia="zh-CN" w:bidi="ar-SA"/>
              </w:rPr>
              <w:t>投标人能提供</w:t>
            </w:r>
            <w:r>
              <w:rPr>
                <w:rFonts w:hint="eastAsia" w:cs="Times New Roman"/>
                <w:kern w:val="2"/>
                <w:sz w:val="21"/>
                <w:szCs w:val="22"/>
                <w:lang w:val="en-US" w:eastAsia="zh-CN" w:bidi="ar-SA"/>
              </w:rPr>
              <w:t>施工劳务</w:t>
            </w:r>
            <w:r>
              <w:rPr>
                <w:rFonts w:hint="eastAsia" w:ascii="Calibri" w:hAnsi="Calibri" w:eastAsia="宋体" w:cs="Times New Roman"/>
                <w:kern w:val="2"/>
                <w:sz w:val="21"/>
                <w:szCs w:val="22"/>
                <w:lang w:val="en-US" w:eastAsia="zh-CN" w:bidi="ar-SA"/>
              </w:rPr>
              <w:t>资质的得</w:t>
            </w:r>
            <w:r>
              <w:rPr>
                <w:rFonts w:hint="eastAsia" w:cs="Times New Roman"/>
                <w:kern w:val="2"/>
                <w:sz w:val="21"/>
                <w:szCs w:val="22"/>
                <w:lang w:val="en-US" w:eastAsia="zh-CN" w:bidi="ar-SA"/>
              </w:rPr>
              <w:t>3</w:t>
            </w:r>
            <w:r>
              <w:rPr>
                <w:rFonts w:hint="eastAsia" w:ascii="Calibri" w:hAnsi="Calibri" w:eastAsia="宋体" w:cs="Times New Roman"/>
                <w:kern w:val="2"/>
                <w:sz w:val="21"/>
                <w:szCs w:val="22"/>
                <w:lang w:val="en-US" w:eastAsia="zh-CN" w:bidi="ar-SA"/>
              </w:rPr>
              <w:t>分；</w:t>
            </w:r>
          </w:p>
          <w:p w14:paraId="428F5F7A">
            <w:pPr>
              <w:pStyle w:val="1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投标人能提供安全生产资质的得</w:t>
            </w:r>
            <w:r>
              <w:rPr>
                <w:rFonts w:hint="eastAsia"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分；</w:t>
            </w:r>
          </w:p>
          <w:p w14:paraId="54E2BE2F">
            <w:pPr>
              <w:pStyle w:val="5"/>
              <w:ind w:left="0" w:leftChars="0" w:firstLine="0"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注：提供复印件并加盖公章，无证明材料不得分。</w:t>
            </w:r>
          </w:p>
        </w:tc>
      </w:tr>
      <w:tr w14:paraId="04F8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3CD38DC7">
            <w:pPr>
              <w:spacing w:line="400" w:lineRule="atLeast"/>
              <w:ind w:left="-50" w:right="-5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237" w:type="dxa"/>
            <w:vAlign w:val="center"/>
          </w:tcPr>
          <w:p w14:paraId="33A9321B">
            <w:pPr>
              <w:spacing w:line="440" w:lineRule="exact"/>
              <w:jc w:val="center"/>
              <w:rPr>
                <w:rFonts w:ascii="宋体" w:hAnsi="宋体" w:eastAsia="宋体" w:cs="宋体"/>
                <w:sz w:val="24"/>
                <w:szCs w:val="24"/>
              </w:rPr>
            </w:pPr>
            <w:r>
              <w:rPr>
                <w:rFonts w:hint="eastAsia" w:ascii="宋体" w:hAnsi="宋体" w:cs="宋体"/>
                <w:sz w:val="24"/>
                <w:lang w:val="en-US" w:eastAsia="zh-CN"/>
              </w:rPr>
              <w:t>获奖</w:t>
            </w:r>
            <w:r>
              <w:rPr>
                <w:rFonts w:hint="eastAsia" w:ascii="宋体" w:hAnsi="宋体" w:cs="宋体"/>
                <w:sz w:val="24"/>
              </w:rPr>
              <w:t>情况</w:t>
            </w:r>
          </w:p>
        </w:tc>
        <w:tc>
          <w:tcPr>
            <w:tcW w:w="929" w:type="dxa"/>
            <w:vAlign w:val="center"/>
          </w:tcPr>
          <w:p w14:paraId="53B9B618">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342" w:type="dxa"/>
            <w:vAlign w:val="center"/>
          </w:tcPr>
          <w:p w14:paraId="11270FDA">
            <w:pPr>
              <w:pStyle w:val="10"/>
            </w:pPr>
            <w:r>
              <w:rPr>
                <w:rFonts w:hint="eastAsia"/>
              </w:rPr>
              <w:t>投标人设计单位自20</w:t>
            </w:r>
            <w:r>
              <w:rPr>
                <w:rFonts w:hint="eastAsia"/>
                <w:lang w:val="en-US" w:eastAsia="zh-CN"/>
              </w:rPr>
              <w:t>20</w:t>
            </w:r>
            <w:r>
              <w:rPr>
                <w:rFonts w:hint="eastAsia"/>
              </w:rPr>
              <w:t>年至今</w:t>
            </w:r>
            <w:r>
              <w:rPr>
                <w:rFonts w:hint="eastAsia"/>
                <w:lang w:val="en-US" w:eastAsia="zh-CN"/>
              </w:rPr>
              <w:t>所承接的中央空调项目</w:t>
            </w:r>
            <w:r>
              <w:rPr>
                <w:rFonts w:hint="eastAsia"/>
              </w:rPr>
              <w:t>获得</w:t>
            </w:r>
            <w:r>
              <w:rPr>
                <w:rFonts w:hint="eastAsia"/>
                <w:lang w:val="en-US" w:eastAsia="zh-CN"/>
              </w:rPr>
              <w:t>业主方</w:t>
            </w:r>
            <w:r>
              <w:rPr>
                <w:rFonts w:hint="eastAsia"/>
              </w:rPr>
              <w:t>颁发的</w:t>
            </w:r>
            <w:r>
              <w:rPr>
                <w:rFonts w:hint="eastAsia"/>
                <w:lang w:val="en-US" w:eastAsia="zh-CN"/>
              </w:rPr>
              <w:t>嘉奖证书的</w:t>
            </w:r>
            <w:r>
              <w:rPr>
                <w:rFonts w:hint="eastAsia"/>
              </w:rPr>
              <w:t>，每有一项得1分，本项最多得</w:t>
            </w:r>
            <w:r>
              <w:rPr>
                <w:rFonts w:hint="eastAsia"/>
                <w:lang w:val="en-US" w:eastAsia="zh-CN"/>
              </w:rPr>
              <w:t>3</w:t>
            </w:r>
            <w:r>
              <w:rPr>
                <w:rFonts w:hint="eastAsia"/>
              </w:rPr>
              <w:t>分。</w:t>
            </w:r>
          </w:p>
          <w:p w14:paraId="1C7E90BD">
            <w:pPr>
              <w:pStyle w:val="10"/>
            </w:pPr>
            <w:r>
              <w:rPr>
                <w:rFonts w:hint="eastAsia"/>
              </w:rPr>
              <w:t>注：提供</w:t>
            </w:r>
            <w:r>
              <w:rPr>
                <w:rFonts w:hint="eastAsia"/>
                <w:lang w:val="en-US" w:eastAsia="zh-CN"/>
              </w:rPr>
              <w:t>荣誉</w:t>
            </w:r>
            <w:r>
              <w:rPr>
                <w:rFonts w:hint="eastAsia"/>
              </w:rPr>
              <w:t>证书复印件，时间以奖项证书颁发时间为准，需提供相关材料复印件并加盖公章。</w:t>
            </w:r>
          </w:p>
        </w:tc>
      </w:tr>
      <w:tr w14:paraId="4410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32651E46">
            <w:pPr>
              <w:spacing w:line="400" w:lineRule="atLeast"/>
              <w:ind w:left="-50" w:right="-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237" w:type="dxa"/>
            <w:vAlign w:val="center"/>
          </w:tcPr>
          <w:p w14:paraId="59725F24">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lang w:val="en-US" w:eastAsia="zh-CN"/>
              </w:rPr>
              <w:t>技术优势</w:t>
            </w:r>
          </w:p>
        </w:tc>
        <w:tc>
          <w:tcPr>
            <w:tcW w:w="929" w:type="dxa"/>
            <w:vAlign w:val="center"/>
          </w:tcPr>
          <w:p w14:paraId="6023221B">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342" w:type="dxa"/>
            <w:vAlign w:val="center"/>
          </w:tcPr>
          <w:p w14:paraId="1E22C31B">
            <w:pPr>
              <w:pStyle w:val="10"/>
            </w:pPr>
            <w:r>
              <w:rPr>
                <w:rFonts w:hint="eastAsia"/>
              </w:rPr>
              <w:t>20</w:t>
            </w:r>
            <w:r>
              <w:rPr>
                <w:rFonts w:hint="eastAsia"/>
                <w:lang w:val="en-US" w:eastAsia="zh-CN"/>
              </w:rPr>
              <w:t>20</w:t>
            </w:r>
            <w:r>
              <w:rPr>
                <w:rFonts w:hint="eastAsia"/>
              </w:rPr>
              <w:t>年至今</w:t>
            </w:r>
            <w:r>
              <w:rPr>
                <w:rFonts w:hint="eastAsia"/>
                <w:lang w:val="en-US" w:eastAsia="zh-CN"/>
              </w:rPr>
              <w:t>投标人有取得中央空调系统节能专利技术的</w:t>
            </w:r>
            <w:r>
              <w:rPr>
                <w:rFonts w:hint="eastAsia"/>
              </w:rPr>
              <w:t>，每一项得</w:t>
            </w:r>
            <w:r>
              <w:rPr>
                <w:rFonts w:hint="eastAsia"/>
                <w:lang w:val="en-US" w:eastAsia="zh-CN"/>
              </w:rPr>
              <w:t>1</w:t>
            </w:r>
            <w:r>
              <w:rPr>
                <w:rFonts w:hint="eastAsia"/>
              </w:rPr>
              <w:t>分，本项最多得</w:t>
            </w:r>
            <w:r>
              <w:rPr>
                <w:rFonts w:hint="eastAsia"/>
                <w:lang w:val="en-US" w:eastAsia="zh-CN"/>
              </w:rPr>
              <w:t>5</w:t>
            </w:r>
            <w:r>
              <w:rPr>
                <w:rFonts w:hint="eastAsia"/>
              </w:rPr>
              <w:t>分。</w:t>
            </w:r>
          </w:p>
          <w:p w14:paraId="47227371">
            <w:pPr>
              <w:pStyle w:val="10"/>
            </w:pPr>
            <w:r>
              <w:rPr>
                <w:rFonts w:hint="eastAsia"/>
              </w:rPr>
              <w:t>注：</w:t>
            </w:r>
            <w:r>
              <w:rPr>
                <w:rFonts w:hint="eastAsia"/>
                <w:lang w:val="en-US" w:eastAsia="zh-CN"/>
              </w:rPr>
              <w:t>提供复印件</w:t>
            </w:r>
            <w:r>
              <w:rPr>
                <w:rFonts w:hint="eastAsia"/>
              </w:rPr>
              <w:t>并加盖公章，无证明材料不得分。</w:t>
            </w:r>
          </w:p>
        </w:tc>
      </w:tr>
      <w:tr w14:paraId="4EAD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24584F6D">
            <w:pPr>
              <w:spacing w:line="400" w:lineRule="atLeast"/>
              <w:ind w:left="-50" w:right="-5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237" w:type="dxa"/>
            <w:vAlign w:val="center"/>
          </w:tcPr>
          <w:p w14:paraId="58EACCB7">
            <w:pPr>
              <w:spacing w:line="440" w:lineRule="exact"/>
              <w:jc w:val="center"/>
              <w:rPr>
                <w:rFonts w:ascii="宋体" w:hAnsi="宋体" w:eastAsia="宋体" w:cs="宋体"/>
                <w:sz w:val="24"/>
                <w:szCs w:val="24"/>
              </w:rPr>
            </w:pPr>
            <w:r>
              <w:rPr>
                <w:rFonts w:hint="eastAsia" w:ascii="宋体" w:hAnsi="宋体" w:eastAsia="宋体" w:cs="宋体"/>
                <w:sz w:val="24"/>
                <w:szCs w:val="24"/>
              </w:rPr>
              <w:t>团队配置</w:t>
            </w:r>
          </w:p>
        </w:tc>
        <w:tc>
          <w:tcPr>
            <w:tcW w:w="929" w:type="dxa"/>
            <w:vAlign w:val="center"/>
          </w:tcPr>
          <w:p w14:paraId="16CC9C1C">
            <w:pPr>
              <w:spacing w:line="440" w:lineRule="exact"/>
              <w:jc w:val="center"/>
              <w:rPr>
                <w:rFonts w:ascii="宋体" w:hAnsi="宋体" w:eastAsia="宋体" w:cs="宋体"/>
                <w:sz w:val="24"/>
                <w:szCs w:val="24"/>
              </w:rPr>
            </w:pPr>
            <w:r>
              <w:rPr>
                <w:rFonts w:hint="eastAsia" w:ascii="宋体" w:hAnsi="宋体" w:eastAsia="宋体" w:cs="宋体"/>
                <w:sz w:val="24"/>
                <w:szCs w:val="24"/>
              </w:rPr>
              <w:t>5</w:t>
            </w:r>
          </w:p>
        </w:tc>
        <w:tc>
          <w:tcPr>
            <w:tcW w:w="5342" w:type="dxa"/>
            <w:vAlign w:val="center"/>
          </w:tcPr>
          <w:p w14:paraId="36EB8AC5">
            <w:pPr>
              <w:pStyle w:val="10"/>
              <w:rPr>
                <w:rFonts w:hint="default" w:eastAsia="宋体"/>
                <w:color w:val="auto"/>
                <w:highlight w:val="none"/>
                <w:lang w:val="en-US" w:eastAsia="zh-CN"/>
              </w:rPr>
            </w:pPr>
            <w:r>
              <w:rPr>
                <w:rFonts w:hint="eastAsia"/>
                <w:color w:val="auto"/>
                <w:highlight w:val="none"/>
              </w:rPr>
              <w:t>投入技术人员不少于</w:t>
            </w:r>
            <w:r>
              <w:rPr>
                <w:rFonts w:hint="eastAsia"/>
                <w:color w:val="auto"/>
                <w:highlight w:val="none"/>
                <w:lang w:val="en-US" w:eastAsia="zh-CN"/>
              </w:rPr>
              <w:t>3</w:t>
            </w:r>
            <w:r>
              <w:rPr>
                <w:rFonts w:hint="eastAsia"/>
                <w:color w:val="auto"/>
                <w:highlight w:val="none"/>
              </w:rPr>
              <w:t>人，</w:t>
            </w:r>
            <w:r>
              <w:rPr>
                <w:rFonts w:hint="eastAsia"/>
                <w:color w:val="auto"/>
                <w:highlight w:val="none"/>
                <w:lang w:val="en-US" w:eastAsia="zh-CN"/>
              </w:rPr>
              <w:t>技术人员需持制冷与空调设备安装修理证书</w:t>
            </w:r>
          </w:p>
          <w:p w14:paraId="7AC9A307">
            <w:pPr>
              <w:pStyle w:val="10"/>
              <w:rPr>
                <w:rFonts w:hint="default"/>
                <w:lang w:val="en-US"/>
              </w:rPr>
            </w:pPr>
            <w:r>
              <w:rPr>
                <w:rFonts w:hint="eastAsia"/>
                <w:color w:val="auto"/>
                <w:highlight w:val="none"/>
                <w:lang w:val="en-US" w:eastAsia="zh-CN"/>
              </w:rPr>
              <w:t>注：以上人员需提供近3个月的社保记录，不提供不得分</w:t>
            </w:r>
          </w:p>
        </w:tc>
      </w:tr>
      <w:tr w14:paraId="503C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01A51466">
            <w:pPr>
              <w:spacing w:line="400" w:lineRule="atLeast"/>
              <w:ind w:left="-50" w:right="-5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237" w:type="dxa"/>
            <w:vAlign w:val="center"/>
          </w:tcPr>
          <w:p w14:paraId="0346AC4A">
            <w:pPr>
              <w:pStyle w:val="10"/>
              <w:jc w:val="center"/>
              <w:rPr>
                <w:rFonts w:hint="eastAsia"/>
                <w:color w:val="auto"/>
                <w:highlight w:val="none"/>
                <w:lang w:val="en-US" w:eastAsia="zh-CN"/>
              </w:rPr>
            </w:pPr>
            <w:r>
              <w:rPr>
                <w:rFonts w:hint="eastAsia" w:ascii="宋体" w:hAnsi="宋体" w:eastAsia="宋体" w:cs="宋体"/>
                <w:kern w:val="2"/>
                <w:sz w:val="24"/>
                <w:szCs w:val="24"/>
                <w:lang w:val="en-US" w:eastAsia="zh-CN" w:bidi="ar-SA"/>
              </w:rPr>
              <w:t>拟派项目负责人</w:t>
            </w:r>
          </w:p>
        </w:tc>
        <w:tc>
          <w:tcPr>
            <w:tcW w:w="929" w:type="dxa"/>
            <w:vAlign w:val="center"/>
          </w:tcPr>
          <w:p w14:paraId="69DE2CE0">
            <w:pPr>
              <w:pStyle w:val="10"/>
              <w:jc w:val="center"/>
              <w:rPr>
                <w:rFonts w:hint="eastAsia"/>
                <w:color w:val="auto"/>
                <w:highlight w:val="none"/>
                <w:lang w:val="en-US" w:eastAsia="zh-CN"/>
              </w:rPr>
            </w:pPr>
            <w:r>
              <w:rPr>
                <w:rFonts w:hint="eastAsia" w:ascii="宋体" w:hAnsi="宋体" w:eastAsia="宋体" w:cs="宋体"/>
                <w:kern w:val="2"/>
                <w:sz w:val="24"/>
                <w:szCs w:val="24"/>
                <w:lang w:val="en-US" w:eastAsia="zh-CN" w:bidi="ar-SA"/>
              </w:rPr>
              <w:t>3</w:t>
            </w:r>
          </w:p>
        </w:tc>
        <w:tc>
          <w:tcPr>
            <w:tcW w:w="5342" w:type="dxa"/>
            <w:vAlign w:val="center"/>
          </w:tcPr>
          <w:p w14:paraId="5A4F7286">
            <w:pPr>
              <w:pStyle w:val="10"/>
              <w:rPr>
                <w:rFonts w:hint="eastAsia"/>
                <w:color w:val="auto"/>
                <w:highlight w:val="none"/>
                <w:lang w:val="en-US" w:eastAsia="zh-CN"/>
              </w:rPr>
            </w:pPr>
            <w:r>
              <w:rPr>
                <w:rFonts w:hint="eastAsia"/>
                <w:color w:val="auto"/>
                <w:highlight w:val="none"/>
                <w:lang w:val="en-US" w:eastAsia="zh-CN"/>
              </w:rPr>
              <w:t>投标人派驻项目负责人持有工业和信息化部颁发的系统集成高级项目经理证书的得2分；持有城乡住建厅颁发的安全生产负责人证书得1分。</w:t>
            </w:r>
          </w:p>
          <w:p w14:paraId="38F8FDF4">
            <w:pPr>
              <w:pStyle w:val="10"/>
              <w:rPr>
                <w:rFonts w:hint="default"/>
                <w:color w:val="auto"/>
                <w:highlight w:val="none"/>
                <w:lang w:val="en-US" w:eastAsia="zh-CN"/>
              </w:rPr>
            </w:pPr>
            <w:r>
              <w:rPr>
                <w:rFonts w:hint="eastAsia"/>
                <w:color w:val="auto"/>
                <w:highlight w:val="none"/>
                <w:lang w:val="en-US" w:eastAsia="zh-CN"/>
              </w:rPr>
              <w:t>注：以上人员需提供近3个月的社保记录，不提供不得分</w:t>
            </w:r>
          </w:p>
        </w:tc>
      </w:tr>
      <w:tr w14:paraId="3EC1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8" w:hRule="atLeast"/>
          <w:jc w:val="center"/>
        </w:trPr>
        <w:tc>
          <w:tcPr>
            <w:tcW w:w="642" w:type="dxa"/>
            <w:vAlign w:val="center"/>
          </w:tcPr>
          <w:p w14:paraId="0C6E1B42">
            <w:pPr>
              <w:spacing w:line="400" w:lineRule="atLeast"/>
              <w:ind w:left="-50" w:right="-5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37" w:type="dxa"/>
            <w:vAlign w:val="center"/>
          </w:tcPr>
          <w:p w14:paraId="215F491B">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社会荣誉</w:t>
            </w:r>
          </w:p>
        </w:tc>
        <w:tc>
          <w:tcPr>
            <w:tcW w:w="929" w:type="dxa"/>
            <w:vAlign w:val="center"/>
          </w:tcPr>
          <w:p w14:paraId="3AF5EC9C">
            <w:pPr>
              <w:spacing w:line="440" w:lineRule="exact"/>
              <w:jc w:val="center"/>
              <w:rPr>
                <w:rFonts w:hint="eastAsia" w:ascii="Calibri" w:hAnsi="Calibri" w:eastAsia="宋体" w:cs="Times New Roman"/>
                <w:kern w:val="2"/>
                <w:sz w:val="21"/>
                <w:szCs w:val="22"/>
                <w:lang w:val="en-US" w:eastAsia="zh-CN" w:bidi="ar-SA"/>
              </w:rPr>
            </w:pPr>
            <w:r>
              <w:rPr>
                <w:rFonts w:hint="eastAsia" w:ascii="宋体" w:hAnsi="宋体" w:eastAsia="宋体" w:cs="宋体"/>
                <w:sz w:val="24"/>
                <w:szCs w:val="24"/>
                <w:lang w:val="en-US" w:eastAsia="zh-CN"/>
              </w:rPr>
              <w:t>4</w:t>
            </w:r>
          </w:p>
        </w:tc>
        <w:tc>
          <w:tcPr>
            <w:tcW w:w="5342" w:type="dxa"/>
            <w:vAlign w:val="center"/>
          </w:tcPr>
          <w:p w14:paraId="4BF4440A">
            <w:pPr>
              <w:pStyle w:val="10"/>
              <w:rPr>
                <w:rFonts w:hint="eastAsia"/>
                <w:lang w:val="en-US" w:eastAsia="zh-CN"/>
              </w:rPr>
            </w:pPr>
            <w:r>
              <w:rPr>
                <w:rFonts w:hint="eastAsia"/>
                <w:lang w:val="en-US" w:eastAsia="zh-CN"/>
              </w:rPr>
              <w:t>投标人连续4年以上取得纳税A级企业得4分；</w:t>
            </w:r>
          </w:p>
          <w:p w14:paraId="20186494">
            <w:pPr>
              <w:pStyle w:val="10"/>
              <w:rPr>
                <w:rFonts w:hint="eastAsia"/>
                <w:lang w:val="en-US" w:eastAsia="zh-CN"/>
              </w:rPr>
            </w:pPr>
            <w:r>
              <w:rPr>
                <w:rFonts w:hint="eastAsia"/>
                <w:lang w:val="en-US" w:eastAsia="zh-CN"/>
              </w:rPr>
              <w:t>投标人连续3年以上取得纳税A级企业得3分；</w:t>
            </w:r>
          </w:p>
          <w:p w14:paraId="65C806C8">
            <w:pPr>
              <w:pStyle w:val="10"/>
              <w:rPr>
                <w:rFonts w:hint="eastAsia"/>
                <w:lang w:val="en-US" w:eastAsia="zh-CN"/>
              </w:rPr>
            </w:pPr>
            <w:r>
              <w:rPr>
                <w:rFonts w:hint="eastAsia"/>
                <w:lang w:val="en-US" w:eastAsia="zh-CN"/>
              </w:rPr>
              <w:t>投标人连续2年以上取得纳税A级企业得1分；</w:t>
            </w:r>
          </w:p>
          <w:p w14:paraId="3AF360D3">
            <w:pPr>
              <w:pStyle w:val="10"/>
              <w:rPr>
                <w:rFonts w:hint="default" w:ascii="Calibri" w:hAnsi="Calibri" w:eastAsia="宋体" w:cs="Times New Roman"/>
                <w:kern w:val="2"/>
                <w:sz w:val="21"/>
                <w:szCs w:val="22"/>
                <w:lang w:val="en-US" w:eastAsia="zh-CN" w:bidi="ar-SA"/>
              </w:rPr>
            </w:pPr>
            <w:r>
              <w:rPr>
                <w:rFonts w:hint="eastAsia"/>
                <w:lang w:val="en-US" w:eastAsia="zh-CN"/>
              </w:rPr>
              <w:t>注：提供复印件并加盖公章，无证明材料不得分。</w:t>
            </w:r>
          </w:p>
        </w:tc>
      </w:tr>
      <w:tr w14:paraId="071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879" w:type="dxa"/>
            <w:gridSpan w:val="2"/>
            <w:vAlign w:val="center"/>
          </w:tcPr>
          <w:p w14:paraId="437E09F2">
            <w:pPr>
              <w:spacing w:line="400" w:lineRule="atLeast"/>
              <w:jc w:val="center"/>
              <w:rPr>
                <w:rFonts w:ascii="宋体" w:hAnsi="宋体" w:eastAsia="宋体" w:cs="宋体"/>
                <w:b/>
                <w:bCs/>
                <w:sz w:val="24"/>
                <w:szCs w:val="24"/>
              </w:rPr>
            </w:pPr>
            <w:bookmarkStart w:id="14" w:name="OLE_LINK12" w:colFirst="2" w:colLast="3"/>
            <w:r>
              <w:rPr>
                <w:rFonts w:hint="eastAsia" w:ascii="宋体" w:hAnsi="宋体" w:eastAsia="宋体" w:cs="宋体"/>
                <w:b/>
                <w:bCs/>
                <w:sz w:val="24"/>
                <w:szCs w:val="24"/>
              </w:rPr>
              <w:t>合计</w:t>
            </w:r>
          </w:p>
        </w:tc>
        <w:tc>
          <w:tcPr>
            <w:tcW w:w="929" w:type="dxa"/>
            <w:vAlign w:val="center"/>
          </w:tcPr>
          <w:p w14:paraId="1B0D8FC1">
            <w:pPr>
              <w:spacing w:line="400" w:lineRule="atLeast"/>
              <w:jc w:val="center"/>
              <w:rPr>
                <w:rFonts w:ascii="宋体" w:hAnsi="宋体" w:eastAsia="宋体" w:cs="宋体"/>
                <w:b/>
                <w:bCs/>
                <w:sz w:val="24"/>
                <w:szCs w:val="24"/>
              </w:rPr>
            </w:pPr>
            <w:r>
              <w:rPr>
                <w:rFonts w:hint="eastAsia" w:ascii="宋体" w:hAnsi="宋体" w:eastAsia="宋体" w:cs="宋体"/>
                <w:b/>
                <w:bCs/>
                <w:sz w:val="24"/>
                <w:szCs w:val="24"/>
              </w:rPr>
              <w:t>30分</w:t>
            </w:r>
          </w:p>
        </w:tc>
        <w:tc>
          <w:tcPr>
            <w:tcW w:w="5342" w:type="dxa"/>
            <w:vAlign w:val="center"/>
          </w:tcPr>
          <w:p w14:paraId="47DBEFB5">
            <w:pPr>
              <w:spacing w:line="400" w:lineRule="atLeast"/>
              <w:ind w:left="360"/>
              <w:jc w:val="left"/>
              <w:rPr>
                <w:rFonts w:ascii="宋体" w:hAnsi="宋体" w:eastAsia="宋体" w:cs="宋体"/>
                <w:sz w:val="24"/>
                <w:szCs w:val="24"/>
              </w:rPr>
            </w:pPr>
          </w:p>
        </w:tc>
      </w:tr>
      <w:bookmarkEnd w:id="14"/>
    </w:tbl>
    <w:p w14:paraId="42489C7F">
      <w:pPr>
        <w:spacing w:line="360" w:lineRule="auto"/>
        <w:rPr>
          <w:rFonts w:ascii="宋体" w:hAnsi="宋体" w:eastAsia="宋体" w:cs="宋体"/>
          <w:sz w:val="24"/>
          <w:szCs w:val="24"/>
        </w:rPr>
      </w:pPr>
      <w:r>
        <w:rPr>
          <w:rFonts w:hint="eastAsia" w:ascii="宋体" w:hAnsi="宋体" w:eastAsia="宋体" w:cs="宋体"/>
          <w:sz w:val="24"/>
          <w:szCs w:val="24"/>
        </w:rPr>
        <w:t>注：各评委按规定的范围内进行量化打分，并统计总分。</w:t>
      </w:r>
    </w:p>
    <w:p w14:paraId="45061F68">
      <w:pPr>
        <w:pStyle w:val="10"/>
      </w:pPr>
      <w:r>
        <w:br w:type="page"/>
      </w:r>
    </w:p>
    <w:p w14:paraId="6C885E09">
      <w:pPr>
        <w:tabs>
          <w:tab w:val="left" w:pos="540"/>
        </w:tabs>
        <w:rPr>
          <w:rFonts w:ascii="黑体" w:hAnsi="黑体" w:eastAsia="黑体" w:cs="Times New Roman"/>
          <w:color w:val="000000"/>
          <w:sz w:val="72"/>
          <w:szCs w:val="24"/>
        </w:rPr>
      </w:pPr>
    </w:p>
    <w:p w14:paraId="6DC3923C">
      <w:pPr>
        <w:jc w:val="center"/>
        <w:rPr>
          <w:rFonts w:hint="eastAsia" w:ascii="宋体" w:hAnsi="宋体" w:eastAsia="宋体" w:cs="宋体"/>
          <w:b/>
          <w:bCs w:val="0"/>
          <w:color w:val="000000"/>
          <w:sz w:val="52"/>
          <w:szCs w:val="52"/>
        </w:rPr>
      </w:pPr>
      <w:r>
        <w:rPr>
          <w:rFonts w:hint="eastAsia" w:ascii="宋体" w:hAnsi="宋体" w:eastAsia="宋体" w:cs="宋体"/>
          <w:b/>
          <w:bCs w:val="0"/>
          <w:sz w:val="52"/>
          <w:szCs w:val="52"/>
          <w:lang w:val="en-US" w:eastAsia="zh-CN"/>
        </w:rPr>
        <w:t>广东省消防救援总队附属综合楼空调系统维修</w:t>
      </w:r>
      <w:r>
        <w:rPr>
          <w:rFonts w:hint="eastAsia" w:ascii="宋体" w:hAnsi="宋体" w:eastAsia="宋体" w:cs="宋体"/>
          <w:b/>
          <w:bCs w:val="0"/>
          <w:color w:val="000000"/>
          <w:sz w:val="52"/>
          <w:szCs w:val="52"/>
        </w:rPr>
        <w:t>合同</w:t>
      </w:r>
    </w:p>
    <w:p w14:paraId="336EDC42">
      <w:pPr>
        <w:spacing w:line="240" w:lineRule="exact"/>
        <w:jc w:val="center"/>
        <w:rPr>
          <w:rFonts w:ascii="黑体" w:hAnsi="黑体" w:eastAsia="黑体" w:cs="Times New Roman"/>
          <w:color w:val="000000"/>
          <w:sz w:val="32"/>
          <w:szCs w:val="24"/>
        </w:rPr>
      </w:pPr>
    </w:p>
    <w:p w14:paraId="0737B701">
      <w:pPr>
        <w:rPr>
          <w:rFonts w:ascii="黑体" w:hAnsi="黑体" w:eastAsia="黑体" w:cs="Times New Roman"/>
          <w:color w:val="000000"/>
          <w:szCs w:val="24"/>
        </w:rPr>
      </w:pPr>
    </w:p>
    <w:p w14:paraId="0C7BA548">
      <w:pPr>
        <w:rPr>
          <w:rFonts w:ascii="黑体" w:hAnsi="黑体" w:eastAsia="黑体" w:cs="Times New Roman"/>
          <w:color w:val="000000"/>
          <w:szCs w:val="24"/>
        </w:rPr>
      </w:pPr>
    </w:p>
    <w:p w14:paraId="7CBDEA7C">
      <w:pPr>
        <w:rPr>
          <w:rFonts w:ascii="黑体" w:hAnsi="黑体" w:eastAsia="黑体" w:cs="Times New Roman"/>
          <w:color w:val="000000"/>
          <w:szCs w:val="24"/>
        </w:rPr>
      </w:pPr>
    </w:p>
    <w:p w14:paraId="2FA8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hint="eastAsia" w:ascii="黑体" w:hAnsi="黑体" w:eastAsia="黑体" w:cs="Times New Roman"/>
          <w:color w:val="000000"/>
          <w:sz w:val="30"/>
          <w:szCs w:val="30"/>
        </w:rPr>
      </w:pPr>
    </w:p>
    <w:tbl>
      <w:tblPr>
        <w:tblStyle w:val="6"/>
        <w:tblpPr w:leftFromText="180" w:rightFromText="180" w:vertAnchor="text" w:horzAnchor="page" w:tblpXSpec="center" w:tblpY="1"/>
        <w:tblOverlap w:val="never"/>
        <w:tblW w:w="8419" w:type="dxa"/>
        <w:jc w:val="center"/>
        <w:tblLayout w:type="autofit"/>
        <w:tblCellMar>
          <w:top w:w="0" w:type="dxa"/>
          <w:left w:w="108" w:type="dxa"/>
          <w:bottom w:w="0" w:type="dxa"/>
          <w:right w:w="108" w:type="dxa"/>
        </w:tblCellMar>
      </w:tblPr>
      <w:tblGrid>
        <w:gridCol w:w="1988"/>
        <w:gridCol w:w="6431"/>
      </w:tblGrid>
      <w:tr w14:paraId="4E7B25CC">
        <w:tblPrEx>
          <w:tblCellMar>
            <w:top w:w="0" w:type="dxa"/>
            <w:left w:w="108" w:type="dxa"/>
            <w:bottom w:w="0" w:type="dxa"/>
            <w:right w:w="108" w:type="dxa"/>
          </w:tblCellMar>
        </w:tblPrEx>
        <w:trPr>
          <w:trHeight w:val="807" w:hRule="exact"/>
          <w:jc w:val="center"/>
        </w:trPr>
        <w:tc>
          <w:tcPr>
            <w:tcW w:w="1988" w:type="dxa"/>
            <w:vAlign w:val="bottom"/>
          </w:tcPr>
          <w:p w14:paraId="1C6F1D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hint="eastAsia" w:ascii="黑体" w:hAnsi="黑体" w:eastAsia="黑体" w:cs="Times New Roman"/>
                <w:color w:val="000000"/>
                <w:sz w:val="30"/>
                <w:szCs w:val="30"/>
              </w:rPr>
            </w:pPr>
            <w:r>
              <w:rPr>
                <w:rFonts w:hint="eastAsia" w:ascii="黑体" w:hAnsi="黑体" w:eastAsia="黑体" w:cs="Times New Roman"/>
                <w:color w:val="000000"/>
                <w:sz w:val="30"/>
                <w:szCs w:val="30"/>
              </w:rPr>
              <w:t>工程名称 ：</w:t>
            </w:r>
          </w:p>
        </w:tc>
        <w:tc>
          <w:tcPr>
            <w:tcW w:w="6431" w:type="dxa"/>
            <w:tcBorders>
              <w:bottom w:val="single" w:color="auto" w:sz="4" w:space="0"/>
            </w:tcBorders>
            <w:vAlign w:val="bottom"/>
          </w:tcPr>
          <w:p w14:paraId="17259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hint="eastAsia" w:ascii="黑体" w:hAnsi="黑体" w:eastAsia="黑体" w:cs="Times New Roman"/>
                <w:color w:val="000000"/>
                <w:sz w:val="30"/>
                <w:szCs w:val="30"/>
              </w:rPr>
            </w:pPr>
            <w:r>
              <w:rPr>
                <w:rFonts w:hint="eastAsia" w:ascii="黑体" w:hAnsi="黑体" w:eastAsia="黑体" w:cs="Times New Roman"/>
                <w:color w:val="000000"/>
                <w:sz w:val="30"/>
                <w:szCs w:val="30"/>
              </w:rPr>
              <w:t xml:space="preserve"> </w:t>
            </w:r>
            <w:r>
              <w:rPr>
                <w:rFonts w:hint="eastAsia" w:ascii="黑体" w:hAnsi="黑体" w:eastAsia="黑体" w:cs="Times New Roman"/>
                <w:color w:val="000000"/>
                <w:sz w:val="30"/>
                <w:szCs w:val="30"/>
                <w:lang w:val="en-US" w:eastAsia="zh-CN"/>
              </w:rPr>
              <w:t>广东省消防救援总队附属综合楼空调系统维修</w:t>
            </w:r>
          </w:p>
        </w:tc>
      </w:tr>
      <w:tr w14:paraId="08E12D3D">
        <w:tblPrEx>
          <w:tblCellMar>
            <w:top w:w="0" w:type="dxa"/>
            <w:left w:w="108" w:type="dxa"/>
            <w:bottom w:w="0" w:type="dxa"/>
            <w:right w:w="108" w:type="dxa"/>
          </w:tblCellMar>
        </w:tblPrEx>
        <w:trPr>
          <w:trHeight w:val="818" w:hRule="exact"/>
          <w:jc w:val="center"/>
        </w:trPr>
        <w:tc>
          <w:tcPr>
            <w:tcW w:w="1988" w:type="dxa"/>
            <w:vAlign w:val="bottom"/>
          </w:tcPr>
          <w:p w14:paraId="3C1CED64">
            <w:pPr>
              <w:rPr>
                <w:rFonts w:ascii="黑体" w:hAnsi="黑体" w:eastAsia="黑体" w:cs="Times New Roman"/>
                <w:b/>
                <w:color w:val="000000"/>
                <w:sz w:val="30"/>
                <w:szCs w:val="30"/>
              </w:rPr>
            </w:pPr>
            <w:r>
              <w:rPr>
                <w:rFonts w:hint="eastAsia" w:ascii="黑体" w:hAnsi="黑体" w:eastAsia="黑体" w:cs="Times New Roman"/>
                <w:b/>
                <w:color w:val="000000"/>
                <w:sz w:val="30"/>
                <w:szCs w:val="30"/>
              </w:rPr>
              <w:t>工程地点 ：</w:t>
            </w:r>
          </w:p>
        </w:tc>
        <w:tc>
          <w:tcPr>
            <w:tcW w:w="6431" w:type="dxa"/>
            <w:tcBorders>
              <w:top w:val="single" w:color="auto" w:sz="4" w:space="0"/>
              <w:bottom w:val="single" w:color="auto" w:sz="4" w:space="0"/>
            </w:tcBorders>
            <w:vAlign w:val="bottom"/>
          </w:tcPr>
          <w:p w14:paraId="1FAD33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ascii="黑体" w:hAnsi="黑体" w:eastAsia="黑体" w:cs="Arial"/>
                <w:color w:val="000000"/>
                <w:kern w:val="0"/>
                <w:sz w:val="30"/>
                <w:szCs w:val="30"/>
              </w:rPr>
            </w:pPr>
            <w:r>
              <w:rPr>
                <w:rFonts w:hint="eastAsia" w:ascii="黑体" w:hAnsi="黑体" w:eastAsia="黑体" w:cs="Times New Roman"/>
                <w:color w:val="000000"/>
                <w:sz w:val="30"/>
                <w:szCs w:val="30"/>
              </w:rPr>
              <w:t xml:space="preserve">广东省广州市天河区瘦狗岭路483号 </w:t>
            </w:r>
          </w:p>
        </w:tc>
      </w:tr>
      <w:tr w14:paraId="2DC8651F">
        <w:tblPrEx>
          <w:tblCellMar>
            <w:top w:w="0" w:type="dxa"/>
            <w:left w:w="108" w:type="dxa"/>
            <w:bottom w:w="0" w:type="dxa"/>
            <w:right w:w="108" w:type="dxa"/>
          </w:tblCellMar>
        </w:tblPrEx>
        <w:trPr>
          <w:trHeight w:val="807" w:hRule="exact"/>
          <w:jc w:val="center"/>
        </w:trPr>
        <w:tc>
          <w:tcPr>
            <w:tcW w:w="1988" w:type="dxa"/>
            <w:vAlign w:val="bottom"/>
          </w:tcPr>
          <w:p w14:paraId="43878989">
            <w:pPr>
              <w:rPr>
                <w:rFonts w:ascii="黑体" w:hAnsi="黑体" w:eastAsia="黑体" w:cs="Times New Roman"/>
                <w:b/>
                <w:color w:val="000000"/>
                <w:sz w:val="30"/>
                <w:szCs w:val="30"/>
              </w:rPr>
            </w:pPr>
            <w:r>
              <w:rPr>
                <w:rFonts w:hint="eastAsia" w:ascii="黑体" w:hAnsi="黑体" w:eastAsia="黑体" w:cs="Times New Roman"/>
                <w:b/>
                <w:color w:val="000000"/>
                <w:sz w:val="30"/>
                <w:szCs w:val="30"/>
                <w:lang w:eastAsia="zh-CN"/>
              </w:rPr>
              <w:t>合同</w:t>
            </w:r>
            <w:r>
              <w:rPr>
                <w:rFonts w:hint="eastAsia" w:ascii="黑体" w:hAnsi="黑体" w:eastAsia="黑体" w:cs="Times New Roman"/>
                <w:b/>
                <w:color w:val="000000"/>
                <w:sz w:val="30"/>
                <w:szCs w:val="30"/>
              </w:rPr>
              <w:t>编号 ：</w:t>
            </w:r>
          </w:p>
        </w:tc>
        <w:tc>
          <w:tcPr>
            <w:tcW w:w="6431" w:type="dxa"/>
            <w:tcBorders>
              <w:top w:val="single" w:color="auto" w:sz="4" w:space="0"/>
              <w:bottom w:val="single" w:color="auto" w:sz="4" w:space="0"/>
            </w:tcBorders>
            <w:vAlign w:val="bottom"/>
          </w:tcPr>
          <w:p w14:paraId="4F9AB9E3">
            <w:pPr>
              <w:rPr>
                <w:rFonts w:ascii="黑体" w:hAnsi="黑体" w:eastAsia="黑体" w:cs="Times New Roman"/>
                <w:color w:val="000000"/>
                <w:sz w:val="30"/>
                <w:szCs w:val="30"/>
              </w:rPr>
            </w:pPr>
          </w:p>
        </w:tc>
      </w:tr>
      <w:tr w14:paraId="25E5B4DD">
        <w:tblPrEx>
          <w:tblCellMar>
            <w:top w:w="0" w:type="dxa"/>
            <w:left w:w="108" w:type="dxa"/>
            <w:bottom w:w="0" w:type="dxa"/>
            <w:right w:w="108" w:type="dxa"/>
          </w:tblCellMar>
        </w:tblPrEx>
        <w:trPr>
          <w:trHeight w:val="807" w:hRule="exact"/>
          <w:jc w:val="center"/>
        </w:trPr>
        <w:tc>
          <w:tcPr>
            <w:tcW w:w="1988" w:type="dxa"/>
            <w:vAlign w:val="bottom"/>
          </w:tcPr>
          <w:p w14:paraId="2B3C6A4D">
            <w:pPr>
              <w:rPr>
                <w:rFonts w:ascii="黑体" w:hAnsi="黑体" w:eastAsia="黑体" w:cs="Times New Roman"/>
                <w:b/>
                <w:color w:val="000000"/>
                <w:sz w:val="30"/>
                <w:szCs w:val="30"/>
              </w:rPr>
            </w:pPr>
            <w:r>
              <w:rPr>
                <w:rFonts w:hint="eastAsia" w:ascii="黑体" w:hAnsi="黑体" w:eastAsia="黑体" w:cs="Times New Roman"/>
                <w:b/>
                <w:color w:val="000000"/>
                <w:sz w:val="30"/>
                <w:szCs w:val="30"/>
              </w:rPr>
              <w:t>发 包 人：</w:t>
            </w:r>
          </w:p>
        </w:tc>
        <w:tc>
          <w:tcPr>
            <w:tcW w:w="6431" w:type="dxa"/>
            <w:tcBorders>
              <w:top w:val="single" w:color="auto" w:sz="4" w:space="0"/>
              <w:bottom w:val="single" w:color="auto" w:sz="4" w:space="0"/>
            </w:tcBorders>
            <w:vAlign w:val="bottom"/>
          </w:tcPr>
          <w:p w14:paraId="422EAC6A">
            <w:pPr>
              <w:rPr>
                <w:rFonts w:ascii="黑体" w:hAnsi="黑体" w:eastAsia="黑体" w:cs="Times New Roman"/>
                <w:color w:val="000000"/>
                <w:sz w:val="30"/>
                <w:szCs w:val="30"/>
              </w:rPr>
            </w:pPr>
            <w:r>
              <w:rPr>
                <w:rFonts w:hint="eastAsia" w:ascii="黑体" w:hAnsi="黑体" w:eastAsia="黑体" w:cs="Times New Roman"/>
                <w:color w:val="000000"/>
                <w:sz w:val="30"/>
                <w:szCs w:val="30"/>
              </w:rPr>
              <w:t>广东省消防救援总队</w:t>
            </w:r>
          </w:p>
        </w:tc>
      </w:tr>
      <w:tr w14:paraId="6078CF97">
        <w:tblPrEx>
          <w:tblCellMar>
            <w:top w:w="0" w:type="dxa"/>
            <w:left w:w="108" w:type="dxa"/>
            <w:bottom w:w="0" w:type="dxa"/>
            <w:right w:w="108" w:type="dxa"/>
          </w:tblCellMar>
        </w:tblPrEx>
        <w:trPr>
          <w:trHeight w:val="855" w:hRule="exact"/>
          <w:jc w:val="center"/>
        </w:trPr>
        <w:tc>
          <w:tcPr>
            <w:tcW w:w="1988" w:type="dxa"/>
            <w:vAlign w:val="bottom"/>
          </w:tcPr>
          <w:p w14:paraId="68FED10F">
            <w:pPr>
              <w:rPr>
                <w:rFonts w:ascii="黑体" w:hAnsi="黑体" w:eastAsia="黑体" w:cs="Times New Roman"/>
                <w:b/>
                <w:color w:val="000000"/>
                <w:sz w:val="30"/>
                <w:szCs w:val="30"/>
              </w:rPr>
            </w:pPr>
            <w:r>
              <w:rPr>
                <w:rFonts w:hint="eastAsia" w:ascii="黑体" w:hAnsi="黑体" w:eastAsia="黑体" w:cs="Times New Roman"/>
                <w:b/>
                <w:color w:val="000000"/>
                <w:sz w:val="30"/>
                <w:szCs w:val="30"/>
                <w:lang w:eastAsia="zh-CN"/>
              </w:rPr>
              <w:t>承</w:t>
            </w:r>
            <w:r>
              <w:rPr>
                <w:rFonts w:hint="eastAsia" w:ascii="黑体" w:hAnsi="黑体" w:eastAsia="黑体" w:cs="Times New Roman"/>
                <w:b/>
                <w:color w:val="000000"/>
                <w:sz w:val="30"/>
                <w:szCs w:val="30"/>
                <w:lang w:val="en-US" w:eastAsia="zh-CN"/>
              </w:rPr>
              <w:t xml:space="preserve"> </w:t>
            </w:r>
            <w:r>
              <w:rPr>
                <w:rFonts w:hint="eastAsia" w:ascii="黑体" w:hAnsi="黑体" w:eastAsia="黑体" w:cs="Times New Roman"/>
                <w:b/>
                <w:color w:val="000000"/>
                <w:sz w:val="30"/>
                <w:szCs w:val="30"/>
                <w:lang w:eastAsia="zh-CN"/>
              </w:rPr>
              <w:t>包</w:t>
            </w:r>
            <w:r>
              <w:rPr>
                <w:rFonts w:hint="eastAsia" w:ascii="黑体" w:hAnsi="黑体" w:eastAsia="黑体" w:cs="Times New Roman"/>
                <w:b/>
                <w:color w:val="000000"/>
                <w:sz w:val="30"/>
                <w:szCs w:val="30"/>
                <w:lang w:val="en-US" w:eastAsia="zh-CN"/>
              </w:rPr>
              <w:t xml:space="preserve"> </w:t>
            </w:r>
            <w:r>
              <w:rPr>
                <w:rFonts w:hint="eastAsia" w:ascii="黑体" w:hAnsi="黑体" w:eastAsia="黑体" w:cs="Times New Roman"/>
                <w:b/>
                <w:color w:val="000000"/>
                <w:sz w:val="30"/>
                <w:szCs w:val="30"/>
              </w:rPr>
              <w:t>人：</w:t>
            </w:r>
          </w:p>
        </w:tc>
        <w:tc>
          <w:tcPr>
            <w:tcW w:w="6431" w:type="dxa"/>
            <w:tcBorders>
              <w:top w:val="single" w:color="auto" w:sz="4" w:space="0"/>
              <w:bottom w:val="single" w:color="auto" w:sz="4" w:space="0"/>
            </w:tcBorders>
            <w:vAlign w:val="bottom"/>
          </w:tcPr>
          <w:p w14:paraId="491AE551">
            <w:pPr>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 </w:t>
            </w:r>
          </w:p>
        </w:tc>
      </w:tr>
      <w:tr w14:paraId="4BFA7272">
        <w:tblPrEx>
          <w:tblCellMar>
            <w:top w:w="0" w:type="dxa"/>
            <w:left w:w="108" w:type="dxa"/>
            <w:bottom w:w="0" w:type="dxa"/>
            <w:right w:w="108" w:type="dxa"/>
          </w:tblCellMar>
        </w:tblPrEx>
        <w:trPr>
          <w:trHeight w:val="816" w:hRule="exact"/>
          <w:jc w:val="center"/>
        </w:trPr>
        <w:tc>
          <w:tcPr>
            <w:tcW w:w="1988" w:type="dxa"/>
            <w:vAlign w:val="bottom"/>
          </w:tcPr>
          <w:p w14:paraId="34E099D7">
            <w:pPr>
              <w:rPr>
                <w:rFonts w:ascii="黑体" w:hAnsi="黑体" w:eastAsia="黑体" w:cs="Times New Roman"/>
                <w:b/>
                <w:color w:val="000000"/>
                <w:sz w:val="30"/>
                <w:szCs w:val="30"/>
              </w:rPr>
            </w:pPr>
            <w:r>
              <w:rPr>
                <w:rFonts w:hint="eastAsia" w:ascii="黑体" w:hAnsi="黑体" w:eastAsia="黑体" w:cs="Times New Roman"/>
                <w:b/>
                <w:color w:val="000000"/>
                <w:sz w:val="30"/>
                <w:szCs w:val="30"/>
              </w:rPr>
              <w:t>签订日期：</w:t>
            </w:r>
          </w:p>
        </w:tc>
        <w:tc>
          <w:tcPr>
            <w:tcW w:w="6431" w:type="dxa"/>
            <w:tcBorders>
              <w:top w:val="single" w:color="auto" w:sz="4" w:space="0"/>
              <w:bottom w:val="single" w:color="auto" w:sz="4" w:space="0"/>
            </w:tcBorders>
            <w:vAlign w:val="bottom"/>
          </w:tcPr>
          <w:p w14:paraId="3B97E8B8">
            <w:pPr>
              <w:rPr>
                <w:rFonts w:ascii="黑体" w:hAnsi="黑体" w:eastAsia="黑体" w:cs="Times New Roman"/>
                <w:color w:val="000000"/>
                <w:sz w:val="30"/>
                <w:szCs w:val="30"/>
              </w:rPr>
            </w:pPr>
          </w:p>
        </w:tc>
      </w:tr>
    </w:tbl>
    <w:p w14:paraId="53D97527">
      <w:pPr>
        <w:rPr>
          <w:rFonts w:ascii="黑体" w:hAnsi="黑体" w:eastAsia="黑体" w:cs="Times New Roman"/>
          <w:color w:val="000000"/>
          <w:szCs w:val="24"/>
        </w:rPr>
      </w:pPr>
    </w:p>
    <w:p w14:paraId="18B264DD">
      <w:pPr>
        <w:spacing w:line="720" w:lineRule="auto"/>
        <w:ind w:firstLine="900" w:firstLineChars="300"/>
        <w:rPr>
          <w:rFonts w:ascii="黑体" w:hAnsi="黑体" w:eastAsia="黑体" w:cs="Times New Roman"/>
          <w:color w:val="000000"/>
          <w:sz w:val="30"/>
          <w:szCs w:val="24"/>
        </w:rPr>
      </w:pPr>
      <w:r>
        <w:rPr>
          <w:rFonts w:hint="eastAsia" w:ascii="黑体" w:hAnsi="黑体" w:eastAsia="黑体" w:cs="Times New Roman"/>
          <w:color w:val="000000"/>
          <w:sz w:val="30"/>
          <w:szCs w:val="24"/>
        </w:rPr>
        <w:t xml:space="preserve">  </w:t>
      </w:r>
    </w:p>
    <w:p w14:paraId="523FD82B">
      <w:pPr>
        <w:spacing w:line="720" w:lineRule="auto"/>
        <w:ind w:firstLine="900" w:firstLineChars="300"/>
        <w:rPr>
          <w:rFonts w:ascii="黑体" w:hAnsi="黑体" w:eastAsia="黑体" w:cs="Times New Roman"/>
          <w:color w:val="000000"/>
          <w:sz w:val="30"/>
          <w:szCs w:val="24"/>
        </w:rPr>
      </w:pPr>
    </w:p>
    <w:p w14:paraId="25BD8A2C">
      <w:pPr>
        <w:spacing w:line="720" w:lineRule="auto"/>
        <w:ind w:firstLine="900" w:firstLineChars="300"/>
        <w:rPr>
          <w:rFonts w:ascii="黑体" w:hAnsi="黑体" w:eastAsia="黑体" w:cs="Times New Roman"/>
          <w:color w:val="000000"/>
          <w:sz w:val="30"/>
          <w:szCs w:val="24"/>
        </w:rPr>
      </w:pPr>
    </w:p>
    <w:p w14:paraId="6785AFE2">
      <w:pPr>
        <w:spacing w:line="360" w:lineRule="auto"/>
        <w:ind w:firstLine="472" w:firstLineChars="196"/>
        <w:jc w:val="left"/>
        <w:rPr>
          <w:rFonts w:hint="eastAsia" w:ascii="仿宋" w:hAnsi="仿宋" w:eastAsia="仿宋" w:cs="Times New Roman"/>
          <w:b/>
          <w:color w:val="000000"/>
          <w:sz w:val="24"/>
          <w:szCs w:val="24"/>
        </w:rPr>
      </w:pPr>
    </w:p>
    <w:p w14:paraId="4EC77292">
      <w:pPr>
        <w:spacing w:line="360" w:lineRule="auto"/>
        <w:ind w:firstLine="472" w:firstLineChars="196"/>
        <w:jc w:val="left"/>
        <w:rPr>
          <w:rFonts w:hint="eastAsia" w:ascii="仿宋" w:hAnsi="仿宋" w:eastAsia="仿宋" w:cs="Times New Roman"/>
          <w:b/>
          <w:color w:val="000000"/>
          <w:sz w:val="24"/>
          <w:szCs w:val="24"/>
        </w:rPr>
      </w:pPr>
    </w:p>
    <w:p w14:paraId="4ADFA901">
      <w:pPr>
        <w:spacing w:line="360" w:lineRule="auto"/>
        <w:ind w:firstLine="472" w:firstLineChars="196"/>
        <w:jc w:val="left"/>
        <w:rPr>
          <w:rFonts w:ascii="仿宋" w:hAnsi="仿宋" w:eastAsia="仿宋" w:cs="Times New Roman"/>
          <w:b/>
          <w:color w:val="000000"/>
          <w:sz w:val="24"/>
          <w:szCs w:val="24"/>
          <w:u w:val="single"/>
        </w:rPr>
      </w:pPr>
      <w:r>
        <w:rPr>
          <w:rFonts w:hint="eastAsia" w:ascii="仿宋" w:hAnsi="仿宋" w:eastAsia="仿宋" w:cs="Times New Roman"/>
          <w:b/>
          <w:color w:val="000000"/>
          <w:sz w:val="24"/>
          <w:szCs w:val="24"/>
        </w:rPr>
        <w:t>甲方（发包方）：</w:t>
      </w:r>
      <w:r>
        <w:rPr>
          <w:rFonts w:hint="eastAsia" w:ascii="仿宋" w:hAnsi="仿宋" w:eastAsia="仿宋" w:cs="Times New Roman"/>
          <w:color w:val="000000"/>
          <w:sz w:val="24"/>
          <w:szCs w:val="24"/>
          <w:u w:val="single"/>
        </w:rPr>
        <w:t xml:space="preserve">广东省消防救援总队 </w:t>
      </w:r>
    </w:p>
    <w:p w14:paraId="0F0DE3A0">
      <w:pPr>
        <w:spacing w:line="360" w:lineRule="auto"/>
        <w:ind w:firstLine="472" w:firstLineChars="196"/>
        <w:jc w:val="left"/>
        <w:rPr>
          <w:rFonts w:hint="eastAsia" w:ascii="仿宋" w:hAnsi="仿宋" w:eastAsia="仿宋" w:cs="Times New Roman"/>
          <w:bCs/>
          <w:color w:val="000000"/>
          <w:sz w:val="24"/>
          <w:szCs w:val="24"/>
          <w:u w:val="single"/>
        </w:rPr>
      </w:pPr>
      <w:r>
        <w:rPr>
          <w:rFonts w:hint="eastAsia" w:ascii="仿宋" w:hAnsi="仿宋" w:eastAsia="仿宋" w:cs="Times New Roman"/>
          <w:b/>
          <w:color w:val="000000"/>
          <w:sz w:val="24"/>
          <w:szCs w:val="24"/>
        </w:rPr>
        <w:t>乙方（</w:t>
      </w:r>
      <w:r>
        <w:rPr>
          <w:rFonts w:hint="eastAsia" w:ascii="仿宋" w:hAnsi="仿宋" w:eastAsia="仿宋" w:cs="Times New Roman"/>
          <w:b/>
          <w:color w:val="000000"/>
          <w:sz w:val="24"/>
          <w:szCs w:val="24"/>
          <w:lang w:eastAsia="zh-CN"/>
        </w:rPr>
        <w:t>承包</w:t>
      </w:r>
      <w:r>
        <w:rPr>
          <w:rFonts w:hint="eastAsia" w:ascii="仿宋" w:hAnsi="仿宋" w:eastAsia="仿宋" w:cs="Times New Roman"/>
          <w:b/>
          <w:color w:val="000000"/>
          <w:sz w:val="24"/>
          <w:szCs w:val="24"/>
        </w:rPr>
        <w:t>人）：</w:t>
      </w:r>
      <w:r>
        <w:rPr>
          <w:rFonts w:hint="eastAsia" w:ascii="仿宋" w:hAnsi="仿宋" w:eastAsia="仿宋" w:cs="Times New Roman"/>
          <w:bCs/>
          <w:color w:val="000000"/>
          <w:sz w:val="24"/>
          <w:szCs w:val="24"/>
          <w:u w:val="single"/>
        </w:rPr>
        <w:t xml:space="preserve">                   </w:t>
      </w:r>
    </w:p>
    <w:p w14:paraId="3D69D2C4">
      <w:pPr>
        <w:adjustRightInd w:val="0"/>
        <w:snapToGrid w:val="0"/>
        <w:spacing w:line="360" w:lineRule="auto"/>
        <w:ind w:right="360" w:firstLine="435"/>
        <w:rPr>
          <w:rFonts w:hint="eastAsia" w:ascii="Times New Roman" w:hAnsi="Times New Roman" w:eastAsia="宋体"/>
          <w:szCs w:val="21"/>
        </w:rPr>
      </w:pPr>
    </w:p>
    <w:p w14:paraId="24AD6E91">
      <w:pPr>
        <w:adjustRightInd w:val="0"/>
        <w:snapToGrid w:val="0"/>
        <w:spacing w:line="360" w:lineRule="auto"/>
        <w:ind w:right="360" w:firstLine="435"/>
        <w:rPr>
          <w:rFonts w:hint="eastAsia" w:ascii="Times New Roman" w:hAnsi="Times New Roman" w:eastAsia="宋体"/>
          <w:szCs w:val="21"/>
        </w:rPr>
      </w:pPr>
      <w:r>
        <w:rPr>
          <w:rFonts w:hint="eastAsia" w:ascii="Times New Roman" w:hAnsi="Times New Roman" w:eastAsia="宋体"/>
          <w:szCs w:val="21"/>
        </w:rPr>
        <w:t>根据相关法律法规的规定，甲乙双方经友好协商，就乙方向甲方提供</w:t>
      </w:r>
      <w:r>
        <w:rPr>
          <w:rFonts w:hint="eastAsia" w:ascii="Times New Roman" w:hAnsi="Times New Roman" w:eastAsia="宋体"/>
          <w:szCs w:val="21"/>
          <w:lang w:val="en-US" w:eastAsia="zh-CN"/>
        </w:rPr>
        <w:t xml:space="preserve"> 广东省消防救援总队附属综合楼</w:t>
      </w:r>
      <w:r>
        <w:rPr>
          <w:rFonts w:hint="eastAsia" w:ascii="Times New Roman" w:hAnsi="Times New Roman" w:eastAsia="宋体"/>
          <w:szCs w:val="21"/>
        </w:rPr>
        <w:t>中央空调系统维护保养 服务的相关事宜达成如下条款。</w:t>
      </w:r>
    </w:p>
    <w:p w14:paraId="5DF5DEA9">
      <w:pPr>
        <w:adjustRightInd w:val="0"/>
        <w:snapToGrid w:val="0"/>
        <w:spacing w:line="360" w:lineRule="auto"/>
        <w:ind w:right="360" w:firstLine="435"/>
        <w:rPr>
          <w:rFonts w:hint="eastAsia" w:ascii="Times New Roman" w:hAnsi="Times New Roman" w:eastAsia="宋体"/>
          <w:b/>
          <w:bCs/>
          <w:sz w:val="24"/>
          <w:szCs w:val="21"/>
        </w:rPr>
      </w:pPr>
    </w:p>
    <w:p w14:paraId="1D7A09A2">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服务内容</w:t>
      </w:r>
    </w:p>
    <w:p w14:paraId="65E4C63F">
      <w:pPr>
        <w:adjustRightInd w:val="0"/>
        <w:snapToGrid w:val="0"/>
        <w:spacing w:line="360" w:lineRule="auto"/>
        <w:ind w:left="420" w:right="360"/>
        <w:rPr>
          <w:rFonts w:hint="eastAsia" w:ascii="Times New Roman" w:hAnsi="Times New Roman" w:eastAsia="宋体"/>
          <w:b/>
          <w:bCs/>
          <w:szCs w:val="21"/>
        </w:rPr>
      </w:pPr>
      <w:r>
        <w:rPr>
          <w:rFonts w:hint="eastAsia" w:ascii="Times New Roman" w:hAnsi="Times New Roman" w:eastAsia="宋体"/>
          <w:b/>
          <w:szCs w:val="21"/>
        </w:rPr>
        <w:t>1.1</w:t>
      </w:r>
      <w:r>
        <w:rPr>
          <w:rFonts w:hint="eastAsia" w:ascii="Times New Roman" w:hAnsi="Times New Roman" w:eastAsia="宋体"/>
          <w:szCs w:val="21"/>
        </w:rPr>
        <w:t>服务项目</w:t>
      </w:r>
      <w:r>
        <w:rPr>
          <w:rFonts w:hint="eastAsia" w:ascii="Times New Roman" w:hAnsi="Times New Roman" w:eastAsia="宋体"/>
          <w:sz w:val="21"/>
          <w:szCs w:val="21"/>
        </w:rPr>
        <w:t>：</w:t>
      </w:r>
      <w:r>
        <w:rPr>
          <w:rFonts w:hint="eastAsia" w:ascii="Times New Roman" w:hAnsi="Times New Roman" w:eastAsia="宋体"/>
          <w:b/>
          <w:bCs/>
          <w:sz w:val="21"/>
          <w:szCs w:val="21"/>
          <w:u w:val="single"/>
          <w:lang w:val="en-US" w:eastAsia="zh-CN"/>
        </w:rPr>
        <w:t>广东省消防救援总队附属综合楼</w:t>
      </w:r>
      <w:r>
        <w:rPr>
          <w:rFonts w:hint="eastAsia" w:ascii="Times New Roman" w:hAnsi="Times New Roman" w:eastAsia="宋体"/>
          <w:b/>
          <w:bCs/>
          <w:sz w:val="21"/>
          <w:szCs w:val="21"/>
          <w:u w:val="single"/>
        </w:rPr>
        <w:t>中央空调系统维护保养</w:t>
      </w:r>
      <w:r>
        <w:rPr>
          <w:rFonts w:hint="eastAsia" w:ascii="Times New Roman" w:hAnsi="Times New Roman" w:eastAsia="宋体"/>
          <w:sz w:val="21"/>
          <w:szCs w:val="21"/>
        </w:rPr>
        <w:t>服务。</w:t>
      </w:r>
    </w:p>
    <w:p w14:paraId="3B9B6FAD">
      <w:pPr>
        <w:adjustRightInd w:val="0"/>
        <w:snapToGrid w:val="0"/>
        <w:spacing w:line="360" w:lineRule="auto"/>
        <w:ind w:left="420" w:right="360"/>
        <w:rPr>
          <w:rFonts w:hint="eastAsia" w:ascii="Times New Roman" w:hAnsi="Times New Roman" w:eastAsia="宋体"/>
          <w:szCs w:val="21"/>
          <w:lang w:eastAsia="zh-CN"/>
        </w:rPr>
      </w:pPr>
      <w:r>
        <w:rPr>
          <w:rFonts w:hint="eastAsia" w:ascii="Times New Roman" w:hAnsi="Times New Roman" w:eastAsia="宋体"/>
          <w:b/>
          <w:szCs w:val="21"/>
        </w:rPr>
        <w:t xml:space="preserve">1.2 </w:t>
      </w:r>
      <w:r>
        <w:rPr>
          <w:rFonts w:hint="eastAsia" w:ascii="Times New Roman" w:hAnsi="Times New Roman" w:eastAsia="宋体"/>
          <w:szCs w:val="21"/>
        </w:rPr>
        <w:t>服务内容：具体见附件服务报价方案</w:t>
      </w:r>
      <w:r>
        <w:rPr>
          <w:rFonts w:hint="eastAsia" w:ascii="Times New Roman" w:hAnsi="Times New Roman" w:eastAsia="宋体"/>
          <w:szCs w:val="21"/>
          <w:lang w:eastAsia="zh-CN"/>
        </w:rPr>
        <w:t>。</w:t>
      </w:r>
    </w:p>
    <w:p w14:paraId="29B5B95E">
      <w:pPr>
        <w:adjustRightInd w:val="0"/>
        <w:snapToGrid w:val="0"/>
        <w:spacing w:line="360" w:lineRule="auto"/>
        <w:ind w:left="400" w:right="360"/>
        <w:rPr>
          <w:rFonts w:hint="eastAsia" w:ascii="Times New Roman" w:hAnsi="Times New Roman" w:eastAsia="宋体"/>
          <w:b/>
          <w:bCs/>
          <w:szCs w:val="21"/>
        </w:rPr>
      </w:pPr>
    </w:p>
    <w:p w14:paraId="13B4E6F6">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服务期限</w:t>
      </w:r>
    </w:p>
    <w:p w14:paraId="645B5421">
      <w:pPr>
        <w:adjustRightInd w:val="0"/>
        <w:snapToGrid w:val="0"/>
        <w:spacing w:line="360" w:lineRule="auto"/>
        <w:ind w:right="360" w:firstLine="435"/>
        <w:rPr>
          <w:rFonts w:hint="default" w:ascii="Times New Roman" w:hAnsi="Times New Roman" w:eastAsia="宋体"/>
          <w:szCs w:val="21"/>
          <w:lang w:val="en-US"/>
        </w:rPr>
      </w:pPr>
      <w:r>
        <w:rPr>
          <w:rFonts w:hint="eastAsia" w:ascii="Times New Roman" w:hAnsi="Times New Roman" w:eastAsia="宋体"/>
          <w:szCs w:val="21"/>
        </w:rPr>
        <w:t>甲乙双方确定</w:t>
      </w:r>
      <w:r>
        <w:rPr>
          <w:rFonts w:hint="eastAsia" w:ascii="Times New Roman" w:hAnsi="Times New Roman" w:eastAsia="宋体"/>
          <w:szCs w:val="21"/>
          <w:lang w:val="en-US" w:eastAsia="zh-CN"/>
        </w:rPr>
        <w:t>为单次中央空调系统维修。维修服务质量保证期为一个制冷周期。</w:t>
      </w:r>
    </w:p>
    <w:p w14:paraId="6C1D089E">
      <w:pPr>
        <w:adjustRightInd w:val="0"/>
        <w:snapToGrid w:val="0"/>
        <w:spacing w:line="360" w:lineRule="auto"/>
        <w:ind w:right="360" w:firstLine="420" w:firstLineChars="200"/>
        <w:rPr>
          <w:rFonts w:hint="eastAsia" w:ascii="Times New Roman" w:hAnsi="Times New Roman" w:eastAsia="宋体"/>
          <w:szCs w:val="21"/>
        </w:rPr>
      </w:pPr>
    </w:p>
    <w:p w14:paraId="5878D7CC">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服务的完成</w:t>
      </w:r>
    </w:p>
    <w:p w14:paraId="6229CB58">
      <w:pPr>
        <w:adjustRightInd w:val="0"/>
        <w:snapToGrid w:val="0"/>
        <w:spacing w:line="360" w:lineRule="auto"/>
        <w:ind w:right="360" w:firstLine="435"/>
        <w:rPr>
          <w:rFonts w:ascii="Times New Roman" w:hAnsi="Times New Roman" w:eastAsia="宋体"/>
          <w:szCs w:val="21"/>
        </w:rPr>
      </w:pPr>
      <w:r>
        <w:rPr>
          <w:rFonts w:hint="eastAsia" w:ascii="Times New Roman" w:hAnsi="Times New Roman" w:eastAsia="宋体"/>
          <w:b/>
          <w:bCs/>
          <w:szCs w:val="21"/>
        </w:rPr>
        <w:t>3.1</w:t>
      </w:r>
      <w:r>
        <w:rPr>
          <w:rFonts w:hint="eastAsia" w:ascii="Times New Roman" w:hAnsi="Times New Roman" w:eastAsia="宋体"/>
          <w:szCs w:val="21"/>
        </w:rPr>
        <w:t xml:space="preserve"> 甲方应在服务期限内就乙方完成服务的质量及时进行意见反馈，乙方应根据甲方的合理要求进行调整以确保服务质量符合要求。乙方提供的服务符合第</w:t>
      </w:r>
      <w:r>
        <w:rPr>
          <w:rFonts w:ascii="Times New Roman" w:hAnsi="Times New Roman" w:eastAsia="宋体"/>
          <w:szCs w:val="21"/>
        </w:rPr>
        <w:t>1.2条的约定，且最终用户针对该项目最终验收合格后，才视为乙方的服务完成。</w:t>
      </w:r>
    </w:p>
    <w:p w14:paraId="6A1CEC0B">
      <w:pPr>
        <w:adjustRightInd w:val="0"/>
        <w:snapToGrid w:val="0"/>
        <w:spacing w:line="360" w:lineRule="auto"/>
        <w:ind w:right="360" w:firstLine="435"/>
        <w:rPr>
          <w:rFonts w:hint="eastAsia" w:ascii="Times New Roman" w:hAnsi="Times New Roman" w:eastAsia="宋体"/>
          <w:szCs w:val="21"/>
        </w:rPr>
      </w:pPr>
    </w:p>
    <w:p w14:paraId="3354AFB2">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服务费用和付款方式</w:t>
      </w:r>
    </w:p>
    <w:p w14:paraId="140CFB01">
      <w:pPr>
        <w:adjustRightInd w:val="0"/>
        <w:snapToGrid w:val="0"/>
        <w:spacing w:line="360" w:lineRule="auto"/>
        <w:ind w:right="360" w:firstLine="435"/>
        <w:rPr>
          <w:rFonts w:hint="eastAsia" w:ascii="Times New Roman" w:hAnsi="Times New Roman" w:eastAsia="宋体"/>
          <w:szCs w:val="21"/>
        </w:rPr>
      </w:pPr>
      <w:r>
        <w:rPr>
          <w:rFonts w:hint="eastAsia" w:ascii="Times New Roman" w:hAnsi="Times New Roman" w:eastAsia="宋体"/>
          <w:b/>
          <w:bCs/>
          <w:szCs w:val="21"/>
        </w:rPr>
        <w:t xml:space="preserve">4.1 </w:t>
      </w:r>
      <w:r>
        <w:rPr>
          <w:rFonts w:hint="eastAsia" w:ascii="Times New Roman" w:hAnsi="Times New Roman" w:eastAsia="宋体"/>
          <w:szCs w:val="21"/>
        </w:rPr>
        <w:t>本合同服务费用共计</w:t>
      </w:r>
      <w:r>
        <w:rPr>
          <w:rFonts w:hint="eastAsia" w:ascii="Times New Roman" w:hAnsi="Times New Roman" w:eastAsia="宋体"/>
          <w:szCs w:val="21"/>
          <w:lang w:val="en-US" w:eastAsia="zh-CN"/>
        </w:rPr>
        <w:t>：本合同总价包干，</w:t>
      </w:r>
      <w:r>
        <w:rPr>
          <w:rFonts w:hint="eastAsia" w:ascii="Times New Roman" w:hAnsi="Times New Roman" w:eastAsia="宋体"/>
          <w:szCs w:val="21"/>
        </w:rPr>
        <w:t>人民币大写</w:t>
      </w:r>
      <w:r>
        <w:rPr>
          <w:rFonts w:hint="eastAsia" w:ascii="Times New Roman" w:hAnsi="Times New Roman" w:eastAsia="宋体"/>
          <w:szCs w:val="21"/>
          <w:u w:val="single"/>
        </w:rPr>
        <w:t xml:space="preserve"> </w:t>
      </w:r>
      <w:r>
        <w:rPr>
          <w:rFonts w:hint="eastAsia" w:ascii="Times New Roman" w:hAnsi="Times New Roman" w:eastAsia="宋体"/>
          <w:szCs w:val="21"/>
          <w:u w:val="single"/>
          <w:lang w:val="en-US" w:eastAsia="zh-CN"/>
        </w:rPr>
        <w:t xml:space="preserve">       </w:t>
      </w:r>
      <w:r>
        <w:rPr>
          <w:rFonts w:hint="eastAsia" w:ascii="Times New Roman" w:hAnsi="Times New Roman" w:eastAsia="宋体"/>
          <w:szCs w:val="21"/>
        </w:rPr>
        <w:t>元整（小写：￥</w:t>
      </w:r>
      <w:r>
        <w:rPr>
          <w:rFonts w:hint="eastAsia" w:ascii="Times New Roman" w:hAnsi="Times New Roman" w:eastAsia="宋体"/>
          <w:szCs w:val="21"/>
          <w:u w:val="single"/>
          <w:lang w:val="en-US" w:eastAsia="zh-CN"/>
        </w:rPr>
        <w:t xml:space="preserve">        </w:t>
      </w:r>
      <w:r>
        <w:rPr>
          <w:rFonts w:hint="eastAsia" w:ascii="Times New Roman" w:hAnsi="Times New Roman" w:eastAsia="宋体"/>
          <w:szCs w:val="21"/>
        </w:rPr>
        <w:t>元），</w:t>
      </w:r>
      <w:r>
        <w:rPr>
          <w:rFonts w:hint="eastAsia" w:ascii="Times New Roman" w:hAnsi="Times New Roman" w:eastAsia="宋体"/>
          <w:szCs w:val="21"/>
          <w:lang w:eastAsia="zh-CN"/>
        </w:rPr>
        <w:t>包含</w:t>
      </w:r>
      <w:r>
        <w:rPr>
          <w:rFonts w:hint="eastAsia" w:ascii="Times New Roman" w:hAnsi="Times New Roman" w:eastAsia="宋体"/>
          <w:szCs w:val="21"/>
          <w:lang w:val="en-US" w:eastAsia="zh-CN"/>
        </w:rPr>
        <w:t>1000元以内的零配件损坏更换及</w:t>
      </w:r>
      <w:r>
        <w:rPr>
          <w:rFonts w:hint="eastAsia" w:ascii="Times New Roman" w:hAnsi="Times New Roman" w:eastAsia="宋体"/>
          <w:szCs w:val="21"/>
          <w:lang w:eastAsia="zh-CN"/>
        </w:rPr>
        <w:t>税费等一切费用（</w:t>
      </w:r>
      <w:r>
        <w:rPr>
          <w:rFonts w:hint="eastAsia" w:ascii="Times New Roman" w:hAnsi="Times New Roman" w:eastAsia="宋体"/>
          <w:szCs w:val="21"/>
          <w:lang w:val="en-US" w:eastAsia="zh-CN"/>
        </w:rPr>
        <w:t>不含原有设备更换</w:t>
      </w:r>
      <w:r>
        <w:rPr>
          <w:rFonts w:hint="eastAsia" w:ascii="Times New Roman" w:hAnsi="Times New Roman" w:eastAsia="宋体"/>
          <w:szCs w:val="21"/>
          <w:lang w:eastAsia="zh-CN"/>
        </w:rPr>
        <w:t>）</w:t>
      </w:r>
      <w:r>
        <w:rPr>
          <w:rFonts w:hint="eastAsia" w:ascii="Times New Roman" w:hAnsi="Times New Roman" w:eastAsia="宋体"/>
          <w:szCs w:val="21"/>
        </w:rPr>
        <w:t>。</w:t>
      </w:r>
    </w:p>
    <w:p w14:paraId="589AFA4D">
      <w:pPr>
        <w:adjustRightInd w:val="0"/>
        <w:snapToGrid w:val="0"/>
        <w:spacing w:line="360" w:lineRule="auto"/>
        <w:ind w:right="360" w:firstLine="435"/>
        <w:rPr>
          <w:rFonts w:hint="default" w:ascii="Times New Roman" w:hAnsi="Times New Roman" w:eastAsia="宋体"/>
          <w:szCs w:val="21"/>
          <w:lang w:val="en-US"/>
        </w:rPr>
      </w:pPr>
      <w:r>
        <w:rPr>
          <w:rFonts w:hint="eastAsia" w:ascii="Times New Roman" w:hAnsi="Times New Roman" w:eastAsia="宋体"/>
          <w:szCs w:val="21"/>
          <w:lang w:val="en-US" w:eastAsia="zh-CN"/>
        </w:rPr>
        <w:t>超出1000元的零部件更换，由甲方另行支付相关费用。</w:t>
      </w:r>
    </w:p>
    <w:p w14:paraId="50C06C81">
      <w:pPr>
        <w:ind w:firstLine="422" w:firstLineChars="200"/>
        <w:rPr>
          <w:rFonts w:ascii="Times New Roman" w:hAnsi="Times New Roman" w:eastAsia="宋体"/>
          <w:szCs w:val="21"/>
        </w:rPr>
      </w:pPr>
      <w:r>
        <w:rPr>
          <w:rFonts w:hint="eastAsia" w:ascii="Times New Roman" w:hAnsi="Times New Roman" w:eastAsia="宋体"/>
          <w:b/>
          <w:bCs/>
          <w:szCs w:val="21"/>
        </w:rPr>
        <w:t>4.2</w:t>
      </w:r>
      <w:r>
        <w:rPr>
          <w:rFonts w:hint="eastAsia" w:ascii="Times New Roman" w:hAnsi="Times New Roman" w:eastAsia="宋体"/>
          <w:szCs w:val="21"/>
        </w:rPr>
        <w:t xml:space="preserve"> 本合同付款方式为：</w:t>
      </w:r>
    </w:p>
    <w:p w14:paraId="0F108EFE">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ascii="Times New Roman" w:hAnsi="Times New Roman" w:eastAsia="宋体"/>
          <w:szCs w:val="21"/>
        </w:rPr>
        <w:t>1</w:t>
      </w:r>
      <w:r>
        <w:rPr>
          <w:rFonts w:hint="eastAsia" w:ascii="Times New Roman" w:hAnsi="Times New Roman" w:eastAsia="宋体"/>
          <w:szCs w:val="21"/>
          <w:lang w:eastAsia="zh-CN"/>
        </w:rPr>
        <w:t>）</w:t>
      </w:r>
      <w:r>
        <w:rPr>
          <w:rFonts w:hint="eastAsia" w:ascii="Times New Roman" w:hAnsi="Times New Roman" w:eastAsia="宋体"/>
          <w:szCs w:val="21"/>
        </w:rPr>
        <w:t>合同签订生效后，甲方在</w:t>
      </w:r>
      <w:r>
        <w:rPr>
          <w:rFonts w:hint="eastAsia" w:ascii="Times New Roman" w:hAnsi="Times New Roman" w:eastAsia="宋体"/>
          <w:szCs w:val="21"/>
          <w:lang w:val="en-US" w:eastAsia="zh-CN"/>
        </w:rPr>
        <w:t>15</w:t>
      </w:r>
      <w:r>
        <w:rPr>
          <w:rFonts w:hint="eastAsia" w:ascii="Times New Roman" w:hAnsi="Times New Roman" w:eastAsia="宋体"/>
          <w:szCs w:val="21"/>
        </w:rPr>
        <w:t>个工作日内支付乙方总合同额的</w:t>
      </w:r>
      <w:r>
        <w:rPr>
          <w:rFonts w:ascii="Times New Roman" w:hAnsi="Times New Roman" w:eastAsia="宋体"/>
          <w:szCs w:val="21"/>
        </w:rPr>
        <w:t xml:space="preserve"> </w:t>
      </w:r>
      <w:r>
        <w:rPr>
          <w:rFonts w:hint="eastAsia" w:ascii="Times New Roman" w:hAnsi="Times New Roman" w:eastAsia="宋体"/>
          <w:szCs w:val="21"/>
          <w:lang w:val="en-US" w:eastAsia="zh-CN"/>
        </w:rPr>
        <w:t>30</w:t>
      </w:r>
      <w:r>
        <w:rPr>
          <w:rFonts w:hint="eastAsia" w:ascii="Times New Roman" w:hAnsi="Times New Roman" w:eastAsia="宋体"/>
          <w:szCs w:val="21"/>
        </w:rPr>
        <w:t>%</w:t>
      </w:r>
      <w:r>
        <w:rPr>
          <w:rFonts w:hint="eastAsia" w:ascii="Times New Roman" w:hAnsi="Times New Roman" w:eastAsia="宋体"/>
          <w:szCs w:val="21"/>
          <w:lang w:val="en-US" w:eastAsia="zh-CN"/>
        </w:rPr>
        <w:t>预付款</w:t>
      </w:r>
      <w:r>
        <w:rPr>
          <w:rFonts w:hint="eastAsia" w:ascii="Times New Roman" w:hAnsi="Times New Roman" w:eastAsia="宋体"/>
          <w:szCs w:val="21"/>
        </w:rPr>
        <w:t>。</w:t>
      </w:r>
    </w:p>
    <w:p w14:paraId="7F59662E">
      <w:pPr>
        <w:adjustRightInd w:val="0"/>
        <w:snapToGrid w:val="0"/>
        <w:spacing w:line="360" w:lineRule="auto"/>
        <w:ind w:right="360" w:firstLine="420" w:firstLineChars="200"/>
        <w:rPr>
          <w:rFonts w:hint="eastAsia" w:ascii="Times New Roman" w:hAnsi="Times New Roman" w:eastAsia="宋体"/>
          <w:szCs w:val="21"/>
          <w:lang w:eastAsia="zh-CN"/>
        </w:rPr>
      </w:pPr>
      <w:r>
        <w:rPr>
          <w:rFonts w:hint="eastAsia" w:ascii="Times New Roman" w:hAnsi="Times New Roman" w:eastAsia="宋体"/>
          <w:szCs w:val="21"/>
          <w:lang w:eastAsia="zh-CN"/>
        </w:rPr>
        <w:t>（</w:t>
      </w:r>
      <w:r>
        <w:rPr>
          <w:rFonts w:ascii="Times New Roman" w:hAnsi="Times New Roman" w:eastAsia="宋体"/>
          <w:szCs w:val="21"/>
        </w:rPr>
        <w:t>2</w:t>
      </w:r>
      <w:r>
        <w:rPr>
          <w:rFonts w:hint="eastAsia" w:ascii="Times New Roman" w:hAnsi="Times New Roman" w:eastAsia="宋体"/>
          <w:szCs w:val="21"/>
          <w:lang w:eastAsia="zh-CN"/>
        </w:rPr>
        <w:t>）</w:t>
      </w:r>
      <w:r>
        <w:rPr>
          <w:rFonts w:hint="eastAsia" w:ascii="Times New Roman" w:hAnsi="Times New Roman" w:eastAsia="宋体"/>
          <w:szCs w:val="21"/>
        </w:rPr>
        <w:t>乙方完成</w:t>
      </w:r>
      <w:r>
        <w:rPr>
          <w:rFonts w:hint="eastAsia" w:ascii="Times New Roman" w:hAnsi="Times New Roman" w:eastAsia="宋体"/>
          <w:szCs w:val="21"/>
          <w:lang w:val="en-US" w:eastAsia="zh-CN"/>
        </w:rPr>
        <w:t>系统维护保养</w:t>
      </w:r>
      <w:r>
        <w:rPr>
          <w:rFonts w:hint="eastAsia" w:ascii="Times New Roman" w:hAnsi="Times New Roman" w:eastAsia="宋体"/>
          <w:szCs w:val="21"/>
          <w:lang w:eastAsia="zh-CN"/>
        </w:rPr>
        <w:t>，可正常启动运行后</w:t>
      </w:r>
      <w:r>
        <w:rPr>
          <w:rFonts w:hint="eastAsia" w:ascii="Times New Roman" w:hAnsi="Times New Roman" w:eastAsia="宋体"/>
          <w:szCs w:val="21"/>
        </w:rPr>
        <w:t>，甲方在</w:t>
      </w:r>
      <w:r>
        <w:rPr>
          <w:rFonts w:hint="eastAsia" w:ascii="Times New Roman" w:hAnsi="Times New Roman" w:eastAsia="宋体"/>
          <w:szCs w:val="21"/>
          <w:lang w:val="en-US" w:eastAsia="zh-CN"/>
        </w:rPr>
        <w:t>15</w:t>
      </w:r>
      <w:r>
        <w:rPr>
          <w:rFonts w:hint="eastAsia" w:ascii="Times New Roman" w:hAnsi="Times New Roman" w:eastAsia="宋体"/>
          <w:szCs w:val="21"/>
        </w:rPr>
        <w:t>个工作日内支付乙方总合同额的</w:t>
      </w:r>
      <w:r>
        <w:rPr>
          <w:rFonts w:ascii="Times New Roman" w:hAnsi="Times New Roman" w:eastAsia="宋体"/>
          <w:szCs w:val="21"/>
        </w:rPr>
        <w:t xml:space="preserve"> </w:t>
      </w:r>
      <w:r>
        <w:rPr>
          <w:rFonts w:hint="eastAsia" w:ascii="Times New Roman" w:hAnsi="Times New Roman" w:eastAsia="宋体"/>
          <w:szCs w:val="21"/>
          <w:lang w:val="en-US" w:eastAsia="zh-CN"/>
        </w:rPr>
        <w:t>50</w:t>
      </w:r>
      <w:r>
        <w:rPr>
          <w:rFonts w:hint="eastAsia" w:ascii="Times New Roman" w:hAnsi="Times New Roman" w:eastAsia="宋体"/>
          <w:szCs w:val="21"/>
        </w:rPr>
        <w:t>%</w:t>
      </w:r>
      <w:r>
        <w:rPr>
          <w:rFonts w:hint="eastAsia" w:ascii="Times New Roman" w:hAnsi="Times New Roman" w:eastAsia="宋体"/>
          <w:szCs w:val="21"/>
          <w:lang w:eastAsia="zh-CN"/>
        </w:rPr>
        <w:t>的费用。</w:t>
      </w:r>
    </w:p>
    <w:p w14:paraId="63643824">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ascii="Times New Roman" w:hAnsi="Times New Roman" w:eastAsia="宋体"/>
          <w:szCs w:val="21"/>
        </w:rPr>
        <w:t>3</w:t>
      </w:r>
      <w:r>
        <w:rPr>
          <w:rFonts w:hint="eastAsia" w:ascii="Times New Roman" w:hAnsi="Times New Roman" w:eastAsia="宋体"/>
          <w:szCs w:val="21"/>
          <w:lang w:eastAsia="zh-CN"/>
        </w:rPr>
        <w:t>）</w:t>
      </w:r>
      <w:r>
        <w:rPr>
          <w:rFonts w:hint="eastAsia" w:ascii="Times New Roman" w:hAnsi="Times New Roman" w:eastAsia="宋体"/>
          <w:szCs w:val="21"/>
        </w:rPr>
        <w:t>乙方完成</w:t>
      </w:r>
      <w:r>
        <w:rPr>
          <w:rFonts w:hint="eastAsia" w:ascii="Times New Roman" w:hAnsi="Times New Roman" w:eastAsia="宋体"/>
          <w:szCs w:val="21"/>
          <w:lang w:val="en-US" w:eastAsia="zh-CN"/>
        </w:rPr>
        <w:t>所有维修</w:t>
      </w:r>
      <w:r>
        <w:rPr>
          <w:rFonts w:hint="eastAsia" w:ascii="Times New Roman" w:hAnsi="Times New Roman" w:eastAsia="宋体"/>
          <w:szCs w:val="21"/>
        </w:rPr>
        <w:t>工作</w:t>
      </w:r>
      <w:r>
        <w:rPr>
          <w:rFonts w:hint="eastAsia" w:ascii="Times New Roman" w:hAnsi="Times New Roman" w:eastAsia="宋体"/>
          <w:szCs w:val="21"/>
          <w:lang w:eastAsia="zh-CN"/>
        </w:rPr>
        <w:t>并经甲方确认、</w:t>
      </w:r>
      <w:r>
        <w:rPr>
          <w:rFonts w:hint="eastAsia" w:ascii="Times New Roman" w:hAnsi="Times New Roman" w:eastAsia="宋体"/>
          <w:szCs w:val="21"/>
          <w:lang w:val="en-US" w:eastAsia="zh-CN"/>
        </w:rPr>
        <w:t>提供第三方检验报告及质保期免费维护承诺书后，</w:t>
      </w:r>
      <w:r>
        <w:rPr>
          <w:rFonts w:hint="eastAsia" w:ascii="Times New Roman" w:hAnsi="Times New Roman" w:eastAsia="宋体"/>
          <w:szCs w:val="21"/>
        </w:rPr>
        <w:t>甲方在</w:t>
      </w:r>
      <w:r>
        <w:rPr>
          <w:rFonts w:hint="eastAsia" w:ascii="Times New Roman" w:hAnsi="Times New Roman" w:eastAsia="宋体"/>
          <w:szCs w:val="21"/>
          <w:lang w:val="en-US" w:eastAsia="zh-CN"/>
        </w:rPr>
        <w:t>15</w:t>
      </w:r>
      <w:r>
        <w:rPr>
          <w:rFonts w:hint="eastAsia" w:ascii="Times New Roman" w:hAnsi="Times New Roman" w:eastAsia="宋体"/>
          <w:szCs w:val="21"/>
        </w:rPr>
        <w:t>个工作日内支付乙方总合同额的2</w:t>
      </w:r>
      <w:r>
        <w:rPr>
          <w:rFonts w:hint="eastAsia" w:ascii="Times New Roman" w:hAnsi="Times New Roman" w:eastAsia="宋体"/>
          <w:szCs w:val="21"/>
          <w:lang w:val="en-US" w:eastAsia="zh-CN"/>
        </w:rPr>
        <w:t>0</w:t>
      </w:r>
      <w:r>
        <w:rPr>
          <w:rFonts w:hint="eastAsia" w:ascii="Times New Roman" w:hAnsi="Times New Roman" w:eastAsia="宋体"/>
          <w:szCs w:val="21"/>
        </w:rPr>
        <w:t>%</w:t>
      </w:r>
      <w:r>
        <w:rPr>
          <w:rFonts w:hint="eastAsia" w:ascii="Times New Roman" w:hAnsi="Times New Roman" w:eastAsia="宋体"/>
          <w:szCs w:val="21"/>
          <w:lang w:eastAsia="zh-CN"/>
        </w:rPr>
        <w:t>的费用。</w:t>
      </w:r>
    </w:p>
    <w:p w14:paraId="4AA1B6A2">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rPr>
        <w:t xml:space="preserve">4.3 </w:t>
      </w:r>
      <w:r>
        <w:rPr>
          <w:rFonts w:hint="eastAsia" w:ascii="Times New Roman" w:hAnsi="Times New Roman" w:eastAsia="宋体"/>
          <w:szCs w:val="21"/>
        </w:rPr>
        <w:t>乙方应开具税务机关认可的增值税专用发票，发票的开出者和收款人必须是乙方本身，服务内容、发票金额需与服务合同一致。</w:t>
      </w:r>
    </w:p>
    <w:p w14:paraId="713BB1C0">
      <w:pPr>
        <w:adjustRightInd w:val="0"/>
        <w:snapToGrid w:val="0"/>
        <w:spacing w:line="360" w:lineRule="auto"/>
        <w:ind w:left="400" w:right="360"/>
        <w:rPr>
          <w:rFonts w:hint="eastAsia" w:ascii="Times New Roman" w:hAnsi="Times New Roman" w:eastAsia="宋体"/>
          <w:szCs w:val="21"/>
        </w:rPr>
      </w:pPr>
      <w:r>
        <w:rPr>
          <w:rFonts w:hint="eastAsia" w:ascii="Times New Roman" w:hAnsi="Times New Roman" w:eastAsia="宋体"/>
          <w:b/>
          <w:bCs/>
          <w:szCs w:val="21"/>
        </w:rPr>
        <w:t xml:space="preserve">4.4 </w:t>
      </w:r>
      <w:r>
        <w:rPr>
          <w:rFonts w:hint="eastAsia" w:ascii="Times New Roman" w:hAnsi="Times New Roman" w:eastAsia="宋体"/>
          <w:szCs w:val="21"/>
        </w:rPr>
        <w:t>乙方的账户信息</w:t>
      </w:r>
    </w:p>
    <w:p w14:paraId="240E9A53">
      <w:pPr>
        <w:adjustRightInd w:val="0"/>
        <w:snapToGrid w:val="0"/>
        <w:spacing w:line="360" w:lineRule="auto"/>
        <w:ind w:right="360" w:firstLine="420" w:firstLineChars="200"/>
        <w:rPr>
          <w:rFonts w:hint="eastAsia" w:ascii="Times New Roman" w:hAnsi="Times New Roman" w:eastAsia="宋体"/>
          <w:szCs w:val="21"/>
          <w:lang w:val="en-US" w:eastAsia="zh-CN"/>
        </w:rPr>
      </w:pPr>
      <w:r>
        <w:rPr>
          <w:rFonts w:hint="eastAsia" w:ascii="Times New Roman" w:hAnsi="Times New Roman" w:eastAsia="宋体"/>
        </w:rPr>
        <w:t>（</w:t>
      </w:r>
      <w:r>
        <w:rPr>
          <w:rFonts w:hint="eastAsia" w:ascii="Times New Roman" w:hAnsi="Times New Roman" w:eastAsia="宋体"/>
          <w:szCs w:val="21"/>
        </w:rPr>
        <w:t>1）公司名称：</w:t>
      </w:r>
      <w:r>
        <w:rPr>
          <w:rFonts w:hint="eastAsia" w:ascii="Times New Roman" w:hAnsi="Times New Roman" w:eastAsia="宋体"/>
          <w:szCs w:val="21"/>
          <w:lang w:val="en-US" w:eastAsia="zh-CN"/>
        </w:rPr>
        <w:t xml:space="preserve"> </w:t>
      </w:r>
    </w:p>
    <w:p w14:paraId="4849CB24">
      <w:pPr>
        <w:adjustRightInd w:val="0"/>
        <w:snapToGrid w:val="0"/>
        <w:spacing w:line="360" w:lineRule="auto"/>
        <w:ind w:right="360" w:firstLine="420" w:firstLineChars="200"/>
        <w:rPr>
          <w:rFonts w:hint="eastAsia" w:ascii="Times New Roman" w:hAnsi="Times New Roman" w:eastAsia="宋体"/>
          <w:szCs w:val="21"/>
          <w:lang w:eastAsia="zh-CN"/>
        </w:rPr>
      </w:pPr>
      <w:r>
        <w:rPr>
          <w:rFonts w:hint="eastAsia" w:ascii="Times New Roman" w:hAnsi="Times New Roman" w:eastAsia="宋体"/>
          <w:szCs w:val="21"/>
        </w:rPr>
        <w:t>（2）纳税人识别号：</w:t>
      </w:r>
      <w:r>
        <w:rPr>
          <w:rFonts w:hint="eastAsia" w:ascii="Times New Roman" w:hAnsi="Times New Roman" w:eastAsia="宋体"/>
          <w:szCs w:val="21"/>
          <w:lang w:val="en-US" w:eastAsia="zh-CN"/>
        </w:rPr>
        <w:t xml:space="preserve"> </w:t>
      </w:r>
    </w:p>
    <w:p w14:paraId="2BEE4350">
      <w:pPr>
        <w:adjustRightInd w:val="0"/>
        <w:snapToGrid w:val="0"/>
        <w:spacing w:line="360" w:lineRule="auto"/>
        <w:ind w:right="360" w:firstLine="420" w:firstLineChars="200"/>
        <w:rPr>
          <w:rFonts w:hint="eastAsia" w:ascii="Times New Roman" w:hAnsi="Times New Roman" w:eastAsia="宋体"/>
          <w:szCs w:val="21"/>
          <w:lang w:eastAsia="zh-CN"/>
        </w:rPr>
      </w:pPr>
      <w:r>
        <w:rPr>
          <w:rFonts w:hint="eastAsia" w:ascii="Times New Roman" w:hAnsi="Times New Roman" w:eastAsia="宋体"/>
          <w:szCs w:val="21"/>
        </w:rPr>
        <w:t>（3）开户银行：</w:t>
      </w:r>
      <w:r>
        <w:rPr>
          <w:rFonts w:hint="eastAsia" w:ascii="Times New Roman" w:hAnsi="Times New Roman" w:eastAsia="宋体"/>
          <w:szCs w:val="21"/>
          <w:lang w:val="en-US" w:eastAsia="zh-CN"/>
        </w:rPr>
        <w:t xml:space="preserve"> </w:t>
      </w:r>
    </w:p>
    <w:p w14:paraId="74BC8234">
      <w:pPr>
        <w:adjustRightInd w:val="0"/>
        <w:snapToGrid w:val="0"/>
        <w:spacing w:line="360" w:lineRule="auto"/>
        <w:ind w:right="360" w:firstLine="420" w:firstLineChars="200"/>
        <w:rPr>
          <w:rFonts w:hint="eastAsia" w:ascii="Times New Roman" w:hAnsi="Times New Roman" w:eastAsia="宋体"/>
          <w:szCs w:val="21"/>
          <w:lang w:eastAsia="zh-CN"/>
        </w:rPr>
      </w:pPr>
      <w:r>
        <w:rPr>
          <w:rFonts w:hint="eastAsia" w:ascii="Times New Roman" w:hAnsi="Times New Roman" w:eastAsia="宋体"/>
          <w:szCs w:val="21"/>
        </w:rPr>
        <w:t>（4）</w:t>
      </w:r>
      <w:r>
        <w:rPr>
          <w:rFonts w:hint="eastAsia" w:ascii="Times New Roman" w:hAnsi="Times New Roman" w:eastAsia="宋体"/>
          <w:szCs w:val="21"/>
          <w:lang w:eastAsia="zh-CN"/>
        </w:rPr>
        <w:t>账</w:t>
      </w:r>
      <w:r>
        <w:rPr>
          <w:rFonts w:hint="eastAsia" w:ascii="Times New Roman" w:hAnsi="Times New Roman" w:eastAsia="宋体"/>
          <w:szCs w:val="21"/>
        </w:rPr>
        <w:t>号：</w:t>
      </w:r>
      <w:r>
        <w:rPr>
          <w:rFonts w:hint="eastAsia" w:ascii="Times New Roman" w:hAnsi="Times New Roman" w:eastAsia="宋体"/>
          <w:szCs w:val="21"/>
          <w:lang w:val="en-US" w:eastAsia="zh-CN"/>
        </w:rPr>
        <w:t xml:space="preserve"> </w:t>
      </w:r>
    </w:p>
    <w:p w14:paraId="222A14BA">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rPr>
        <w:t>（5）地址：</w:t>
      </w:r>
      <w:r>
        <w:rPr>
          <w:rFonts w:hint="eastAsia" w:ascii="Times New Roman" w:hAnsi="Times New Roman" w:eastAsia="宋体"/>
          <w:szCs w:val="21"/>
          <w:lang w:val="en-US" w:eastAsia="zh-CN"/>
        </w:rPr>
        <w:t xml:space="preserve"> </w:t>
      </w:r>
    </w:p>
    <w:p w14:paraId="45D0A7CB">
      <w:pPr>
        <w:adjustRightInd w:val="0"/>
        <w:snapToGrid w:val="0"/>
        <w:spacing w:line="360" w:lineRule="auto"/>
        <w:ind w:firstLine="420" w:firstLineChars="200"/>
        <w:rPr>
          <w:rFonts w:hint="eastAsia" w:ascii="Times New Roman" w:hAnsi="Times New Roman" w:eastAsia="宋体"/>
          <w:szCs w:val="21"/>
        </w:rPr>
      </w:pPr>
      <w:r>
        <w:rPr>
          <w:rFonts w:hint="eastAsia" w:ascii="Times New Roman" w:hAnsi="Times New Roman" w:eastAsia="宋体"/>
          <w:szCs w:val="21"/>
        </w:rPr>
        <w:t>如乙方的账户信息发生变更，应及时采用书面的方式通知甲方。因乙方未及时通知而造成的支付错误和损失由乙方自行承担。</w:t>
      </w:r>
    </w:p>
    <w:p w14:paraId="5F164E09">
      <w:pPr>
        <w:adjustRightInd w:val="0"/>
        <w:snapToGrid w:val="0"/>
        <w:spacing w:line="360" w:lineRule="auto"/>
        <w:ind w:left="400" w:right="360"/>
        <w:rPr>
          <w:rFonts w:ascii="Times New Roman" w:hAnsi="Times New Roman" w:eastAsia="宋体"/>
          <w:szCs w:val="21"/>
        </w:rPr>
      </w:pPr>
      <w:r>
        <w:rPr>
          <w:rFonts w:ascii="Times New Roman" w:hAnsi="Times New Roman" w:eastAsia="宋体"/>
          <w:b/>
          <w:szCs w:val="21"/>
        </w:rPr>
        <w:t xml:space="preserve">4.5 </w:t>
      </w:r>
      <w:r>
        <w:rPr>
          <w:rFonts w:ascii="Times New Roman" w:hAnsi="Times New Roman" w:eastAsia="宋体"/>
          <w:szCs w:val="21"/>
        </w:rPr>
        <w:t>甲方</w:t>
      </w:r>
      <w:r>
        <w:rPr>
          <w:rFonts w:hint="eastAsia" w:ascii="Times New Roman" w:hAnsi="Times New Roman" w:eastAsia="宋体"/>
          <w:szCs w:val="21"/>
        </w:rPr>
        <w:t>的</w:t>
      </w:r>
      <w:r>
        <w:rPr>
          <w:rFonts w:ascii="Times New Roman" w:hAnsi="Times New Roman" w:eastAsia="宋体"/>
          <w:szCs w:val="21"/>
        </w:rPr>
        <w:t>开票信息</w:t>
      </w:r>
    </w:p>
    <w:p w14:paraId="294C58C5">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hint="eastAsia" w:ascii="Times New Roman" w:hAnsi="Times New Roman" w:eastAsia="宋体"/>
          <w:szCs w:val="21"/>
          <w:lang w:val="en-US" w:eastAsia="zh-CN"/>
        </w:rPr>
        <w:t>1</w:t>
      </w:r>
      <w:r>
        <w:rPr>
          <w:rFonts w:hint="eastAsia" w:ascii="Times New Roman" w:hAnsi="Times New Roman" w:eastAsia="宋体"/>
          <w:szCs w:val="21"/>
          <w:lang w:eastAsia="zh-CN"/>
        </w:rPr>
        <w:t>）</w:t>
      </w:r>
      <w:r>
        <w:rPr>
          <w:rFonts w:hint="eastAsia" w:ascii="Times New Roman" w:hAnsi="Times New Roman" w:eastAsia="宋体"/>
          <w:szCs w:val="21"/>
        </w:rPr>
        <w:t>公 司 名 称：</w:t>
      </w:r>
      <w:r>
        <w:rPr>
          <w:rFonts w:hint="eastAsia" w:ascii="Times New Roman" w:hAnsi="Times New Roman" w:eastAsia="宋体"/>
          <w:szCs w:val="21"/>
          <w:lang w:val="en-US" w:eastAsia="zh-CN"/>
        </w:rPr>
        <w:t xml:space="preserve"> </w:t>
      </w:r>
    </w:p>
    <w:p w14:paraId="2533AF0E">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hint="eastAsia" w:ascii="Times New Roman" w:hAnsi="Times New Roman" w:eastAsia="宋体"/>
          <w:szCs w:val="21"/>
          <w:lang w:val="en-US" w:eastAsia="zh-CN"/>
        </w:rPr>
        <w:t>2</w:t>
      </w:r>
      <w:r>
        <w:rPr>
          <w:rFonts w:hint="eastAsia" w:ascii="Times New Roman" w:hAnsi="Times New Roman" w:eastAsia="宋体"/>
          <w:szCs w:val="21"/>
          <w:lang w:eastAsia="zh-CN"/>
        </w:rPr>
        <w:t>）</w:t>
      </w:r>
      <w:r>
        <w:rPr>
          <w:rFonts w:hint="eastAsia" w:ascii="Times New Roman" w:hAnsi="Times New Roman" w:eastAsia="宋体"/>
          <w:szCs w:val="21"/>
        </w:rPr>
        <w:t>纳税人识别号：</w:t>
      </w:r>
      <w:r>
        <w:rPr>
          <w:rFonts w:hint="eastAsia" w:ascii="Times New Roman" w:hAnsi="Times New Roman" w:eastAsia="宋体"/>
          <w:szCs w:val="21"/>
          <w:lang w:val="en-US" w:eastAsia="zh-CN"/>
        </w:rPr>
        <w:t xml:space="preserve"> </w:t>
      </w:r>
    </w:p>
    <w:p w14:paraId="07DEDD7A">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hint="eastAsia" w:ascii="Times New Roman" w:hAnsi="Times New Roman" w:eastAsia="宋体"/>
          <w:szCs w:val="21"/>
          <w:lang w:val="en-US" w:eastAsia="zh-CN"/>
        </w:rPr>
        <w:t>3</w:t>
      </w:r>
      <w:r>
        <w:rPr>
          <w:rFonts w:hint="eastAsia" w:ascii="Times New Roman" w:hAnsi="Times New Roman" w:eastAsia="宋体"/>
          <w:szCs w:val="21"/>
          <w:lang w:eastAsia="zh-CN"/>
        </w:rPr>
        <w:t>）</w:t>
      </w:r>
      <w:r>
        <w:rPr>
          <w:rFonts w:hint="eastAsia" w:ascii="Times New Roman" w:hAnsi="Times New Roman" w:eastAsia="宋体"/>
          <w:szCs w:val="21"/>
        </w:rPr>
        <w:t>开户银行：</w:t>
      </w:r>
      <w:r>
        <w:rPr>
          <w:rFonts w:hint="eastAsia" w:ascii="Times New Roman" w:hAnsi="Times New Roman" w:eastAsia="宋体"/>
          <w:szCs w:val="21"/>
          <w:lang w:val="en-US" w:eastAsia="zh-CN"/>
        </w:rPr>
        <w:t xml:space="preserve"> </w:t>
      </w:r>
    </w:p>
    <w:p w14:paraId="6F00139B">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hint="eastAsia" w:ascii="Times New Roman" w:hAnsi="Times New Roman" w:eastAsia="宋体"/>
          <w:szCs w:val="21"/>
          <w:lang w:val="en-US" w:eastAsia="zh-CN"/>
        </w:rPr>
        <w:t>4</w:t>
      </w:r>
      <w:r>
        <w:rPr>
          <w:rFonts w:hint="eastAsia" w:ascii="Times New Roman" w:hAnsi="Times New Roman" w:eastAsia="宋体"/>
          <w:szCs w:val="21"/>
          <w:lang w:eastAsia="zh-CN"/>
        </w:rPr>
        <w:t>）账</w:t>
      </w:r>
      <w:r>
        <w:rPr>
          <w:rFonts w:hint="eastAsia" w:ascii="Times New Roman" w:hAnsi="Times New Roman" w:eastAsia="宋体"/>
          <w:szCs w:val="21"/>
        </w:rPr>
        <w:t xml:space="preserve">号： </w:t>
      </w:r>
      <w:r>
        <w:rPr>
          <w:rFonts w:hint="eastAsia" w:ascii="Times New Roman" w:hAnsi="Times New Roman" w:eastAsia="宋体"/>
          <w:szCs w:val="21"/>
          <w:lang w:val="en-US" w:eastAsia="zh-CN"/>
        </w:rPr>
        <w:t xml:space="preserve"> </w:t>
      </w:r>
    </w:p>
    <w:p w14:paraId="7707FEF1">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lang w:eastAsia="zh-CN"/>
        </w:rPr>
        <w:t>（</w:t>
      </w:r>
      <w:r>
        <w:rPr>
          <w:rFonts w:hint="eastAsia" w:ascii="Times New Roman" w:hAnsi="Times New Roman" w:eastAsia="宋体"/>
          <w:szCs w:val="21"/>
          <w:lang w:val="en-US" w:eastAsia="zh-CN"/>
        </w:rPr>
        <w:t>5</w:t>
      </w:r>
      <w:r>
        <w:rPr>
          <w:rFonts w:hint="eastAsia" w:ascii="Times New Roman" w:hAnsi="Times New Roman" w:eastAsia="宋体"/>
          <w:szCs w:val="21"/>
          <w:lang w:eastAsia="zh-CN"/>
        </w:rPr>
        <w:t>）</w:t>
      </w:r>
      <w:r>
        <w:rPr>
          <w:rFonts w:hint="eastAsia" w:ascii="Times New Roman" w:hAnsi="Times New Roman" w:eastAsia="宋体"/>
          <w:szCs w:val="21"/>
        </w:rPr>
        <w:t>银行行号：</w:t>
      </w:r>
      <w:r>
        <w:rPr>
          <w:rFonts w:hint="eastAsia" w:ascii="Times New Roman" w:hAnsi="Times New Roman" w:eastAsia="宋体"/>
          <w:szCs w:val="21"/>
          <w:lang w:val="en-US" w:eastAsia="zh-CN"/>
        </w:rPr>
        <w:t xml:space="preserve"> </w:t>
      </w:r>
    </w:p>
    <w:p w14:paraId="30605E26">
      <w:pPr>
        <w:adjustRightInd w:val="0"/>
        <w:snapToGrid w:val="0"/>
        <w:spacing w:line="360" w:lineRule="auto"/>
        <w:ind w:left="400" w:right="360"/>
        <w:rPr>
          <w:rFonts w:hint="eastAsia" w:ascii="Times New Roman" w:hAnsi="Times New Roman" w:eastAsia="宋体"/>
          <w:szCs w:val="21"/>
        </w:rPr>
      </w:pPr>
    </w:p>
    <w:p w14:paraId="52D8FDCB">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甲方的权利与义务</w:t>
      </w:r>
    </w:p>
    <w:p w14:paraId="59E0FE24">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rPr>
        <w:t xml:space="preserve">5.1 </w:t>
      </w:r>
      <w:r>
        <w:rPr>
          <w:rFonts w:hint="eastAsia" w:ascii="Times New Roman" w:hAnsi="Times New Roman" w:eastAsia="宋体"/>
          <w:szCs w:val="21"/>
        </w:rPr>
        <w:t>甲方应按</w:t>
      </w:r>
      <w:r>
        <w:rPr>
          <w:rFonts w:hint="eastAsia" w:ascii="Times New Roman" w:hAnsi="Times New Roman" w:eastAsia="宋体"/>
          <w:szCs w:val="21"/>
          <w:lang w:eastAsia="zh-CN"/>
        </w:rPr>
        <w:t>约定</w:t>
      </w:r>
      <w:r>
        <w:rPr>
          <w:rFonts w:hint="eastAsia" w:ascii="Times New Roman" w:hAnsi="Times New Roman" w:eastAsia="宋体"/>
          <w:szCs w:val="21"/>
        </w:rPr>
        <w:t>向乙方支付</w:t>
      </w:r>
      <w:r>
        <w:rPr>
          <w:rFonts w:hint="eastAsia" w:ascii="Times New Roman" w:hAnsi="Times New Roman" w:eastAsia="宋体"/>
          <w:szCs w:val="21"/>
          <w:lang w:eastAsia="zh-CN"/>
        </w:rPr>
        <w:t>维修服务</w:t>
      </w:r>
      <w:r>
        <w:rPr>
          <w:rFonts w:hint="eastAsia" w:ascii="Times New Roman" w:hAnsi="Times New Roman" w:eastAsia="宋体"/>
          <w:szCs w:val="21"/>
        </w:rPr>
        <w:t>费用。</w:t>
      </w:r>
    </w:p>
    <w:p w14:paraId="0E42D2F6">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bCs/>
          <w:szCs w:val="21"/>
        </w:rPr>
        <w:t>5.2</w:t>
      </w:r>
      <w:r>
        <w:rPr>
          <w:rFonts w:hint="eastAsia" w:ascii="Times New Roman" w:hAnsi="Times New Roman" w:eastAsia="宋体"/>
          <w:szCs w:val="21"/>
        </w:rPr>
        <w:t xml:space="preserve"> 甲方承诺并保证其接受乙方提供的服务不会用于任何非法目的，也不会用于侵犯任何第三方的合法权利。</w:t>
      </w:r>
    </w:p>
    <w:p w14:paraId="52D7F5CB">
      <w:pPr>
        <w:adjustRightInd w:val="0"/>
        <w:snapToGrid w:val="0"/>
        <w:spacing w:line="360" w:lineRule="auto"/>
        <w:ind w:right="360" w:firstLine="422" w:firstLineChars="200"/>
        <w:rPr>
          <w:rFonts w:hint="eastAsia" w:ascii="Times New Roman" w:hAnsi="Times New Roman" w:eastAsia="宋体"/>
          <w:b/>
          <w:bCs/>
          <w:szCs w:val="21"/>
        </w:rPr>
      </w:pPr>
    </w:p>
    <w:p w14:paraId="11D93FDD">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乙方的权利与义务</w:t>
      </w:r>
    </w:p>
    <w:p w14:paraId="287512DC">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rPr>
        <w:t>6.1</w:t>
      </w:r>
      <w:r>
        <w:rPr>
          <w:rFonts w:hint="eastAsia" w:ascii="Times New Roman" w:hAnsi="Times New Roman" w:eastAsia="宋体"/>
          <w:szCs w:val="21"/>
        </w:rPr>
        <w:t xml:space="preserve"> 乙方应按照1.2条款约定的服务要求向甲方提供有关系统设备的</w:t>
      </w:r>
      <w:r>
        <w:rPr>
          <w:rFonts w:hint="eastAsia" w:ascii="Times New Roman" w:hAnsi="Times New Roman" w:eastAsia="宋体"/>
          <w:szCs w:val="21"/>
          <w:lang w:val="en-US" w:eastAsia="zh-CN"/>
        </w:rPr>
        <w:t>单次</w:t>
      </w:r>
      <w:r>
        <w:rPr>
          <w:rFonts w:hint="eastAsia" w:ascii="Times New Roman" w:hAnsi="Times New Roman" w:eastAsia="宋体"/>
          <w:szCs w:val="21"/>
        </w:rPr>
        <w:t>维护保养工作服务，具体内容及要求参照合同附件。</w:t>
      </w:r>
    </w:p>
    <w:p w14:paraId="0AAC741A">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bCs/>
          <w:szCs w:val="21"/>
        </w:rPr>
        <w:t>6.2</w:t>
      </w:r>
      <w:r>
        <w:rPr>
          <w:rFonts w:ascii="Times New Roman" w:hAnsi="Times New Roman" w:eastAsia="宋体"/>
          <w:szCs w:val="21"/>
        </w:rPr>
        <w:t>乙方在提供现场技术支持时，必须遵守甲方或产品所在地第三方的管理制度（包括但不限于访问登记制度、现场管理制度和安全保密制度等）。</w:t>
      </w:r>
    </w:p>
    <w:p w14:paraId="1E57CB16">
      <w:pPr>
        <w:adjustRightInd w:val="0"/>
        <w:snapToGrid w:val="0"/>
        <w:spacing w:line="360" w:lineRule="auto"/>
        <w:ind w:right="360" w:firstLine="422" w:firstLineChars="200"/>
        <w:rPr>
          <w:rFonts w:ascii="Times New Roman" w:hAnsi="Times New Roman" w:eastAsia="宋体"/>
          <w:szCs w:val="21"/>
        </w:rPr>
      </w:pPr>
      <w:r>
        <w:rPr>
          <w:rFonts w:ascii="Times New Roman" w:hAnsi="Times New Roman" w:eastAsia="宋体"/>
          <w:b/>
          <w:szCs w:val="21"/>
        </w:rPr>
        <w:t>6.3</w:t>
      </w:r>
      <w:r>
        <w:rPr>
          <w:rFonts w:ascii="Times New Roman" w:hAnsi="Times New Roman" w:eastAsia="宋体"/>
          <w:szCs w:val="21"/>
        </w:rPr>
        <w:t xml:space="preserve"> 乙方在提供技术支持时，不得有任何危害甲方或第三方产品功能、寿命和信息安全的行为。危害行为包括但不限于：盗取数据、篡改数据、恶意删除数据、植入或传播病毒、木马或间谍软件、预设产品后门漏洞、缩短产品的授权期限、减少或破坏产品的功能、设置隐藏账号、恶意网络攻击、非法获取产品系统权限、擅自访问非授权区域等。</w:t>
      </w:r>
    </w:p>
    <w:p w14:paraId="3B29D526">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szCs w:val="21"/>
        </w:rPr>
        <w:t>6.4</w:t>
      </w:r>
      <w:r>
        <w:rPr>
          <w:rFonts w:ascii="Times New Roman" w:hAnsi="Times New Roman" w:eastAsia="宋体"/>
          <w:szCs w:val="21"/>
        </w:rPr>
        <w:t xml:space="preserve"> </w:t>
      </w:r>
      <w:r>
        <w:rPr>
          <w:rFonts w:hint="eastAsia" w:ascii="Times New Roman" w:hAnsi="Times New Roman" w:eastAsia="宋体"/>
          <w:szCs w:val="21"/>
        </w:rPr>
        <w:t>未经甲方同意乙方不得擅自将</w:t>
      </w:r>
      <w:r>
        <w:rPr>
          <w:rFonts w:ascii="Times New Roman" w:hAnsi="Times New Roman" w:eastAsia="宋体"/>
          <w:szCs w:val="21"/>
        </w:rPr>
        <w:t>本项目的服务</w:t>
      </w:r>
      <w:r>
        <w:rPr>
          <w:rFonts w:hint="eastAsia" w:ascii="Times New Roman" w:hAnsi="Times New Roman" w:eastAsia="宋体"/>
          <w:szCs w:val="21"/>
        </w:rPr>
        <w:t>工作转包或分包给第三方。即使获得甲方的同意进行分包，也不能解除乙方对甲方承担之任何责任与义务，乙方与分包商就本合同的履行向甲方承担连带责任。</w:t>
      </w:r>
    </w:p>
    <w:p w14:paraId="7F619754">
      <w:pPr>
        <w:adjustRightInd w:val="0"/>
        <w:snapToGrid w:val="0"/>
        <w:spacing w:line="360" w:lineRule="auto"/>
        <w:ind w:right="360" w:firstLine="422" w:firstLineChars="200"/>
        <w:rPr>
          <w:rFonts w:hint="eastAsia" w:ascii="Times New Roman" w:hAnsi="Times New Roman" w:eastAsia="宋体"/>
          <w:szCs w:val="21"/>
        </w:rPr>
      </w:pPr>
      <w:r>
        <w:rPr>
          <w:rFonts w:ascii="Times New Roman" w:hAnsi="Times New Roman" w:eastAsia="宋体"/>
          <w:b/>
          <w:bCs/>
          <w:szCs w:val="21"/>
        </w:rPr>
        <w:t>6.5</w:t>
      </w:r>
      <w:r>
        <w:rPr>
          <w:rFonts w:hint="eastAsia" w:ascii="Times New Roman" w:hAnsi="Times New Roman" w:eastAsia="宋体"/>
          <w:szCs w:val="21"/>
        </w:rPr>
        <w:t>应急故障处理：在合同期内，对于突发性的设备故障，乙方安排专业人员须在2小时内现场提供免服务费检修服务。</w:t>
      </w:r>
    </w:p>
    <w:p w14:paraId="4978177D">
      <w:pPr>
        <w:adjustRightInd w:val="0"/>
        <w:snapToGrid w:val="0"/>
        <w:spacing w:line="360" w:lineRule="auto"/>
        <w:ind w:right="360" w:firstLine="422" w:firstLineChars="200"/>
        <w:rPr>
          <w:rFonts w:hint="eastAsia" w:ascii="Times New Roman" w:hAnsi="Times New Roman" w:eastAsia="宋体"/>
          <w:szCs w:val="21"/>
        </w:rPr>
      </w:pPr>
      <w:r>
        <w:rPr>
          <w:rFonts w:ascii="Times New Roman" w:hAnsi="Times New Roman" w:eastAsia="宋体"/>
          <w:b/>
          <w:bCs/>
          <w:szCs w:val="21"/>
        </w:rPr>
        <w:t>6.6</w:t>
      </w:r>
      <w:r>
        <w:rPr>
          <w:rFonts w:hint="eastAsia" w:ascii="Times New Roman" w:hAnsi="Times New Roman" w:eastAsia="宋体"/>
          <w:szCs w:val="21"/>
        </w:rPr>
        <w:t>在每次维护保养工作结束后，乙方在两个工作日内向甲方提供详细的工作报告表由现场负责人签字确认，必要时提出有关改进措施，防止设备故障再次发生。</w:t>
      </w:r>
    </w:p>
    <w:p w14:paraId="584A8DF8">
      <w:pPr>
        <w:adjustRightInd w:val="0"/>
        <w:snapToGrid w:val="0"/>
        <w:spacing w:line="360" w:lineRule="auto"/>
        <w:ind w:right="360" w:firstLine="422" w:firstLineChars="200"/>
        <w:rPr>
          <w:rFonts w:hint="eastAsia" w:ascii="Times New Roman" w:hAnsi="Times New Roman" w:eastAsia="宋体"/>
          <w:szCs w:val="21"/>
        </w:rPr>
      </w:pPr>
      <w:r>
        <w:rPr>
          <w:rFonts w:ascii="Times New Roman" w:hAnsi="Times New Roman" w:eastAsia="宋体"/>
          <w:b/>
          <w:bCs/>
          <w:szCs w:val="21"/>
        </w:rPr>
        <w:t>6.7</w:t>
      </w:r>
      <w:r>
        <w:rPr>
          <w:rFonts w:hint="eastAsia" w:ascii="Times New Roman" w:hAnsi="Times New Roman" w:eastAsia="宋体"/>
          <w:szCs w:val="21"/>
        </w:rPr>
        <w:t>对系统设备进行效能分析及技术改造论证：乙方将为甲方设备建立专门的技术档案，根据甲方使用情况及技术档案进行技术分析，必要时对于不合理的或可改善的系统设备提出技改意见给甲方，通过双方的合作，促进系统的完善和消灭隐患。</w:t>
      </w:r>
    </w:p>
    <w:p w14:paraId="1EA5C95F">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rPr>
        <w:t>6</w:t>
      </w:r>
      <w:r>
        <w:rPr>
          <w:rFonts w:ascii="Times New Roman" w:hAnsi="Times New Roman" w:eastAsia="宋体"/>
          <w:b/>
          <w:bCs/>
          <w:szCs w:val="21"/>
        </w:rPr>
        <w:t>.8</w:t>
      </w:r>
      <w:r>
        <w:rPr>
          <w:rFonts w:hint="eastAsia" w:ascii="Times New Roman" w:hAnsi="Times New Roman" w:eastAsia="宋体"/>
          <w:szCs w:val="21"/>
        </w:rPr>
        <w:t>对于必须更换使用后加配件或材料的工作项目，应先提供配件材料报价给甲方，并经其同意后方可进行。如有因工作失误而造成甲方设备损坏，应负责修复。</w:t>
      </w:r>
    </w:p>
    <w:p w14:paraId="65334248">
      <w:pPr>
        <w:adjustRightInd w:val="0"/>
        <w:snapToGrid w:val="0"/>
        <w:spacing w:line="360" w:lineRule="auto"/>
        <w:ind w:right="360" w:firstLine="422" w:firstLineChars="200"/>
        <w:rPr>
          <w:rFonts w:hint="eastAsia" w:ascii="Times New Roman" w:hAnsi="Times New Roman" w:eastAsia="宋体"/>
          <w:szCs w:val="21"/>
        </w:rPr>
      </w:pPr>
      <w:r>
        <w:rPr>
          <w:rFonts w:ascii="Times New Roman" w:hAnsi="Times New Roman" w:eastAsia="宋体"/>
          <w:b/>
          <w:bCs/>
          <w:szCs w:val="21"/>
        </w:rPr>
        <w:t>6.9</w:t>
      </w:r>
      <w:r>
        <w:rPr>
          <w:rFonts w:hint="eastAsia" w:ascii="Times New Roman" w:hAnsi="Times New Roman" w:eastAsia="宋体"/>
          <w:szCs w:val="21"/>
        </w:rPr>
        <w:t>自行负责其工作人员的工薪</w:t>
      </w:r>
      <w:r>
        <w:rPr>
          <w:rFonts w:ascii="Times New Roman" w:hAnsi="Times New Roman" w:eastAsia="宋体"/>
          <w:szCs w:val="21"/>
        </w:rPr>
        <w:t>、</w:t>
      </w:r>
      <w:r>
        <w:rPr>
          <w:rFonts w:hint="eastAsia" w:ascii="Times New Roman" w:hAnsi="Times New Roman" w:eastAsia="宋体"/>
          <w:szCs w:val="21"/>
        </w:rPr>
        <w:t>劳动保险、交通差旅及食宿费用。</w:t>
      </w:r>
    </w:p>
    <w:p w14:paraId="326DCDFA">
      <w:pPr>
        <w:adjustRightInd w:val="0"/>
        <w:snapToGrid w:val="0"/>
        <w:spacing w:line="360" w:lineRule="auto"/>
        <w:ind w:right="360" w:firstLine="422" w:firstLineChars="200"/>
        <w:rPr>
          <w:rFonts w:hint="eastAsia" w:ascii="Times New Roman" w:hAnsi="Times New Roman" w:eastAsia="宋体"/>
          <w:b/>
          <w:bCs/>
          <w:szCs w:val="21"/>
        </w:rPr>
      </w:pPr>
      <w:r>
        <w:rPr>
          <w:rFonts w:ascii="Times New Roman" w:hAnsi="Times New Roman" w:eastAsia="宋体"/>
          <w:b/>
          <w:bCs/>
          <w:szCs w:val="21"/>
        </w:rPr>
        <w:t>6.10</w:t>
      </w:r>
      <w:r>
        <w:rPr>
          <w:rFonts w:hint="eastAsia" w:ascii="Times New Roman" w:hAnsi="Times New Roman" w:eastAsia="宋体"/>
          <w:szCs w:val="21"/>
        </w:rPr>
        <w:t>在本维保合同期满后，甲方需对乙方所维保范围的设备整体及件部进行确认验收，若因乙方在维保期内有因操作失误或维保不当而致使设备损坏的，乙方须承担修复责任，如不可修复的，应更换同等品牌设备或部件，且甲方保留后期故障问责权利。</w:t>
      </w:r>
    </w:p>
    <w:p w14:paraId="5FB7667F">
      <w:pPr>
        <w:numPr>
          <w:ilvl w:val="0"/>
          <w:numId w:val="1"/>
        </w:numPr>
        <w:adjustRightInd w:val="0"/>
        <w:snapToGrid w:val="0"/>
        <w:spacing w:line="360" w:lineRule="auto"/>
        <w:ind w:right="360" w:firstLine="6"/>
        <w:rPr>
          <w:rFonts w:hint="eastAsia" w:ascii="Times New Roman" w:hAnsi="Times New Roman" w:eastAsia="宋体"/>
          <w:b/>
          <w:bCs/>
          <w:sz w:val="24"/>
          <w:szCs w:val="21"/>
        </w:rPr>
      </w:pPr>
      <w:r>
        <w:rPr>
          <w:rFonts w:hint="eastAsia" w:ascii="Times New Roman" w:hAnsi="Times New Roman" w:eastAsia="宋体"/>
          <w:b/>
          <w:bCs/>
          <w:sz w:val="24"/>
          <w:szCs w:val="21"/>
        </w:rPr>
        <w:t>知识产权与商业秘密的保护</w:t>
      </w:r>
    </w:p>
    <w:p w14:paraId="16CDA553">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rPr>
        <w:t xml:space="preserve">7.1 </w:t>
      </w:r>
      <w:r>
        <w:rPr>
          <w:rFonts w:hint="eastAsia" w:ascii="Times New Roman" w:hAnsi="Times New Roman" w:eastAsia="宋体"/>
          <w:szCs w:val="21"/>
        </w:rPr>
        <w:t>甲乙双方确认，乙方向甲方提供的服务的相关知识产权（包括但不限于著作权、商标权、专利权等）归乙方所有，乙方进一步承诺甲方使用乙方服务不会侵犯任何第三人的知识产权及其他合法权益，如甲方因使用乙方提供的服务而被第三方主张权利的，乙方应负责出面解决，同时支付双方合同总服务费的</w:t>
      </w:r>
      <w:r>
        <w:rPr>
          <w:rFonts w:ascii="Times New Roman" w:hAnsi="Times New Roman" w:eastAsia="宋体"/>
          <w:szCs w:val="21"/>
        </w:rPr>
        <w:t>30%作为违约金并赔偿甲方因此遭受的全部损失（包括但不限于：甲方的实际经济损失、甲方因此支付的合理诉讼费、律师费、调查费、鉴定费、公证费、保全费、评估费）</w:t>
      </w:r>
      <w:r>
        <w:rPr>
          <w:rFonts w:hint="eastAsia" w:ascii="Times New Roman" w:hAnsi="Times New Roman" w:eastAsia="宋体"/>
          <w:szCs w:val="21"/>
        </w:rPr>
        <w:t>。</w:t>
      </w:r>
    </w:p>
    <w:p w14:paraId="1BE1220A">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rPr>
        <w:t>7.2</w:t>
      </w:r>
      <w:r>
        <w:rPr>
          <w:rFonts w:hint="eastAsia" w:ascii="Times New Roman" w:hAnsi="Times New Roman" w:eastAsia="宋体"/>
          <w:szCs w:val="21"/>
        </w:rPr>
        <w:t xml:space="preserve"> 乙方在合作过程中知悉的甲方一切商业秘密，包括但不限于有关本合同合作甲方的公司资料、业务信息、技术资料及本合同项下的服务价格、合作条件、</w:t>
      </w:r>
      <w:r>
        <w:rPr>
          <w:rFonts w:ascii="Times New Roman" w:hAnsi="Times New Roman" w:eastAsia="宋体"/>
          <w:szCs w:val="21"/>
        </w:rPr>
        <w:t>最终客户的数据信息</w:t>
      </w:r>
      <w:r>
        <w:rPr>
          <w:rFonts w:hint="eastAsia" w:ascii="Times New Roman" w:hAnsi="Times New Roman" w:eastAsia="宋体"/>
          <w:szCs w:val="21"/>
        </w:rPr>
        <w:t>等书面或口头信息，乙方承诺严格遵守保密约定。未经甲方书面确认许可，乙方均不得泄露、使用或许可给第三方使用。乙方违反本承诺的，应</w:t>
      </w:r>
      <w:r>
        <w:rPr>
          <w:rFonts w:ascii="Times New Roman" w:hAnsi="Times New Roman" w:eastAsia="宋体"/>
          <w:szCs w:val="21"/>
        </w:rPr>
        <w:t>向</w:t>
      </w:r>
      <w:r>
        <w:rPr>
          <w:rFonts w:hint="eastAsia" w:ascii="Times New Roman" w:hAnsi="Times New Roman" w:eastAsia="宋体"/>
          <w:szCs w:val="21"/>
        </w:rPr>
        <w:t>甲方支付合同总服务</w:t>
      </w:r>
      <w:r>
        <w:rPr>
          <w:rFonts w:ascii="Times New Roman" w:hAnsi="Times New Roman" w:eastAsia="宋体"/>
          <w:szCs w:val="21"/>
        </w:rPr>
        <w:t>费</w:t>
      </w:r>
      <w:r>
        <w:rPr>
          <w:rFonts w:hint="eastAsia" w:ascii="Times New Roman" w:hAnsi="Times New Roman" w:eastAsia="宋体"/>
          <w:szCs w:val="21"/>
        </w:rPr>
        <w:t>的</w:t>
      </w:r>
      <w:r>
        <w:rPr>
          <w:rFonts w:ascii="Times New Roman" w:hAnsi="Times New Roman" w:eastAsia="宋体"/>
          <w:szCs w:val="21"/>
        </w:rPr>
        <w:t>30%作为违约金并赔偿甲方因此遭受的全部损失（包括但不限于：甲方的实际经济损失、甲方因此支付的合理诉讼费、律师费、调查费、鉴定费、公证费、保全费、评估费）。</w:t>
      </w:r>
    </w:p>
    <w:p w14:paraId="37F3302D">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bCs/>
          <w:szCs w:val="21"/>
        </w:rPr>
        <w:t xml:space="preserve">7.3 </w:t>
      </w:r>
      <w:r>
        <w:rPr>
          <w:rFonts w:hint="eastAsia" w:ascii="Times New Roman" w:hAnsi="Times New Roman" w:eastAsia="宋体"/>
          <w:szCs w:val="21"/>
        </w:rPr>
        <w:t>本条款的适用不因合同履行完毕、合同终止或合同解除而失效。</w:t>
      </w:r>
    </w:p>
    <w:p w14:paraId="1CA97980">
      <w:pPr>
        <w:numPr>
          <w:ilvl w:val="0"/>
          <w:numId w:val="1"/>
        </w:numPr>
        <w:adjustRightInd w:val="0"/>
        <w:snapToGrid w:val="0"/>
        <w:spacing w:line="360" w:lineRule="auto"/>
        <w:ind w:right="360" w:firstLine="6"/>
        <w:rPr>
          <w:rFonts w:hint="eastAsia" w:ascii="Times New Roman" w:hAnsi="Times New Roman" w:eastAsia="宋体" w:cs="Times New Roman"/>
          <w:b/>
          <w:bCs/>
          <w:sz w:val="24"/>
          <w:szCs w:val="21"/>
        </w:rPr>
      </w:pPr>
      <w:r>
        <w:rPr>
          <w:rFonts w:hint="eastAsia" w:ascii="Times New Roman" w:hAnsi="Times New Roman" w:eastAsia="宋体" w:cs="Times New Roman"/>
          <w:b/>
          <w:bCs/>
          <w:sz w:val="24"/>
          <w:szCs w:val="21"/>
        </w:rPr>
        <w:t>安全维保</w:t>
      </w:r>
    </w:p>
    <w:p w14:paraId="3F7C074D">
      <w:pPr>
        <w:adjustRightInd w:val="0"/>
        <w:snapToGrid w:val="0"/>
        <w:spacing w:line="360" w:lineRule="auto"/>
        <w:ind w:right="360"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8.1</w:t>
      </w:r>
      <w:r>
        <w:rPr>
          <w:rFonts w:hint="eastAsia" w:ascii="Times New Roman" w:hAnsi="Times New Roman" w:eastAsia="宋体" w:cs="Times New Roman"/>
          <w:szCs w:val="21"/>
        </w:rPr>
        <w:t>乙方必须遵守有关安全维保各项规章制度和管理方式，并按经济合同有关条款加强自身管理，履行乙方责任。</w:t>
      </w:r>
    </w:p>
    <w:p w14:paraId="77F91A08">
      <w:pPr>
        <w:adjustRightInd w:val="0"/>
        <w:snapToGrid w:val="0"/>
        <w:spacing w:line="360" w:lineRule="auto"/>
        <w:ind w:right="360"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8.2</w:t>
      </w:r>
      <w:r>
        <w:rPr>
          <w:rFonts w:hint="eastAsia" w:ascii="Times New Roman" w:hAnsi="Times New Roman" w:eastAsia="宋体" w:cs="Times New Roman"/>
          <w:szCs w:val="21"/>
        </w:rPr>
        <w:t>对于乙方在维保中的安全隐患，接监理或者甲方发出指令要求更改，而乙方拒不执行的，甲方有权勒令乙方停工整顿处理，由此而发生的一切经济损失均应由乙方承担。</w:t>
      </w:r>
    </w:p>
    <w:p w14:paraId="25D0A710">
      <w:pPr>
        <w:adjustRightInd w:val="0"/>
        <w:snapToGrid w:val="0"/>
        <w:spacing w:line="360" w:lineRule="auto"/>
        <w:ind w:right="360"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8.3</w:t>
      </w:r>
      <w:r>
        <w:rPr>
          <w:rFonts w:hint="eastAsia" w:ascii="Times New Roman" w:hAnsi="Times New Roman" w:eastAsia="宋体" w:cs="Times New Roman"/>
          <w:szCs w:val="21"/>
        </w:rPr>
        <w:t>乙方必须严格按有关维保现场管理规定执行，并接受甲方安全检查；对以上单位所签发隐患整改通知，乙方在指定的期限内立即整改完毕，逾期不改或整改不符合要求，甲方有权对乙方进行经济处罚。</w:t>
      </w:r>
    </w:p>
    <w:p w14:paraId="628988AF">
      <w:pPr>
        <w:adjustRightInd w:val="0"/>
        <w:snapToGrid w:val="0"/>
        <w:spacing w:line="360" w:lineRule="auto"/>
        <w:ind w:right="360"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8.4</w:t>
      </w:r>
      <w:r>
        <w:rPr>
          <w:rFonts w:hint="eastAsia" w:ascii="Times New Roman" w:hAnsi="Times New Roman" w:eastAsia="宋体" w:cs="Times New Roman"/>
          <w:szCs w:val="21"/>
        </w:rPr>
        <w:t>凡由于乙方管理及自身防范措施不力或乙方工人责任造成的安全事故、案件、火灾、交通事故（含维保现场内）等灾害事故，事故经济责任、事故法律责任及事故善后处理由乙方独自负责。</w:t>
      </w:r>
    </w:p>
    <w:p w14:paraId="7ADC6B51">
      <w:pPr>
        <w:adjustRightInd w:val="0"/>
        <w:snapToGrid w:val="0"/>
        <w:spacing w:line="360" w:lineRule="auto"/>
        <w:ind w:right="360"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8.5</w:t>
      </w:r>
      <w:r>
        <w:rPr>
          <w:rFonts w:hint="eastAsia" w:ascii="Times New Roman" w:hAnsi="Times New Roman" w:eastAsia="宋体" w:cs="Times New Roman"/>
          <w:szCs w:val="21"/>
        </w:rPr>
        <w:t>乙方负责管理好自己的工人，如工人出现违法乱纪行为，乙方负全部责任与甲方无关，造成的经济损失由乙方负责赔偿。</w:t>
      </w:r>
    </w:p>
    <w:p w14:paraId="1FAC1047">
      <w:pPr>
        <w:adjustRightInd w:val="0"/>
        <w:snapToGrid w:val="0"/>
        <w:spacing w:line="360" w:lineRule="auto"/>
        <w:ind w:right="360"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8.6</w:t>
      </w:r>
      <w:r>
        <w:rPr>
          <w:rFonts w:hint="eastAsia" w:ascii="Times New Roman" w:hAnsi="Times New Roman" w:eastAsia="宋体" w:cs="Times New Roman"/>
          <w:szCs w:val="21"/>
        </w:rPr>
        <w:t>乙方有责任教育工人严格执行操作规程，安全施工，防火防盗。在施工中发生的乙方管理不善造成的其他损失，均由乙方负责，乙方不得因此影响甲方的维保工作事宜。</w:t>
      </w:r>
    </w:p>
    <w:p w14:paraId="792755DA">
      <w:pPr>
        <w:adjustRightInd w:val="0"/>
        <w:snapToGrid w:val="0"/>
        <w:spacing w:line="360" w:lineRule="auto"/>
        <w:ind w:right="360"/>
        <w:rPr>
          <w:rFonts w:hint="eastAsia" w:ascii="Times New Roman" w:hAnsi="Times New Roman" w:eastAsia="宋体"/>
          <w:b/>
          <w:bCs/>
          <w:szCs w:val="21"/>
        </w:rPr>
      </w:pPr>
    </w:p>
    <w:p w14:paraId="1A8556AD">
      <w:pPr>
        <w:numPr>
          <w:ilvl w:val="0"/>
          <w:numId w:val="1"/>
        </w:numPr>
        <w:adjustRightInd w:val="0"/>
        <w:snapToGrid w:val="0"/>
        <w:spacing w:line="360" w:lineRule="auto"/>
        <w:ind w:right="360" w:firstLine="6"/>
        <w:rPr>
          <w:rFonts w:ascii="Times New Roman" w:hAnsi="Times New Roman" w:eastAsia="宋体"/>
          <w:b/>
          <w:bCs/>
          <w:sz w:val="24"/>
          <w:szCs w:val="21"/>
        </w:rPr>
      </w:pPr>
      <w:r>
        <w:rPr>
          <w:rFonts w:hint="eastAsia" w:ascii="Times New Roman" w:hAnsi="Times New Roman" w:eastAsia="宋体"/>
          <w:b/>
          <w:bCs/>
          <w:sz w:val="24"/>
          <w:szCs w:val="21"/>
        </w:rPr>
        <w:t>特别保证</w:t>
      </w:r>
    </w:p>
    <w:p w14:paraId="5ACD82E3">
      <w:pPr>
        <w:adjustRightInd w:val="0"/>
        <w:snapToGrid w:val="0"/>
        <w:spacing w:line="360" w:lineRule="auto"/>
        <w:ind w:right="360" w:firstLine="527" w:firstLineChars="250"/>
        <w:jc w:val="left"/>
        <w:rPr>
          <w:rFonts w:hint="eastAsia" w:ascii="Times New Roman" w:hAnsi="Times New Roman" w:eastAsia="宋体"/>
          <w:szCs w:val="21"/>
        </w:rPr>
      </w:pPr>
      <w:r>
        <w:rPr>
          <w:rFonts w:hint="eastAsia" w:ascii="Times New Roman" w:hAnsi="Times New Roman" w:eastAsia="宋体"/>
          <w:b/>
          <w:szCs w:val="21"/>
          <w:lang w:val="en-US" w:eastAsia="zh-CN"/>
        </w:rPr>
        <w:t>9.1</w:t>
      </w:r>
      <w:r>
        <w:rPr>
          <w:rFonts w:ascii="Times New Roman" w:hAnsi="Times New Roman" w:eastAsia="宋体"/>
          <w:szCs w:val="21"/>
        </w:rPr>
        <w:t>乙方同意遵守包括但不限于：反贿赂、反腐败、产品（或零部件、配件）所涉及</w:t>
      </w:r>
      <w:r>
        <w:rPr>
          <w:rFonts w:hint="eastAsia" w:ascii="Times New Roman" w:hAnsi="Times New Roman" w:eastAsia="宋体"/>
          <w:szCs w:val="21"/>
        </w:rPr>
        <w:t>的</w:t>
      </w:r>
      <w:r>
        <w:rPr>
          <w:rFonts w:ascii="Times New Roman" w:hAnsi="Times New Roman" w:eastAsia="宋体"/>
          <w:szCs w:val="21"/>
        </w:rPr>
        <w:t>海外反腐败法、出口管制、实体清单制裁等国际条约、国际惯例、外国法以及国内法律、法规、部门规章或者政策性规定，乙方所有产品和行为应当合法合规。</w:t>
      </w:r>
    </w:p>
    <w:p w14:paraId="206ADB02">
      <w:pPr>
        <w:adjustRightInd w:val="0"/>
        <w:snapToGrid w:val="0"/>
        <w:spacing w:line="360" w:lineRule="auto"/>
        <w:ind w:right="360" w:firstLine="422" w:firstLineChars="200"/>
        <w:jc w:val="left"/>
        <w:rPr>
          <w:rFonts w:ascii="Times New Roman" w:hAnsi="Times New Roman" w:eastAsia="宋体"/>
          <w:szCs w:val="21"/>
        </w:rPr>
      </w:pPr>
      <w:r>
        <w:rPr>
          <w:rFonts w:hint="eastAsia" w:ascii="Times New Roman" w:hAnsi="Times New Roman" w:eastAsia="宋体"/>
          <w:b/>
          <w:szCs w:val="21"/>
          <w:lang w:val="en-US" w:eastAsia="zh-CN"/>
        </w:rPr>
        <w:t>9.2</w:t>
      </w:r>
      <w:r>
        <w:rPr>
          <w:rFonts w:ascii="Times New Roman" w:hAnsi="Times New Roman" w:eastAsia="宋体"/>
          <w:szCs w:val="21"/>
        </w:rPr>
        <w:t>乙方明确确认其本身不是：（1）被识别为受限制方的实体；或（2）位于或总部或经营场所位于受限地区的实体。如果乙方出现前述任一情形，应于两日内书面通知甲方。</w:t>
      </w:r>
    </w:p>
    <w:p w14:paraId="4B07109D">
      <w:pPr>
        <w:adjustRightInd w:val="0"/>
        <w:snapToGrid w:val="0"/>
        <w:spacing w:line="360" w:lineRule="auto"/>
        <w:ind w:right="360" w:firstLine="422" w:firstLineChars="200"/>
        <w:jc w:val="left"/>
        <w:rPr>
          <w:rFonts w:ascii="Times New Roman" w:hAnsi="Times New Roman" w:eastAsia="宋体"/>
          <w:szCs w:val="21"/>
        </w:rPr>
      </w:pPr>
      <w:r>
        <w:rPr>
          <w:rFonts w:hint="eastAsia" w:ascii="Times New Roman" w:hAnsi="Times New Roman" w:eastAsia="宋体"/>
          <w:b/>
          <w:szCs w:val="21"/>
          <w:lang w:val="en-US" w:eastAsia="zh-CN"/>
        </w:rPr>
        <w:t>9.3</w:t>
      </w:r>
      <w:r>
        <w:rPr>
          <w:rFonts w:ascii="Times New Roman" w:hAnsi="Times New Roman" w:eastAsia="宋体"/>
          <w:szCs w:val="21"/>
        </w:rPr>
        <w:t>乙方进一步表示，其提供给甲方的产品、软件、服务及技术等并未受到限制，如果是需要获得相应许可才可提供给甲方的，乙方在与甲方签署合同或实际提供给甲方前（以时间较先的为准）已获得相应的许可或者书面同意。</w:t>
      </w:r>
    </w:p>
    <w:p w14:paraId="5446A0BC">
      <w:pPr>
        <w:adjustRightInd w:val="0"/>
        <w:snapToGrid w:val="0"/>
        <w:spacing w:line="360" w:lineRule="auto"/>
        <w:ind w:right="360" w:firstLine="316" w:firstLineChars="150"/>
        <w:jc w:val="left"/>
        <w:rPr>
          <w:rFonts w:ascii="Times New Roman" w:hAnsi="Times New Roman" w:eastAsia="宋体"/>
          <w:szCs w:val="21"/>
        </w:rPr>
      </w:pPr>
      <w:r>
        <w:rPr>
          <w:rFonts w:hint="eastAsia" w:ascii="Times New Roman" w:hAnsi="Times New Roman" w:eastAsia="宋体"/>
          <w:b/>
          <w:szCs w:val="21"/>
          <w:lang w:val="en-US" w:eastAsia="zh-CN"/>
        </w:rPr>
        <w:t>9.4</w:t>
      </w:r>
      <w:r>
        <w:rPr>
          <w:rFonts w:ascii="Times New Roman" w:hAnsi="Times New Roman" w:eastAsia="宋体"/>
          <w:szCs w:val="21"/>
        </w:rPr>
        <w:t>如乙方隐瞒或违反上述条款，甲方有权立即终止与乙方的所有合同，并不承担任何违约或赔偿责任，如因此给甲方造成损失的，乙方须进行双倍赔偿。</w:t>
      </w:r>
    </w:p>
    <w:p w14:paraId="7619C449">
      <w:pPr>
        <w:adjustRightInd w:val="0"/>
        <w:snapToGrid w:val="0"/>
        <w:spacing w:line="360" w:lineRule="auto"/>
        <w:ind w:left="426" w:right="360"/>
        <w:rPr>
          <w:rFonts w:hint="eastAsia" w:ascii="Times New Roman" w:hAnsi="Times New Roman" w:eastAsia="宋体"/>
          <w:b/>
          <w:bCs/>
          <w:sz w:val="24"/>
          <w:szCs w:val="21"/>
        </w:rPr>
      </w:pPr>
    </w:p>
    <w:p w14:paraId="250307B5">
      <w:pPr>
        <w:numPr>
          <w:ilvl w:val="0"/>
          <w:numId w:val="0"/>
        </w:numPr>
        <w:adjustRightInd w:val="0"/>
        <w:snapToGrid w:val="0"/>
        <w:spacing w:line="360" w:lineRule="auto"/>
        <w:ind w:left="426" w:leftChars="0" w:right="360" w:rightChars="0"/>
        <w:rPr>
          <w:rFonts w:hint="eastAsia" w:ascii="Times New Roman" w:hAnsi="Times New Roman" w:eastAsia="宋体"/>
          <w:b/>
          <w:bCs/>
          <w:sz w:val="24"/>
          <w:szCs w:val="21"/>
        </w:rPr>
      </w:pPr>
      <w:r>
        <w:rPr>
          <w:rFonts w:hint="eastAsia" w:ascii="Times New Roman" w:hAnsi="Times New Roman" w:eastAsia="宋体"/>
          <w:b/>
          <w:bCs/>
          <w:sz w:val="24"/>
          <w:szCs w:val="21"/>
          <w:lang w:eastAsia="zh-CN"/>
        </w:rPr>
        <w:t>第</w:t>
      </w:r>
      <w:r>
        <w:rPr>
          <w:rFonts w:hint="eastAsia" w:ascii="Times New Roman" w:hAnsi="Times New Roman" w:eastAsia="宋体"/>
          <w:b/>
          <w:bCs/>
          <w:sz w:val="24"/>
          <w:szCs w:val="21"/>
          <w:lang w:val="en-US" w:eastAsia="zh-CN"/>
        </w:rPr>
        <w:t xml:space="preserve">10条 </w:t>
      </w:r>
      <w:r>
        <w:rPr>
          <w:rFonts w:hint="eastAsia" w:ascii="Times New Roman" w:hAnsi="Times New Roman" w:eastAsia="宋体"/>
          <w:b/>
          <w:bCs/>
          <w:sz w:val="24"/>
          <w:szCs w:val="21"/>
        </w:rPr>
        <w:t>不可抗力</w:t>
      </w:r>
    </w:p>
    <w:p w14:paraId="0527E49D">
      <w:pPr>
        <w:adjustRightInd w:val="0"/>
        <w:snapToGrid w:val="0"/>
        <w:spacing w:line="360" w:lineRule="auto"/>
        <w:ind w:right="360" w:firstLine="316" w:firstLineChars="150"/>
        <w:rPr>
          <w:rFonts w:ascii="Times New Roman" w:hAnsi="Times New Roman" w:eastAsia="宋体"/>
          <w:bCs/>
          <w:szCs w:val="21"/>
        </w:rPr>
      </w:pPr>
      <w:r>
        <w:rPr>
          <w:rFonts w:hint="eastAsia" w:ascii="Times New Roman" w:hAnsi="Times New Roman" w:eastAsia="宋体"/>
          <w:b/>
          <w:bCs/>
          <w:szCs w:val="21"/>
          <w:lang w:val="en-US" w:eastAsia="zh-CN"/>
        </w:rPr>
        <w:t>10.1</w:t>
      </w:r>
      <w:r>
        <w:rPr>
          <w:rFonts w:ascii="Times New Roman" w:hAnsi="Times New Roman" w:eastAsia="宋体"/>
          <w:bCs/>
          <w:szCs w:val="21"/>
        </w:rPr>
        <w:t>本协议所称“不可抗力”是指不能预见、不能避免并不能克服的客观情况，包括但不限于：地震、台风等自然灾害，罢工、战争、暴乱、动乱等社会异常事件，征收、征用等政府行为，以及双方认可的不可抗力事件。双方在此确认，法律、法规、部门规章、规范性文件、政府命令/禁令的变更和执行以及国际贸易政策变化或者国家之间的贸易制裁等不属于不可抗力。</w:t>
      </w:r>
    </w:p>
    <w:p w14:paraId="72F863E3">
      <w:pPr>
        <w:adjustRightInd w:val="0"/>
        <w:snapToGrid w:val="0"/>
        <w:spacing w:line="360" w:lineRule="auto"/>
        <w:ind w:right="360" w:firstLine="316" w:firstLineChars="150"/>
        <w:rPr>
          <w:rFonts w:ascii="Times New Roman" w:hAnsi="Times New Roman" w:eastAsia="宋体"/>
          <w:bCs/>
          <w:szCs w:val="21"/>
        </w:rPr>
      </w:pPr>
      <w:r>
        <w:rPr>
          <w:rFonts w:hint="eastAsia" w:ascii="Times New Roman" w:hAnsi="Times New Roman" w:eastAsia="宋体"/>
          <w:b/>
          <w:bCs/>
          <w:szCs w:val="21"/>
          <w:lang w:val="en-US" w:eastAsia="zh-CN"/>
        </w:rPr>
        <w:t>10.2</w:t>
      </w:r>
      <w:r>
        <w:rPr>
          <w:rFonts w:ascii="Times New Roman" w:hAnsi="Times New Roman" w:eastAsia="宋体"/>
          <w:bCs/>
          <w:szCs w:val="21"/>
        </w:rPr>
        <w:t>本协议任何一方因不可抗力而不能或延迟履行本协议项下任何义务，受影响的一方应立即以可能的最为快捷的方式通知对方，并在不可抗力事件发生之日起十五（15）日内向对方出具能有效证明该不可抗力事件发生的文件。受影响的一方根据不可抗力事件的影响，可部分或全部免除责任，但应采取积极有效的措施以尽量减少因本协议不能或延迟履行而给对方造成的损失。当事人延迟履行后发生不可抗力事件的，不能免除责任。</w:t>
      </w:r>
    </w:p>
    <w:p w14:paraId="11B44A0F">
      <w:pPr>
        <w:adjustRightInd w:val="0"/>
        <w:snapToGrid w:val="0"/>
        <w:spacing w:line="360" w:lineRule="auto"/>
        <w:ind w:right="360" w:firstLine="316" w:firstLineChars="150"/>
        <w:rPr>
          <w:rFonts w:hint="eastAsia" w:ascii="Times New Roman" w:hAnsi="Times New Roman" w:eastAsia="宋体"/>
          <w:b/>
          <w:bCs/>
          <w:sz w:val="24"/>
          <w:szCs w:val="21"/>
        </w:rPr>
      </w:pPr>
      <w:r>
        <w:rPr>
          <w:rFonts w:hint="eastAsia" w:ascii="Times New Roman" w:hAnsi="Times New Roman" w:eastAsia="宋体"/>
          <w:b/>
          <w:bCs/>
          <w:szCs w:val="21"/>
          <w:lang w:val="en-US" w:eastAsia="zh-CN"/>
        </w:rPr>
        <w:t>10.3</w:t>
      </w:r>
      <w:r>
        <w:rPr>
          <w:rFonts w:ascii="Times New Roman" w:hAnsi="Times New Roman" w:eastAsia="宋体"/>
          <w:bCs/>
          <w:szCs w:val="21"/>
        </w:rPr>
        <w:t>不可抗力事件发生后，本协议双方应根据不可抗力的影响尽快协商继续履行、变更履行或终止本协议。</w:t>
      </w:r>
    </w:p>
    <w:p w14:paraId="1C9DCD60">
      <w:pPr>
        <w:numPr>
          <w:ilvl w:val="0"/>
          <w:numId w:val="0"/>
        </w:numPr>
        <w:adjustRightInd w:val="0"/>
        <w:snapToGrid w:val="0"/>
        <w:spacing w:line="360" w:lineRule="auto"/>
        <w:ind w:left="426" w:leftChars="0" w:right="360" w:rightChars="0"/>
        <w:rPr>
          <w:rFonts w:hint="eastAsia" w:ascii="Times New Roman" w:hAnsi="Times New Roman" w:eastAsia="宋体"/>
          <w:b/>
          <w:bCs/>
          <w:sz w:val="24"/>
          <w:szCs w:val="21"/>
        </w:rPr>
      </w:pPr>
      <w:r>
        <w:rPr>
          <w:rFonts w:hint="eastAsia" w:ascii="Times New Roman" w:hAnsi="Times New Roman" w:eastAsia="宋体"/>
          <w:b/>
          <w:bCs/>
          <w:sz w:val="24"/>
          <w:szCs w:val="21"/>
          <w:lang w:eastAsia="zh-CN"/>
        </w:rPr>
        <w:t>第</w:t>
      </w:r>
      <w:r>
        <w:rPr>
          <w:rFonts w:hint="eastAsia" w:ascii="Times New Roman" w:hAnsi="Times New Roman" w:eastAsia="宋体"/>
          <w:b/>
          <w:bCs/>
          <w:sz w:val="24"/>
          <w:szCs w:val="21"/>
          <w:lang w:val="en-US" w:eastAsia="zh-CN"/>
        </w:rPr>
        <w:t xml:space="preserve">11条 </w:t>
      </w:r>
      <w:r>
        <w:rPr>
          <w:rFonts w:hint="eastAsia" w:ascii="Times New Roman" w:hAnsi="Times New Roman" w:eastAsia="宋体"/>
          <w:b/>
          <w:bCs/>
          <w:sz w:val="24"/>
          <w:szCs w:val="21"/>
        </w:rPr>
        <w:t>违约责任</w:t>
      </w:r>
    </w:p>
    <w:p w14:paraId="0A7AFB27">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bCs/>
          <w:szCs w:val="21"/>
          <w:lang w:val="en-US" w:eastAsia="zh-CN"/>
        </w:rPr>
        <w:t>11.1</w:t>
      </w:r>
      <w:r>
        <w:rPr>
          <w:rFonts w:hint="eastAsia" w:ascii="Times New Roman" w:hAnsi="Times New Roman" w:eastAsia="宋体"/>
          <w:szCs w:val="21"/>
        </w:rPr>
        <w:t>乙方逾期提供服务时，每逾期一日，应按逾期提供服务总金额的</w:t>
      </w:r>
      <w:r>
        <w:rPr>
          <w:rFonts w:hint="eastAsia" w:ascii="Times New Roman" w:hAnsi="Times New Roman" w:eastAsia="宋体"/>
          <w:szCs w:val="21"/>
          <w:u w:val="single"/>
        </w:rPr>
        <w:t>0.1</w:t>
      </w:r>
      <w:r>
        <w:rPr>
          <w:rFonts w:hint="eastAsia" w:ascii="Times New Roman" w:hAnsi="Times New Roman" w:eastAsia="宋体"/>
          <w:szCs w:val="21"/>
        </w:rPr>
        <w:t>%向甲方支付违约金。逾期提供服务累计超过</w:t>
      </w:r>
      <w:r>
        <w:rPr>
          <w:rFonts w:hint="eastAsia" w:ascii="Times New Roman" w:hAnsi="Times New Roman" w:eastAsia="宋体"/>
          <w:szCs w:val="21"/>
          <w:u w:val="single"/>
        </w:rPr>
        <w:t>30</w:t>
      </w:r>
      <w:r>
        <w:rPr>
          <w:rFonts w:hint="eastAsia" w:ascii="Times New Roman" w:hAnsi="Times New Roman" w:eastAsia="宋体"/>
          <w:szCs w:val="21"/>
        </w:rPr>
        <w:t>日，甲方有权直接解除合同，解除合同的通知送达乙方后生效，甲方也可要求乙方承担违约责任后继续履行合同。若甲方要求解除合同，乙方应退还已收取的款项，并向甲方支付合同总服务费用的</w:t>
      </w:r>
      <w:r>
        <w:rPr>
          <w:rFonts w:hint="eastAsia" w:ascii="Times New Roman" w:hAnsi="Times New Roman" w:eastAsia="宋体"/>
          <w:szCs w:val="21"/>
          <w:u w:val="single"/>
        </w:rPr>
        <w:t>10</w:t>
      </w:r>
      <w:r>
        <w:rPr>
          <w:rFonts w:hint="eastAsia" w:ascii="Times New Roman" w:hAnsi="Times New Roman" w:eastAsia="宋体"/>
          <w:szCs w:val="21"/>
        </w:rPr>
        <w:t>%作为违约金，违约金不足以弥补给甲方造成的损失，乙方还应当继续承担赔偿责任。</w:t>
      </w:r>
    </w:p>
    <w:p w14:paraId="0218B9E5">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szCs w:val="21"/>
          <w:lang w:val="en-US" w:eastAsia="zh-CN"/>
        </w:rPr>
        <w:t>11.2</w:t>
      </w:r>
      <w:r>
        <w:rPr>
          <w:rFonts w:hint="eastAsia" w:ascii="Times New Roman" w:hAnsi="Times New Roman" w:eastAsia="宋体"/>
          <w:szCs w:val="21"/>
        </w:rPr>
        <w:t>乙方提供</w:t>
      </w:r>
      <w:r>
        <w:rPr>
          <w:rFonts w:ascii="Times New Roman" w:hAnsi="Times New Roman" w:eastAsia="宋体"/>
          <w:szCs w:val="21"/>
        </w:rPr>
        <w:t>的服务不符合本合同约定的，</w:t>
      </w:r>
      <w:r>
        <w:rPr>
          <w:rFonts w:hint="eastAsia" w:ascii="Times New Roman" w:hAnsi="Times New Roman" w:eastAsia="宋体"/>
          <w:szCs w:val="21"/>
        </w:rPr>
        <w:t>乙方</w:t>
      </w:r>
      <w:r>
        <w:rPr>
          <w:rFonts w:ascii="Times New Roman" w:hAnsi="Times New Roman" w:eastAsia="宋体"/>
          <w:szCs w:val="21"/>
        </w:rPr>
        <w:t>应根据甲方</w:t>
      </w:r>
      <w:r>
        <w:rPr>
          <w:rFonts w:hint="eastAsia" w:ascii="Times New Roman" w:hAnsi="Times New Roman" w:eastAsia="宋体"/>
          <w:szCs w:val="21"/>
        </w:rPr>
        <w:t>的</w:t>
      </w:r>
      <w:r>
        <w:rPr>
          <w:rFonts w:ascii="Times New Roman" w:hAnsi="Times New Roman" w:eastAsia="宋体"/>
          <w:szCs w:val="21"/>
        </w:rPr>
        <w:t>要求和期限进行整改，</w:t>
      </w:r>
      <w:r>
        <w:rPr>
          <w:rFonts w:hint="eastAsia" w:ascii="Times New Roman" w:hAnsi="Times New Roman" w:eastAsia="宋体"/>
          <w:szCs w:val="21"/>
        </w:rPr>
        <w:t>逾期</w:t>
      </w:r>
      <w:r>
        <w:rPr>
          <w:rFonts w:ascii="Times New Roman" w:hAnsi="Times New Roman" w:eastAsia="宋体"/>
          <w:szCs w:val="21"/>
        </w:rPr>
        <w:t>完成整改的，</w:t>
      </w:r>
      <w:r>
        <w:rPr>
          <w:rFonts w:hint="eastAsia" w:ascii="Times New Roman" w:hAnsi="Times New Roman" w:eastAsia="宋体"/>
          <w:szCs w:val="21"/>
        </w:rPr>
        <w:t>乙方按照10.1条</w:t>
      </w:r>
      <w:r>
        <w:rPr>
          <w:rFonts w:ascii="Times New Roman" w:hAnsi="Times New Roman" w:eastAsia="宋体"/>
          <w:szCs w:val="21"/>
        </w:rPr>
        <w:t>的约定承担违约责任</w:t>
      </w:r>
      <w:r>
        <w:rPr>
          <w:rFonts w:hint="eastAsia" w:ascii="Times New Roman" w:hAnsi="Times New Roman" w:eastAsia="宋体"/>
          <w:szCs w:val="21"/>
        </w:rPr>
        <w:t>。乙方</w:t>
      </w:r>
      <w:r>
        <w:rPr>
          <w:rFonts w:ascii="Times New Roman" w:hAnsi="Times New Roman" w:eastAsia="宋体"/>
          <w:szCs w:val="21"/>
        </w:rPr>
        <w:t>的服务</w:t>
      </w:r>
      <w:r>
        <w:rPr>
          <w:rFonts w:hint="eastAsia" w:ascii="Times New Roman" w:hAnsi="Times New Roman" w:eastAsia="宋体"/>
          <w:szCs w:val="21"/>
        </w:rPr>
        <w:t>经</w:t>
      </w:r>
      <w:r>
        <w:rPr>
          <w:rFonts w:ascii="Times New Roman" w:hAnsi="Times New Roman" w:eastAsia="宋体"/>
          <w:szCs w:val="21"/>
        </w:rPr>
        <w:t>整改</w:t>
      </w:r>
      <w:r>
        <w:rPr>
          <w:rFonts w:hint="eastAsia" w:ascii="Times New Roman" w:hAnsi="Times New Roman" w:eastAsia="宋体"/>
          <w:szCs w:val="21"/>
        </w:rPr>
        <w:t>2次</w:t>
      </w:r>
      <w:r>
        <w:rPr>
          <w:rFonts w:ascii="Times New Roman" w:hAnsi="Times New Roman" w:eastAsia="宋体"/>
          <w:szCs w:val="21"/>
        </w:rPr>
        <w:t>后仍不能满足</w:t>
      </w:r>
      <w:r>
        <w:rPr>
          <w:rFonts w:hint="eastAsia" w:ascii="Times New Roman" w:hAnsi="Times New Roman" w:eastAsia="宋体"/>
          <w:szCs w:val="21"/>
        </w:rPr>
        <w:t>甲方</w:t>
      </w:r>
      <w:r>
        <w:rPr>
          <w:rFonts w:ascii="Times New Roman" w:hAnsi="Times New Roman" w:eastAsia="宋体"/>
          <w:szCs w:val="21"/>
        </w:rPr>
        <w:t>要求的，甲方有权解除合同</w:t>
      </w:r>
      <w:r>
        <w:rPr>
          <w:rFonts w:hint="eastAsia" w:ascii="Times New Roman" w:hAnsi="Times New Roman" w:eastAsia="宋体"/>
          <w:szCs w:val="21"/>
        </w:rPr>
        <w:t>，乙方应退还已收取的款项，并向甲方支付合同总服务费用的</w:t>
      </w:r>
      <w:r>
        <w:rPr>
          <w:rFonts w:ascii="Times New Roman" w:hAnsi="Times New Roman" w:eastAsia="宋体"/>
          <w:szCs w:val="21"/>
        </w:rPr>
        <w:t>10%作为违约金，违约金不足以弥补给甲方造成的损失，乙方还应当继续承担赔偿责任。</w:t>
      </w:r>
      <w:r>
        <w:rPr>
          <w:rFonts w:hint="eastAsia" w:ascii="Times New Roman" w:hAnsi="Times New Roman" w:eastAsia="宋体"/>
          <w:szCs w:val="21"/>
        </w:rPr>
        <w:t xml:space="preserve"> </w:t>
      </w:r>
    </w:p>
    <w:p w14:paraId="51583D3E">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szCs w:val="21"/>
          <w:lang w:val="en-US" w:eastAsia="zh-CN"/>
        </w:rPr>
        <w:t>11.3</w:t>
      </w:r>
      <w:r>
        <w:rPr>
          <w:rFonts w:hint="eastAsia" w:ascii="Times New Roman" w:hAnsi="Times New Roman" w:eastAsia="宋体"/>
          <w:szCs w:val="21"/>
        </w:rPr>
        <w:t>守约方为追究违约方违约责任所花费的律师费、诉讼费、调查费、鉴定费、公证费、保全费、评估费等实际发生的合理费用均由违约方承担。</w:t>
      </w:r>
    </w:p>
    <w:p w14:paraId="1D4602C9">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szCs w:val="21"/>
          <w:lang w:val="en-US" w:eastAsia="zh-CN"/>
        </w:rPr>
        <w:t>11.4</w:t>
      </w:r>
      <w:r>
        <w:rPr>
          <w:rFonts w:hint="eastAsia" w:ascii="Times New Roman" w:hAnsi="Times New Roman" w:eastAsia="宋体"/>
          <w:szCs w:val="21"/>
        </w:rPr>
        <w:t>对乙方根据本合同约定应承担的赔偿金、补偿金等，甲方有权从任何应支付但尚未支付给乙方的款项中直接抵扣。</w:t>
      </w:r>
    </w:p>
    <w:p w14:paraId="6F699898">
      <w:pPr>
        <w:adjustRightInd w:val="0"/>
        <w:snapToGrid w:val="0"/>
        <w:spacing w:line="360" w:lineRule="auto"/>
        <w:ind w:right="360" w:firstLine="422" w:firstLineChars="200"/>
        <w:rPr>
          <w:rFonts w:hint="eastAsia" w:ascii="Times New Roman" w:hAnsi="Times New Roman" w:eastAsia="宋体"/>
          <w:b/>
          <w:szCs w:val="21"/>
        </w:rPr>
      </w:pPr>
    </w:p>
    <w:p w14:paraId="283295EA">
      <w:pPr>
        <w:numPr>
          <w:ilvl w:val="0"/>
          <w:numId w:val="0"/>
        </w:numPr>
        <w:adjustRightInd w:val="0"/>
        <w:snapToGrid w:val="0"/>
        <w:spacing w:line="360" w:lineRule="auto"/>
        <w:ind w:left="426" w:leftChars="0" w:right="360" w:rightChars="0"/>
        <w:rPr>
          <w:rFonts w:ascii="Times New Roman" w:hAnsi="Times New Roman" w:eastAsia="宋体"/>
          <w:b/>
          <w:bCs/>
          <w:sz w:val="24"/>
          <w:szCs w:val="21"/>
        </w:rPr>
      </w:pPr>
      <w:r>
        <w:rPr>
          <w:rFonts w:hint="eastAsia" w:ascii="Times New Roman" w:hAnsi="Times New Roman" w:eastAsia="宋体"/>
          <w:b/>
          <w:bCs/>
          <w:sz w:val="24"/>
          <w:szCs w:val="21"/>
          <w:lang w:eastAsia="zh-CN"/>
        </w:rPr>
        <w:t>第</w:t>
      </w:r>
      <w:r>
        <w:rPr>
          <w:rFonts w:hint="eastAsia" w:ascii="Times New Roman" w:hAnsi="Times New Roman" w:eastAsia="宋体"/>
          <w:b/>
          <w:bCs/>
          <w:sz w:val="24"/>
          <w:szCs w:val="21"/>
          <w:lang w:val="en-US" w:eastAsia="zh-CN"/>
        </w:rPr>
        <w:t xml:space="preserve">12条 </w:t>
      </w:r>
      <w:r>
        <w:rPr>
          <w:rFonts w:hint="eastAsia" w:ascii="Times New Roman" w:hAnsi="Times New Roman" w:eastAsia="宋体"/>
          <w:b/>
          <w:bCs/>
          <w:sz w:val="24"/>
          <w:szCs w:val="21"/>
        </w:rPr>
        <w:t>争议</w:t>
      </w:r>
      <w:r>
        <w:rPr>
          <w:rFonts w:ascii="Times New Roman" w:hAnsi="Times New Roman" w:eastAsia="宋体"/>
          <w:b/>
          <w:bCs/>
          <w:sz w:val="24"/>
          <w:szCs w:val="21"/>
        </w:rPr>
        <w:t>解决方式</w:t>
      </w:r>
    </w:p>
    <w:p w14:paraId="4C2EAD15">
      <w:pPr>
        <w:tabs>
          <w:tab w:val="left" w:pos="851"/>
        </w:tabs>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bCs/>
          <w:szCs w:val="21"/>
          <w:lang w:val="en-US" w:eastAsia="zh-CN"/>
        </w:rPr>
        <w:t>12.1</w:t>
      </w:r>
      <w:r>
        <w:rPr>
          <w:rFonts w:hint="eastAsia" w:ascii="Times New Roman" w:hAnsi="Times New Roman" w:eastAsia="宋体"/>
          <w:szCs w:val="21"/>
        </w:rPr>
        <w:t>本合同履行过程中所发生的争议，双方友好协商解决，若协商不成，双方同意向甲方所在地有管辖权的法院提起诉讼解决。</w:t>
      </w:r>
    </w:p>
    <w:p w14:paraId="3F0ACDD4">
      <w:pPr>
        <w:adjustRightInd w:val="0"/>
        <w:snapToGrid w:val="0"/>
        <w:spacing w:line="360" w:lineRule="auto"/>
        <w:ind w:left="420" w:right="360" w:firstLine="420" w:firstLineChars="200"/>
        <w:rPr>
          <w:rFonts w:hint="eastAsia" w:ascii="Times New Roman" w:hAnsi="Times New Roman" w:eastAsia="宋体"/>
          <w:szCs w:val="21"/>
        </w:rPr>
      </w:pPr>
    </w:p>
    <w:p w14:paraId="6BCDE633">
      <w:pPr>
        <w:numPr>
          <w:ilvl w:val="0"/>
          <w:numId w:val="0"/>
        </w:numPr>
        <w:adjustRightInd w:val="0"/>
        <w:snapToGrid w:val="0"/>
        <w:spacing w:line="360" w:lineRule="auto"/>
        <w:ind w:left="426" w:leftChars="0" w:right="360" w:rightChars="0"/>
        <w:rPr>
          <w:rFonts w:hint="eastAsia" w:ascii="Times New Roman" w:hAnsi="Times New Roman" w:eastAsia="宋体"/>
          <w:b/>
          <w:bCs/>
          <w:sz w:val="24"/>
          <w:szCs w:val="21"/>
        </w:rPr>
      </w:pPr>
      <w:r>
        <w:rPr>
          <w:rFonts w:hint="eastAsia" w:ascii="Times New Roman" w:hAnsi="Times New Roman" w:eastAsia="宋体"/>
          <w:b/>
          <w:bCs/>
          <w:sz w:val="24"/>
          <w:szCs w:val="21"/>
          <w:lang w:eastAsia="zh-CN"/>
        </w:rPr>
        <w:t>第</w:t>
      </w:r>
      <w:r>
        <w:rPr>
          <w:rFonts w:hint="eastAsia" w:ascii="Times New Roman" w:hAnsi="Times New Roman" w:eastAsia="宋体"/>
          <w:b/>
          <w:bCs/>
          <w:sz w:val="24"/>
          <w:szCs w:val="21"/>
          <w:lang w:val="en-US" w:eastAsia="zh-CN"/>
        </w:rPr>
        <w:t xml:space="preserve">13条 </w:t>
      </w:r>
      <w:r>
        <w:rPr>
          <w:rFonts w:hint="eastAsia" w:ascii="Times New Roman" w:hAnsi="Times New Roman" w:eastAsia="宋体"/>
          <w:b/>
          <w:bCs/>
          <w:sz w:val="24"/>
          <w:szCs w:val="21"/>
        </w:rPr>
        <w:t>其他约定</w:t>
      </w:r>
    </w:p>
    <w:p w14:paraId="3498FDC4">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bCs/>
          <w:szCs w:val="21"/>
          <w:lang w:val="en-US" w:eastAsia="zh-CN"/>
        </w:rPr>
        <w:t>13.1</w:t>
      </w:r>
      <w:r>
        <w:rPr>
          <w:rFonts w:hint="eastAsia" w:ascii="Times New Roman" w:hAnsi="Times New Roman" w:eastAsia="宋体"/>
          <w:szCs w:val="21"/>
        </w:rPr>
        <w:t>本合同一式</w:t>
      </w:r>
      <w:r>
        <w:rPr>
          <w:rFonts w:hint="eastAsia" w:ascii="Times New Roman" w:hAnsi="Times New Roman" w:eastAsia="宋体"/>
          <w:szCs w:val="21"/>
          <w:u w:val="single"/>
          <w:lang w:val="en-US" w:eastAsia="zh-CN"/>
        </w:rPr>
        <w:t>肆</w:t>
      </w:r>
      <w:r>
        <w:rPr>
          <w:rFonts w:hint="eastAsia" w:ascii="Times New Roman" w:hAnsi="Times New Roman" w:eastAsia="宋体"/>
          <w:szCs w:val="21"/>
        </w:rPr>
        <w:t>份，</w:t>
      </w:r>
      <w:r>
        <w:rPr>
          <w:rFonts w:hint="eastAsia" w:ascii="Times New Roman" w:hAnsi="Times New Roman" w:eastAsia="宋体"/>
          <w:szCs w:val="21"/>
          <w:lang w:val="en-US" w:eastAsia="zh-CN"/>
        </w:rPr>
        <w:t>甲方执</w:t>
      </w:r>
      <w:r>
        <w:rPr>
          <w:rFonts w:hint="eastAsia" w:ascii="Times New Roman" w:hAnsi="Times New Roman" w:eastAsia="宋体"/>
          <w:szCs w:val="21"/>
          <w:u w:val="single"/>
          <w:lang w:val="en-US" w:eastAsia="zh-CN"/>
        </w:rPr>
        <w:t>贰</w:t>
      </w:r>
      <w:r>
        <w:rPr>
          <w:rFonts w:hint="eastAsia" w:ascii="Times New Roman" w:hAnsi="Times New Roman" w:eastAsia="宋体"/>
          <w:szCs w:val="21"/>
          <w:lang w:val="en-US" w:eastAsia="zh-CN"/>
        </w:rPr>
        <w:t>份，乙方执</w:t>
      </w:r>
      <w:r>
        <w:rPr>
          <w:rFonts w:hint="eastAsia" w:ascii="Times New Roman" w:hAnsi="Times New Roman" w:eastAsia="宋体"/>
          <w:szCs w:val="21"/>
          <w:u w:val="single"/>
          <w:lang w:val="en-US" w:eastAsia="zh-CN"/>
        </w:rPr>
        <w:t>贰</w:t>
      </w:r>
      <w:r>
        <w:rPr>
          <w:rFonts w:hint="eastAsia" w:ascii="Times New Roman" w:hAnsi="Times New Roman" w:eastAsia="宋体"/>
          <w:szCs w:val="21"/>
          <w:lang w:val="en-US" w:eastAsia="zh-CN"/>
        </w:rPr>
        <w:t>份</w:t>
      </w:r>
      <w:r>
        <w:rPr>
          <w:rFonts w:hint="eastAsia" w:ascii="Times New Roman" w:hAnsi="Times New Roman" w:eastAsia="宋体"/>
          <w:szCs w:val="21"/>
        </w:rPr>
        <w:t>，经甲乙双方盖章后立即生效。</w:t>
      </w:r>
    </w:p>
    <w:p w14:paraId="591A4961">
      <w:pPr>
        <w:adjustRightInd w:val="0"/>
        <w:snapToGrid w:val="0"/>
        <w:spacing w:line="360" w:lineRule="auto"/>
        <w:ind w:right="360" w:firstLine="422" w:firstLineChars="200"/>
        <w:rPr>
          <w:rFonts w:ascii="Times New Roman" w:hAnsi="Times New Roman" w:eastAsia="宋体"/>
          <w:szCs w:val="21"/>
        </w:rPr>
      </w:pPr>
      <w:r>
        <w:rPr>
          <w:rFonts w:hint="eastAsia" w:ascii="Times New Roman" w:hAnsi="Times New Roman" w:eastAsia="宋体"/>
          <w:b/>
          <w:szCs w:val="21"/>
          <w:lang w:val="en-US" w:eastAsia="zh-CN"/>
        </w:rPr>
        <w:t>13.2</w:t>
      </w:r>
      <w:r>
        <w:rPr>
          <w:rFonts w:hint="eastAsia" w:ascii="Times New Roman" w:hAnsi="Times New Roman" w:eastAsia="宋体"/>
          <w:szCs w:val="21"/>
        </w:rPr>
        <w:t>本合同未尽事宜由双方协商后对本合同进行修改或补充，修改或补充条款与本合同具有同等法律效力。</w:t>
      </w:r>
    </w:p>
    <w:p w14:paraId="094E593C">
      <w:pPr>
        <w:adjustRightInd w:val="0"/>
        <w:snapToGrid w:val="0"/>
        <w:spacing w:line="360" w:lineRule="auto"/>
        <w:ind w:right="360" w:firstLine="422" w:firstLineChars="200"/>
        <w:rPr>
          <w:rFonts w:hint="eastAsia" w:ascii="Times New Roman" w:hAnsi="Times New Roman" w:eastAsia="宋体"/>
          <w:szCs w:val="21"/>
        </w:rPr>
      </w:pPr>
      <w:r>
        <w:rPr>
          <w:rFonts w:hint="eastAsia" w:ascii="Times New Roman" w:hAnsi="Times New Roman" w:eastAsia="宋体"/>
          <w:b/>
          <w:szCs w:val="21"/>
          <w:lang w:val="en-US" w:eastAsia="zh-CN"/>
        </w:rPr>
        <w:t>13.3</w:t>
      </w:r>
      <w:r>
        <w:rPr>
          <w:rFonts w:hint="eastAsia" w:ascii="Times New Roman" w:hAnsi="Times New Roman" w:eastAsia="宋体"/>
          <w:szCs w:val="21"/>
        </w:rPr>
        <w:t>文书送达地址确认条款</w:t>
      </w:r>
    </w:p>
    <w:p w14:paraId="113FC57B">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rPr>
        <w:t xml:space="preserve"> （1）甲乙双方在此确认，本合同中双方各自填写的住所地址是双方指定接收各类法律文书、往来函件、通知的唯一邮寄地址，双方承诺上述住所地址信息均是真实、准确、完整的；</w:t>
      </w:r>
    </w:p>
    <w:p w14:paraId="0B058B04">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rPr>
        <w:t xml:space="preserve"> （2）如果上述邮寄地址发生变更，甲乙双方应当在变更后的三天内及时书面通知对方新的邮寄地址，如果未及时通知对方，未收到变更通知的一方按照原地址向对方送达各类法律文书、往来函件、通知，仍视为有效送达。</w:t>
      </w:r>
    </w:p>
    <w:p w14:paraId="663E0066">
      <w:pPr>
        <w:adjustRightInd w:val="0"/>
        <w:snapToGrid w:val="0"/>
        <w:spacing w:line="360" w:lineRule="auto"/>
        <w:ind w:right="360" w:firstLine="420" w:firstLineChars="200"/>
        <w:rPr>
          <w:rFonts w:hint="eastAsia" w:ascii="Times New Roman" w:hAnsi="Times New Roman" w:eastAsia="宋体"/>
          <w:szCs w:val="21"/>
        </w:rPr>
      </w:pPr>
      <w:r>
        <w:rPr>
          <w:rFonts w:hint="eastAsia" w:ascii="Times New Roman" w:hAnsi="Times New Roman" w:eastAsia="宋体"/>
          <w:szCs w:val="21"/>
        </w:rPr>
        <w:t xml:space="preserve"> （3）甲乙双方按照指定的邮寄地址邮寄各类法律文书、函件、通知被退回的，文书、函件、通知被退回之日视为送达之日。</w:t>
      </w:r>
    </w:p>
    <w:p w14:paraId="35E716CE">
      <w:pPr>
        <w:adjustRightInd w:val="0"/>
        <w:snapToGrid w:val="0"/>
        <w:spacing w:line="360" w:lineRule="auto"/>
        <w:ind w:right="360" w:firstLine="422" w:firstLineChars="200"/>
        <w:jc w:val="center"/>
        <w:rPr>
          <w:rFonts w:ascii="Times New Roman" w:hAnsi="Times New Roman" w:eastAsia="宋体" w:cs="Arial"/>
          <w:b/>
          <w:bCs/>
          <w:szCs w:val="21"/>
        </w:rPr>
      </w:pPr>
      <w:r>
        <w:rPr>
          <w:rFonts w:hint="eastAsia" w:ascii="Times New Roman" w:hAnsi="Times New Roman" w:eastAsia="宋体" w:cs="Arial"/>
          <w:b/>
          <w:bCs/>
          <w:szCs w:val="21"/>
        </w:rPr>
        <w:t>（本行以下无正文</w:t>
      </w:r>
      <w:r>
        <w:rPr>
          <w:rFonts w:hint="eastAsia" w:ascii="Times New Roman" w:hAnsi="Times New Roman" w:eastAsia="宋体" w:cs="Arial"/>
          <w:b/>
          <w:bCs/>
          <w:szCs w:val="21"/>
          <w:lang w:eastAsia="zh-CN"/>
        </w:rPr>
        <w:t>，以下为签署页</w:t>
      </w:r>
      <w:r>
        <w:rPr>
          <w:rFonts w:hint="eastAsia" w:ascii="Times New Roman" w:hAnsi="Times New Roman" w:eastAsia="宋体" w:cs="Arial"/>
          <w:b/>
          <w:bCs/>
          <w:szCs w:val="21"/>
        </w:rPr>
        <w:t>）</w:t>
      </w:r>
    </w:p>
    <w:p w14:paraId="7A20F74B">
      <w:pPr>
        <w:spacing w:line="360" w:lineRule="auto"/>
        <w:ind w:firstLine="470" w:firstLineChars="196"/>
        <w:jc w:val="left"/>
        <w:rPr>
          <w:rFonts w:hint="eastAsia" w:ascii="仿宋" w:hAnsi="仿宋" w:eastAsia="仿宋" w:cs="Times New Roman"/>
          <w:bCs/>
          <w:color w:val="000000"/>
          <w:sz w:val="24"/>
          <w:szCs w:val="24"/>
          <w:u w:val="single"/>
        </w:rPr>
      </w:pPr>
    </w:p>
    <w:tbl>
      <w:tblPr>
        <w:tblStyle w:val="6"/>
        <w:tblW w:w="0" w:type="auto"/>
        <w:tblInd w:w="0" w:type="dxa"/>
        <w:tblLayout w:type="autofit"/>
        <w:tblCellMar>
          <w:top w:w="0" w:type="dxa"/>
          <w:left w:w="108" w:type="dxa"/>
          <w:bottom w:w="0" w:type="dxa"/>
          <w:right w:w="108" w:type="dxa"/>
        </w:tblCellMar>
      </w:tblPr>
      <w:tblGrid>
        <w:gridCol w:w="4261"/>
        <w:gridCol w:w="4261"/>
      </w:tblGrid>
      <w:tr w14:paraId="5121743A">
        <w:tblPrEx>
          <w:tblCellMar>
            <w:top w:w="0" w:type="dxa"/>
            <w:left w:w="108" w:type="dxa"/>
            <w:bottom w:w="0" w:type="dxa"/>
            <w:right w:w="108" w:type="dxa"/>
          </w:tblCellMar>
        </w:tblPrEx>
        <w:trPr>
          <w:trHeight w:val="915" w:hRule="atLeast"/>
        </w:trPr>
        <w:tc>
          <w:tcPr>
            <w:tcW w:w="4261" w:type="dxa"/>
          </w:tcPr>
          <w:p w14:paraId="3162B58B">
            <w:pPr>
              <w:tabs>
                <w:tab w:val="left" w:pos="900"/>
              </w:tabs>
              <w:spacing w:line="6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发包人名称：广东省消防救援总队</w:t>
            </w:r>
          </w:p>
        </w:tc>
        <w:tc>
          <w:tcPr>
            <w:tcW w:w="4261" w:type="dxa"/>
          </w:tcPr>
          <w:p w14:paraId="000A2C03">
            <w:pPr>
              <w:tabs>
                <w:tab w:val="left" w:pos="900"/>
              </w:tabs>
              <w:spacing w:line="600" w:lineRule="exact"/>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承包人</w:t>
            </w:r>
            <w:r>
              <w:rPr>
                <w:rFonts w:hint="eastAsia" w:ascii="仿宋" w:hAnsi="仿宋" w:eastAsia="仿宋" w:cs="Times New Roman"/>
                <w:color w:val="000000"/>
                <w:sz w:val="24"/>
                <w:szCs w:val="24"/>
              </w:rPr>
              <w:t xml:space="preserve">名称： </w:t>
            </w:r>
          </w:p>
        </w:tc>
      </w:tr>
      <w:tr w14:paraId="7CE2EDDC">
        <w:tblPrEx>
          <w:tblCellMar>
            <w:top w:w="0" w:type="dxa"/>
            <w:left w:w="108" w:type="dxa"/>
            <w:bottom w:w="0" w:type="dxa"/>
            <w:right w:w="108" w:type="dxa"/>
          </w:tblCellMar>
        </w:tblPrEx>
        <w:trPr>
          <w:trHeight w:val="737" w:hRule="atLeast"/>
        </w:trPr>
        <w:tc>
          <w:tcPr>
            <w:tcW w:w="4261" w:type="dxa"/>
          </w:tcPr>
          <w:p w14:paraId="79DE5178">
            <w:pPr>
              <w:tabs>
                <w:tab w:val="left" w:pos="900"/>
              </w:tabs>
              <w:spacing w:line="60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（盖章）</w:t>
            </w:r>
          </w:p>
        </w:tc>
        <w:tc>
          <w:tcPr>
            <w:tcW w:w="4261" w:type="dxa"/>
          </w:tcPr>
          <w:p w14:paraId="221B40AE">
            <w:pPr>
              <w:tabs>
                <w:tab w:val="left" w:pos="900"/>
              </w:tabs>
              <w:spacing w:line="60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（盖章）</w:t>
            </w:r>
          </w:p>
        </w:tc>
      </w:tr>
      <w:tr w14:paraId="71B58CED">
        <w:tblPrEx>
          <w:tblCellMar>
            <w:top w:w="0" w:type="dxa"/>
            <w:left w:w="108" w:type="dxa"/>
            <w:bottom w:w="0" w:type="dxa"/>
            <w:right w:w="108" w:type="dxa"/>
          </w:tblCellMar>
        </w:tblPrEx>
        <w:trPr>
          <w:trHeight w:val="737" w:hRule="atLeast"/>
        </w:trPr>
        <w:tc>
          <w:tcPr>
            <w:tcW w:w="4261" w:type="dxa"/>
          </w:tcPr>
          <w:p w14:paraId="4F6D8C29">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法定代表人：（签字）</w:t>
            </w:r>
          </w:p>
        </w:tc>
        <w:tc>
          <w:tcPr>
            <w:tcW w:w="4261" w:type="dxa"/>
          </w:tcPr>
          <w:p w14:paraId="14978D92">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法定代表人：（签字）</w:t>
            </w:r>
          </w:p>
        </w:tc>
      </w:tr>
      <w:tr w14:paraId="05761584">
        <w:tblPrEx>
          <w:tblCellMar>
            <w:top w:w="0" w:type="dxa"/>
            <w:left w:w="108" w:type="dxa"/>
            <w:bottom w:w="0" w:type="dxa"/>
            <w:right w:w="108" w:type="dxa"/>
          </w:tblCellMar>
        </w:tblPrEx>
        <w:trPr>
          <w:trHeight w:val="737" w:hRule="atLeast"/>
        </w:trPr>
        <w:tc>
          <w:tcPr>
            <w:tcW w:w="4261" w:type="dxa"/>
          </w:tcPr>
          <w:p w14:paraId="3F19D7F1">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委托代理人：（签字）</w:t>
            </w:r>
          </w:p>
        </w:tc>
        <w:tc>
          <w:tcPr>
            <w:tcW w:w="4261" w:type="dxa"/>
          </w:tcPr>
          <w:p w14:paraId="6748FD67">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委托代理人：（签字）</w:t>
            </w:r>
          </w:p>
        </w:tc>
      </w:tr>
      <w:tr w14:paraId="1D1BE25E">
        <w:tblPrEx>
          <w:tblCellMar>
            <w:top w:w="0" w:type="dxa"/>
            <w:left w:w="108" w:type="dxa"/>
            <w:bottom w:w="0" w:type="dxa"/>
            <w:right w:w="108" w:type="dxa"/>
          </w:tblCellMar>
        </w:tblPrEx>
        <w:trPr>
          <w:trHeight w:val="737" w:hRule="atLeast"/>
        </w:trPr>
        <w:tc>
          <w:tcPr>
            <w:tcW w:w="4261" w:type="dxa"/>
          </w:tcPr>
          <w:p w14:paraId="3D7970E1">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住    所：广州市天河区瘦狗岭路483号</w:t>
            </w:r>
          </w:p>
        </w:tc>
        <w:tc>
          <w:tcPr>
            <w:tcW w:w="4261" w:type="dxa"/>
          </w:tcPr>
          <w:p w14:paraId="4B50BAD8">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住    所： </w:t>
            </w:r>
          </w:p>
        </w:tc>
      </w:tr>
      <w:tr w14:paraId="47BDFC1B">
        <w:tblPrEx>
          <w:tblCellMar>
            <w:top w:w="0" w:type="dxa"/>
            <w:left w:w="108" w:type="dxa"/>
            <w:bottom w:w="0" w:type="dxa"/>
            <w:right w:w="108" w:type="dxa"/>
          </w:tblCellMar>
        </w:tblPrEx>
        <w:trPr>
          <w:trHeight w:val="737" w:hRule="atLeast"/>
        </w:trPr>
        <w:tc>
          <w:tcPr>
            <w:tcW w:w="4261" w:type="dxa"/>
          </w:tcPr>
          <w:p w14:paraId="72E84993">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邮政编码：</w:t>
            </w:r>
          </w:p>
        </w:tc>
        <w:tc>
          <w:tcPr>
            <w:tcW w:w="4261" w:type="dxa"/>
          </w:tcPr>
          <w:p w14:paraId="7E56DA4B">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邮政编码：</w:t>
            </w:r>
          </w:p>
        </w:tc>
      </w:tr>
      <w:tr w14:paraId="359043B8">
        <w:tblPrEx>
          <w:tblCellMar>
            <w:top w:w="0" w:type="dxa"/>
            <w:left w:w="108" w:type="dxa"/>
            <w:bottom w:w="0" w:type="dxa"/>
            <w:right w:w="108" w:type="dxa"/>
          </w:tblCellMar>
        </w:tblPrEx>
        <w:trPr>
          <w:trHeight w:val="737" w:hRule="atLeast"/>
        </w:trPr>
        <w:tc>
          <w:tcPr>
            <w:tcW w:w="4261" w:type="dxa"/>
          </w:tcPr>
          <w:p w14:paraId="0A0854D6">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电    话：</w:t>
            </w:r>
          </w:p>
        </w:tc>
        <w:tc>
          <w:tcPr>
            <w:tcW w:w="4261" w:type="dxa"/>
          </w:tcPr>
          <w:p w14:paraId="28125DCA">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电    话：</w:t>
            </w:r>
          </w:p>
        </w:tc>
      </w:tr>
      <w:tr w14:paraId="1D565FE9">
        <w:tblPrEx>
          <w:tblCellMar>
            <w:top w:w="0" w:type="dxa"/>
            <w:left w:w="108" w:type="dxa"/>
            <w:bottom w:w="0" w:type="dxa"/>
            <w:right w:w="108" w:type="dxa"/>
          </w:tblCellMar>
        </w:tblPrEx>
        <w:trPr>
          <w:trHeight w:val="737" w:hRule="atLeast"/>
        </w:trPr>
        <w:tc>
          <w:tcPr>
            <w:tcW w:w="4261" w:type="dxa"/>
          </w:tcPr>
          <w:p w14:paraId="3F2B9B12">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电子邮箱：  </w:t>
            </w:r>
          </w:p>
        </w:tc>
        <w:tc>
          <w:tcPr>
            <w:tcW w:w="4261" w:type="dxa"/>
          </w:tcPr>
          <w:p w14:paraId="068EBF0E">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电子邮箱：</w:t>
            </w:r>
          </w:p>
        </w:tc>
      </w:tr>
      <w:tr w14:paraId="4D3F9E16">
        <w:tblPrEx>
          <w:tblCellMar>
            <w:top w:w="0" w:type="dxa"/>
            <w:left w:w="108" w:type="dxa"/>
            <w:bottom w:w="0" w:type="dxa"/>
            <w:right w:w="108" w:type="dxa"/>
          </w:tblCellMar>
        </w:tblPrEx>
        <w:trPr>
          <w:trHeight w:val="737" w:hRule="atLeast"/>
        </w:trPr>
        <w:tc>
          <w:tcPr>
            <w:tcW w:w="4261" w:type="dxa"/>
          </w:tcPr>
          <w:p w14:paraId="0D3A24F9">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签合同日期：     年   月   日</w:t>
            </w:r>
          </w:p>
        </w:tc>
        <w:tc>
          <w:tcPr>
            <w:tcW w:w="4261" w:type="dxa"/>
          </w:tcPr>
          <w:p w14:paraId="77C1AACB">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签合同日期：     年   月   日</w:t>
            </w:r>
          </w:p>
          <w:p w14:paraId="1616AD55">
            <w:pPr>
              <w:tabs>
                <w:tab w:val="left" w:pos="900"/>
              </w:tabs>
              <w:spacing w:line="360" w:lineRule="auto"/>
              <w:rPr>
                <w:rFonts w:ascii="仿宋" w:hAnsi="仿宋" w:eastAsia="仿宋" w:cs="Times New Roman"/>
                <w:color w:val="000000"/>
                <w:sz w:val="24"/>
                <w:szCs w:val="24"/>
              </w:rPr>
            </w:pPr>
          </w:p>
        </w:tc>
      </w:tr>
    </w:tbl>
    <w:p w14:paraId="5836CCCA">
      <w:pPr>
        <w:spacing w:line="360" w:lineRule="auto"/>
        <w:rPr>
          <w:rFonts w:ascii="宋体" w:hAnsi="宋体" w:eastAsia="宋体" w:cs="宋体"/>
          <w:b/>
          <w:sz w:val="24"/>
          <w:szCs w:val="24"/>
        </w:rPr>
        <w:sectPr>
          <w:pgSz w:w="11906" w:h="16838"/>
          <w:pgMar w:top="1440" w:right="1800" w:bottom="1440" w:left="1800" w:header="851" w:footer="992" w:gutter="0"/>
          <w:cols w:space="425" w:num="1"/>
          <w:docGrid w:type="lines" w:linePitch="312" w:charSpace="0"/>
        </w:sectPr>
      </w:pPr>
    </w:p>
    <w:p w14:paraId="3DEDC3A5">
      <w:pPr>
        <w:spacing w:line="432" w:lineRule="auto"/>
        <w:ind w:firstLine="422" w:firstLineChars="200"/>
        <w:rPr>
          <w:rFonts w:hint="eastAsia" w:ascii="Times New Roman" w:hAnsi="Times New Roman" w:eastAsia="宋体"/>
          <w:b/>
          <w:bCs/>
          <w:szCs w:val="21"/>
          <w:lang w:eastAsia="zh-CN"/>
        </w:rPr>
      </w:pPr>
      <w:r>
        <w:rPr>
          <w:rFonts w:hint="eastAsia" w:ascii="Times New Roman" w:hAnsi="Times New Roman" w:eastAsia="宋体"/>
          <w:b/>
          <w:bCs/>
          <w:szCs w:val="21"/>
        </w:rPr>
        <w:t>附件</w:t>
      </w:r>
      <w:r>
        <w:rPr>
          <w:rFonts w:hint="eastAsia" w:ascii="Times New Roman" w:hAnsi="Times New Roman" w:eastAsia="宋体"/>
          <w:b/>
          <w:bCs/>
          <w:szCs w:val="21"/>
          <w:lang w:eastAsia="zh-CN"/>
        </w:rPr>
        <w:t>：</w:t>
      </w:r>
      <w:r>
        <w:rPr>
          <w:rFonts w:hint="eastAsia" w:ascii="Times New Roman" w:hAnsi="Times New Roman" w:eastAsia="宋体"/>
          <w:b/>
          <w:bCs/>
          <w:szCs w:val="21"/>
        </w:rPr>
        <w:t>服务报价方案</w:t>
      </w:r>
    </w:p>
    <w:p w14:paraId="40E8BE9D">
      <w:pPr>
        <w:adjustRightInd w:val="0"/>
        <w:snapToGrid w:val="0"/>
        <w:spacing w:line="360" w:lineRule="auto"/>
        <w:ind w:right="360" w:firstLine="435"/>
        <w:rPr>
          <w:rFonts w:hint="eastAsia" w:ascii="Times New Roman" w:hAnsi="Times New Roman" w:eastAsia="宋体"/>
          <w:szCs w:val="21"/>
          <w:lang w:val="en-US" w:eastAsia="zh-CN"/>
        </w:rPr>
      </w:pPr>
    </w:p>
    <w:p w14:paraId="4983025F">
      <w:pPr>
        <w:adjustRightInd w:val="0"/>
        <w:snapToGrid w:val="0"/>
        <w:spacing w:line="360" w:lineRule="auto"/>
        <w:ind w:right="360" w:firstLine="435"/>
        <w:rPr>
          <w:rFonts w:hint="default" w:ascii="Times New Roman" w:hAnsi="Times New Roman" w:eastAsia="宋体"/>
          <w:szCs w:val="21"/>
          <w:lang w:val="en-US" w:eastAsia="zh-CN"/>
        </w:rPr>
      </w:pPr>
      <w:r>
        <w:rPr>
          <w:rFonts w:hint="eastAsia" w:ascii="Times New Roman" w:hAnsi="Times New Roman" w:eastAsia="宋体"/>
          <w:szCs w:val="21"/>
          <w:lang w:val="en-US" w:eastAsia="zh-CN"/>
        </w:rPr>
        <w:t>本项目给修服务报价</w:t>
      </w:r>
      <w:r>
        <w:rPr>
          <w:rFonts w:hint="eastAsia" w:ascii="Times New Roman" w:hAnsi="Times New Roman" w:eastAsia="宋体"/>
          <w:szCs w:val="21"/>
          <w:u w:val="single"/>
          <w:lang w:val="en-US" w:eastAsia="zh-CN"/>
        </w:rPr>
        <w:t xml:space="preserve">              </w:t>
      </w:r>
      <w:r>
        <w:rPr>
          <w:rFonts w:hint="eastAsia" w:ascii="Times New Roman" w:hAnsi="Times New Roman" w:eastAsia="宋体"/>
          <w:szCs w:val="21"/>
          <w:lang w:val="en-US" w:eastAsia="zh-CN"/>
        </w:rPr>
        <w:t xml:space="preserve"> 元，实际维修工作量包括且不限于下述内容，报价人的报价金额包括大楼空调系统能够正常稳定运行的全部费用。包含</w:t>
      </w:r>
      <w:r>
        <w:rPr>
          <w:rFonts w:hint="eastAsia" w:ascii="Times New Roman" w:hAnsi="Times New Roman" w:eastAsia="宋体"/>
          <w:szCs w:val="21"/>
          <w:lang w:val="en-US" w:eastAsia="zh-CN"/>
        </w:rPr>
        <w:t>1000元以内的零配件损坏更换及税费等一切费用（</w:t>
      </w:r>
      <w:r>
        <w:rPr>
          <w:rFonts w:hint="eastAsia" w:ascii="Times New Roman" w:hAnsi="Times New Roman" w:eastAsia="宋体"/>
          <w:szCs w:val="21"/>
          <w:lang w:val="en-US" w:eastAsia="zh-CN"/>
        </w:rPr>
        <w:t>不含原有设备更换）。超出1000元的零部件更换，由甲方另行支付相关费用。</w:t>
      </w:r>
      <w:bookmarkStart w:id="15" w:name="_GoBack"/>
      <w:bookmarkEnd w:id="15"/>
    </w:p>
    <w:p w14:paraId="64DBBBC2">
      <w:pPr>
        <w:spacing w:line="432" w:lineRule="auto"/>
        <w:ind w:firstLine="482" w:firstLineChars="200"/>
        <w:rPr>
          <w:rFonts w:hint="eastAsia" w:ascii="黑体" w:hAnsi="黑体" w:eastAsia="黑体" w:cs="黑体"/>
          <w:b/>
          <w:bCs/>
          <w:sz w:val="24"/>
          <w:szCs w:val="24"/>
          <w:lang w:eastAsia="zh-CN"/>
        </w:rPr>
      </w:pPr>
      <w:r>
        <w:rPr>
          <w:rFonts w:hint="eastAsia" w:ascii="黑体" w:hAnsi="黑体" w:eastAsia="黑体" w:cs="黑体"/>
          <w:b/>
          <w:bCs/>
          <w:sz w:val="24"/>
          <w:szCs w:val="24"/>
          <w:lang w:val="en-US" w:eastAsia="zh-CN"/>
        </w:rPr>
        <w:t>一、</w:t>
      </w:r>
      <w:r>
        <w:rPr>
          <w:rFonts w:hint="eastAsia" w:ascii="黑体" w:hAnsi="黑体" w:eastAsia="黑体" w:cs="黑体"/>
          <w:b/>
          <w:bCs/>
          <w:sz w:val="24"/>
          <w:szCs w:val="24"/>
        </w:rPr>
        <w:t>对</w:t>
      </w:r>
      <w:r>
        <w:rPr>
          <w:rFonts w:hint="eastAsia" w:ascii="黑体" w:hAnsi="黑体" w:eastAsia="黑体" w:cs="黑体"/>
          <w:b/>
          <w:bCs/>
          <w:sz w:val="24"/>
          <w:szCs w:val="24"/>
          <w:lang w:val="en-US" w:eastAsia="zh-CN"/>
        </w:rPr>
        <w:t>水冷螺杆</w:t>
      </w:r>
      <w:r>
        <w:rPr>
          <w:rFonts w:hint="eastAsia" w:ascii="黑体" w:hAnsi="黑体" w:eastAsia="黑体" w:cs="黑体"/>
          <w:b/>
          <w:bCs/>
          <w:sz w:val="24"/>
          <w:szCs w:val="24"/>
          <w:lang w:eastAsia="zh-CN"/>
        </w:rPr>
        <w:t>主机冷冻站维护</w:t>
      </w:r>
      <w:r>
        <w:rPr>
          <w:rFonts w:hint="eastAsia" w:ascii="黑体" w:hAnsi="黑体" w:eastAsia="黑体" w:cs="黑体"/>
          <w:b/>
          <w:bCs/>
          <w:sz w:val="24"/>
          <w:szCs w:val="24"/>
          <w:lang w:val="en-US" w:eastAsia="zh-CN"/>
        </w:rPr>
        <w:t>检修</w:t>
      </w:r>
      <w:r>
        <w:rPr>
          <w:rFonts w:hint="eastAsia" w:ascii="黑体" w:hAnsi="黑体" w:eastAsia="黑体" w:cs="黑体"/>
          <w:b/>
          <w:bCs/>
          <w:sz w:val="24"/>
          <w:szCs w:val="24"/>
          <w:lang w:eastAsia="zh-CN"/>
        </w:rPr>
        <w:t>。</w:t>
      </w:r>
    </w:p>
    <w:tbl>
      <w:tblPr>
        <w:tblStyle w:val="7"/>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5688"/>
        <w:gridCol w:w="2100"/>
      </w:tblGrid>
      <w:tr w14:paraId="75F7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01048B2D">
            <w:pPr>
              <w:spacing w:line="432"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序号</w:t>
            </w:r>
          </w:p>
        </w:tc>
        <w:tc>
          <w:tcPr>
            <w:tcW w:w="5688" w:type="dxa"/>
            <w:vAlign w:val="center"/>
          </w:tcPr>
          <w:p w14:paraId="5806FA7F">
            <w:pPr>
              <w:spacing w:line="432"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eastAsia="zh-CN"/>
              </w:rPr>
              <w:t>具体工作内容</w:t>
            </w:r>
          </w:p>
        </w:tc>
        <w:tc>
          <w:tcPr>
            <w:tcW w:w="2100" w:type="dxa"/>
          </w:tcPr>
          <w:p w14:paraId="1533C08A">
            <w:pPr>
              <w:spacing w:line="432"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14:paraId="6CF3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09AA540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88" w:type="dxa"/>
            <w:vAlign w:val="center"/>
          </w:tcPr>
          <w:p w14:paraId="6CCFE47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检查机组的运行记录</w:t>
            </w:r>
          </w:p>
        </w:tc>
        <w:tc>
          <w:tcPr>
            <w:tcW w:w="2100" w:type="dxa"/>
          </w:tcPr>
          <w:p w14:paraId="6B60F5D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6760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20EBD3C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688" w:type="dxa"/>
            <w:vAlign w:val="center"/>
          </w:tcPr>
          <w:p w14:paraId="77DC697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检查机组运行时冷冻水进出水压力、蒸发压力及冷凝压力是否正常，并进行故障处理</w:t>
            </w:r>
          </w:p>
        </w:tc>
        <w:tc>
          <w:tcPr>
            <w:tcW w:w="2100" w:type="dxa"/>
          </w:tcPr>
          <w:p w14:paraId="75EAA5C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34AD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73ABEE2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688" w:type="dxa"/>
            <w:vAlign w:val="center"/>
          </w:tcPr>
          <w:p w14:paraId="5B0FEB6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检查机组温度设定，并进行故障处理</w:t>
            </w:r>
          </w:p>
        </w:tc>
        <w:tc>
          <w:tcPr>
            <w:tcW w:w="2100" w:type="dxa"/>
          </w:tcPr>
          <w:p w14:paraId="4A94521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6A14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486B356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688" w:type="dxa"/>
            <w:vAlign w:val="center"/>
          </w:tcPr>
          <w:p w14:paraId="4E0A119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检查、调整机组高压安全保护、低压安全保护、过流保护、冻结保护装置，并进行故障处理</w:t>
            </w:r>
          </w:p>
        </w:tc>
        <w:tc>
          <w:tcPr>
            <w:tcW w:w="2100" w:type="dxa"/>
          </w:tcPr>
          <w:p w14:paraId="47DFE0D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672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79D2423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688" w:type="dxa"/>
            <w:vAlign w:val="center"/>
          </w:tcPr>
          <w:p w14:paraId="542B1BF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测试、调整机组控制器、感温开关，并进行故障处理</w:t>
            </w:r>
          </w:p>
        </w:tc>
        <w:tc>
          <w:tcPr>
            <w:tcW w:w="2100" w:type="dxa"/>
          </w:tcPr>
          <w:p w14:paraId="3B888BE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499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3824473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688" w:type="dxa"/>
            <w:vAlign w:val="center"/>
          </w:tcPr>
          <w:p w14:paraId="5AB7DA4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检查控制电柜，检查、调节各部份电源电压，对电柜进行清理紧固各接线，并进行故障处理</w:t>
            </w:r>
          </w:p>
        </w:tc>
        <w:tc>
          <w:tcPr>
            <w:tcW w:w="2100" w:type="dxa"/>
          </w:tcPr>
          <w:p w14:paraId="21FFBB8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2299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6DD4714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688" w:type="dxa"/>
            <w:vAlign w:val="center"/>
          </w:tcPr>
          <w:p w14:paraId="6A08C9C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用检漏仪对机组进行检漏，修复漏点，并进行故障处理</w:t>
            </w:r>
          </w:p>
        </w:tc>
        <w:tc>
          <w:tcPr>
            <w:tcW w:w="2100" w:type="dxa"/>
          </w:tcPr>
          <w:p w14:paraId="5FB0642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6E90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60E21EF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688" w:type="dxa"/>
            <w:vAlign w:val="center"/>
          </w:tcPr>
          <w:p w14:paraId="68CEC9A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运行并监测起动及运行时的噪音、电流是否正常，并进行故障处理</w:t>
            </w:r>
          </w:p>
        </w:tc>
        <w:tc>
          <w:tcPr>
            <w:tcW w:w="2100" w:type="dxa"/>
          </w:tcPr>
          <w:p w14:paraId="0902AC5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00C6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5" w:type="dxa"/>
            <w:vAlign w:val="center"/>
          </w:tcPr>
          <w:p w14:paraId="39B462B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688" w:type="dxa"/>
            <w:vAlign w:val="center"/>
          </w:tcPr>
          <w:p w14:paraId="5DF4292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运行时检查机组加载、卸载控制是否正常，必要时进行相应调整</w:t>
            </w:r>
          </w:p>
        </w:tc>
        <w:tc>
          <w:tcPr>
            <w:tcW w:w="2100" w:type="dxa"/>
          </w:tcPr>
          <w:p w14:paraId="3BE1532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r w14:paraId="65EB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55" w:type="dxa"/>
            <w:vAlign w:val="center"/>
          </w:tcPr>
          <w:p w14:paraId="78D9ED7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5688" w:type="dxa"/>
            <w:vAlign w:val="center"/>
          </w:tcPr>
          <w:p w14:paraId="2FDA062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清洗主机换热器</w:t>
            </w:r>
          </w:p>
        </w:tc>
        <w:tc>
          <w:tcPr>
            <w:tcW w:w="2100" w:type="dxa"/>
          </w:tcPr>
          <w:p w14:paraId="6BBEBFB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val="en-US" w:eastAsia="zh-CN"/>
              </w:rPr>
            </w:pPr>
          </w:p>
        </w:tc>
      </w:tr>
    </w:tbl>
    <w:p w14:paraId="6210C6B4">
      <w:pPr>
        <w:spacing w:line="432" w:lineRule="auto"/>
        <w:ind w:firstLine="640" w:firstLineChars="200"/>
        <w:rPr>
          <w:rFonts w:hint="eastAsia" w:ascii="仿宋_GB2312" w:hAnsi="仿宋_GB2312" w:eastAsia="仿宋_GB2312" w:cs="仿宋_GB2312"/>
          <w:sz w:val="32"/>
          <w:szCs w:val="32"/>
          <w:lang w:val="en-US" w:eastAsia="zh-CN"/>
        </w:rPr>
      </w:pPr>
    </w:p>
    <w:p w14:paraId="38335B70">
      <w:pPr>
        <w:spacing w:line="432" w:lineRule="auto"/>
        <w:ind w:firstLine="482" w:firstLineChars="200"/>
        <w:rPr>
          <w:rFonts w:hint="eastAsia" w:ascii="楷体_GB2312" w:hAnsi="楷体_GB2312" w:eastAsia="楷体_GB2312" w:cs="楷体_GB2312"/>
          <w:b/>
          <w:bCs/>
          <w:sz w:val="32"/>
          <w:szCs w:val="32"/>
          <w:lang w:val="en-US" w:eastAsia="zh-CN"/>
        </w:rPr>
      </w:pPr>
      <w:r>
        <w:rPr>
          <w:rFonts w:hint="eastAsia" w:ascii="黑体" w:hAnsi="黑体" w:eastAsia="黑体" w:cs="黑体"/>
          <w:b/>
          <w:bCs/>
          <w:sz w:val="24"/>
          <w:szCs w:val="24"/>
          <w:lang w:val="en-US" w:eastAsia="zh-CN"/>
        </w:rPr>
        <w:t>二、对户外风冷模块式中央空调主机进行维护检修。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45"/>
        <w:gridCol w:w="2093"/>
      </w:tblGrid>
      <w:tr w14:paraId="5EE7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EFDB241">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45" w:type="dxa"/>
            <w:vAlign w:val="center"/>
          </w:tcPr>
          <w:p w14:paraId="10B83E3F">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093" w:type="dxa"/>
            <w:vAlign w:val="center"/>
          </w:tcPr>
          <w:p w14:paraId="14B7B0B4">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77F1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278E11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45" w:type="dxa"/>
            <w:vAlign w:val="center"/>
          </w:tcPr>
          <w:p w14:paraId="261DCD3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清洗主机翅片</w:t>
            </w:r>
          </w:p>
        </w:tc>
        <w:tc>
          <w:tcPr>
            <w:tcW w:w="2093" w:type="dxa"/>
            <w:vAlign w:val="center"/>
          </w:tcPr>
          <w:p w14:paraId="7596F33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2D8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549D65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645" w:type="dxa"/>
            <w:vAlign w:val="center"/>
          </w:tcPr>
          <w:p w14:paraId="588C639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检查和测试所有运行控制和安全控制功能，并进行故障处理</w:t>
            </w:r>
          </w:p>
        </w:tc>
        <w:tc>
          <w:tcPr>
            <w:tcW w:w="2093" w:type="dxa"/>
            <w:vAlign w:val="center"/>
          </w:tcPr>
          <w:p w14:paraId="6CFB4FB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F3C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46C5AE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645" w:type="dxa"/>
            <w:vAlign w:val="center"/>
          </w:tcPr>
          <w:p w14:paraId="4D82338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查看机组历史记录</w:t>
            </w:r>
          </w:p>
        </w:tc>
        <w:tc>
          <w:tcPr>
            <w:tcW w:w="2093" w:type="dxa"/>
            <w:vAlign w:val="center"/>
          </w:tcPr>
          <w:p w14:paraId="37A7750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79C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66154A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645" w:type="dxa"/>
            <w:vAlign w:val="center"/>
          </w:tcPr>
          <w:p w14:paraId="77B6EDA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检查水系统的运行情况，并进行故障处理</w:t>
            </w:r>
          </w:p>
        </w:tc>
        <w:tc>
          <w:tcPr>
            <w:tcW w:w="2093" w:type="dxa"/>
            <w:vAlign w:val="center"/>
          </w:tcPr>
          <w:p w14:paraId="6C59E3A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3C7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00F977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645" w:type="dxa"/>
            <w:vAlign w:val="center"/>
          </w:tcPr>
          <w:p w14:paraId="60470B5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检查调整微电脑控制中心的设定值</w:t>
            </w:r>
          </w:p>
        </w:tc>
        <w:tc>
          <w:tcPr>
            <w:tcW w:w="2093" w:type="dxa"/>
            <w:vAlign w:val="center"/>
          </w:tcPr>
          <w:p w14:paraId="2676B19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4BA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F1E270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645" w:type="dxa"/>
            <w:vAlign w:val="center"/>
          </w:tcPr>
          <w:p w14:paraId="6DF3383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测试导叶驱动器动作，并进行故障处理</w:t>
            </w:r>
          </w:p>
        </w:tc>
        <w:tc>
          <w:tcPr>
            <w:tcW w:w="2093" w:type="dxa"/>
            <w:vAlign w:val="center"/>
          </w:tcPr>
          <w:p w14:paraId="7671C6B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67D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89C2B1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645" w:type="dxa"/>
            <w:vAlign w:val="center"/>
          </w:tcPr>
          <w:p w14:paraId="53533BD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启动冷水机组，检查整个系统的运行状况，记录机组运行参数</w:t>
            </w:r>
          </w:p>
        </w:tc>
        <w:tc>
          <w:tcPr>
            <w:tcW w:w="2093" w:type="dxa"/>
            <w:vAlign w:val="center"/>
          </w:tcPr>
          <w:p w14:paraId="544F8F0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BFD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0EE0A9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645" w:type="dxa"/>
            <w:vAlign w:val="center"/>
          </w:tcPr>
          <w:p w14:paraId="4861F5D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根据运行记录，分析处理机组问题</w:t>
            </w:r>
          </w:p>
        </w:tc>
        <w:tc>
          <w:tcPr>
            <w:tcW w:w="2093" w:type="dxa"/>
            <w:vAlign w:val="center"/>
          </w:tcPr>
          <w:p w14:paraId="6E959C8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6C3F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E4D85A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645" w:type="dxa"/>
            <w:vAlign w:val="center"/>
          </w:tcPr>
          <w:p w14:paraId="3D00B46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清洗过滤器</w:t>
            </w:r>
          </w:p>
        </w:tc>
        <w:tc>
          <w:tcPr>
            <w:tcW w:w="2093" w:type="dxa"/>
            <w:vAlign w:val="center"/>
          </w:tcPr>
          <w:p w14:paraId="14A46B0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bl>
    <w:p w14:paraId="7A236EE6">
      <w:pPr>
        <w:spacing w:line="432" w:lineRule="auto"/>
        <w:ind w:firstLine="643" w:firstLineChars="200"/>
        <w:rPr>
          <w:rFonts w:hint="eastAsia" w:ascii="楷体_GB2312" w:hAnsi="楷体_GB2312" w:eastAsia="楷体_GB2312" w:cs="楷体_GB2312"/>
          <w:b/>
          <w:bCs/>
          <w:sz w:val="32"/>
          <w:szCs w:val="32"/>
          <w:lang w:val="en-US" w:eastAsia="zh-CN"/>
        </w:rPr>
      </w:pPr>
    </w:p>
    <w:p w14:paraId="2AC7F44C">
      <w:pPr>
        <w:spacing w:line="432" w:lineRule="auto"/>
        <w:ind w:firstLine="482" w:firstLineChars="200"/>
        <w:rPr>
          <w:rFonts w:hint="eastAsia" w:ascii="楷体_GB2312" w:hAnsi="楷体_GB2312" w:eastAsia="楷体_GB2312" w:cs="楷体_GB2312"/>
          <w:b/>
          <w:bCs/>
          <w:sz w:val="32"/>
          <w:szCs w:val="32"/>
          <w:lang w:val="en-US" w:eastAsia="zh-CN"/>
        </w:rPr>
      </w:pPr>
      <w:r>
        <w:rPr>
          <w:rFonts w:hint="eastAsia" w:ascii="黑体" w:hAnsi="黑体" w:eastAsia="黑体" w:cs="黑体"/>
          <w:b/>
          <w:bCs/>
          <w:sz w:val="24"/>
          <w:szCs w:val="24"/>
          <w:lang w:val="en-US" w:eastAsia="zh-CN"/>
        </w:rPr>
        <w:t>三、对系统循环水泵进行维护检修。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28"/>
        <w:gridCol w:w="2110"/>
      </w:tblGrid>
      <w:tr w14:paraId="3711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E58C799">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28" w:type="dxa"/>
            <w:vAlign w:val="center"/>
          </w:tcPr>
          <w:p w14:paraId="2611BBD2">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10" w:type="dxa"/>
            <w:vAlign w:val="center"/>
          </w:tcPr>
          <w:p w14:paraId="41A1D2A8">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4E6E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DDAC16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28" w:type="dxa"/>
            <w:vAlign w:val="center"/>
          </w:tcPr>
          <w:p w14:paraId="408B0C3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检查机组常规运行情况，并进行故障处理</w:t>
            </w:r>
          </w:p>
        </w:tc>
        <w:tc>
          <w:tcPr>
            <w:tcW w:w="2110" w:type="dxa"/>
            <w:vAlign w:val="center"/>
          </w:tcPr>
          <w:p w14:paraId="4AD6CB0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21F0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654FD4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628" w:type="dxa"/>
            <w:vAlign w:val="center"/>
          </w:tcPr>
          <w:p w14:paraId="7CE3095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停机并对电气回路上锁</w:t>
            </w:r>
          </w:p>
        </w:tc>
        <w:tc>
          <w:tcPr>
            <w:tcW w:w="2110" w:type="dxa"/>
            <w:vAlign w:val="center"/>
          </w:tcPr>
          <w:p w14:paraId="69A4A98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F1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925CF3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628" w:type="dxa"/>
            <w:vAlign w:val="center"/>
          </w:tcPr>
          <w:p w14:paraId="269A94C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清洁泵的电机和基座</w:t>
            </w:r>
          </w:p>
        </w:tc>
        <w:tc>
          <w:tcPr>
            <w:tcW w:w="2110" w:type="dxa"/>
            <w:vAlign w:val="center"/>
          </w:tcPr>
          <w:p w14:paraId="4DB896E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836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D8D681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628" w:type="dxa"/>
            <w:vAlign w:val="center"/>
          </w:tcPr>
          <w:p w14:paraId="2E1D039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检查轴的水平，并进行故障处理</w:t>
            </w:r>
          </w:p>
        </w:tc>
        <w:tc>
          <w:tcPr>
            <w:tcW w:w="2110" w:type="dxa"/>
            <w:vAlign w:val="center"/>
          </w:tcPr>
          <w:p w14:paraId="58F9812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CFC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10782E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628" w:type="dxa"/>
            <w:vAlign w:val="center"/>
          </w:tcPr>
          <w:p w14:paraId="2BB247B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测量水泵电机绝缘情况，并进行故障处理</w:t>
            </w:r>
          </w:p>
        </w:tc>
        <w:tc>
          <w:tcPr>
            <w:tcW w:w="2110" w:type="dxa"/>
            <w:vAlign w:val="center"/>
          </w:tcPr>
          <w:p w14:paraId="39A3980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A3D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6EBD5F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628" w:type="dxa"/>
            <w:vAlign w:val="center"/>
          </w:tcPr>
          <w:p w14:paraId="11CCD05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根据需要检查和校正连轴器</w:t>
            </w:r>
          </w:p>
        </w:tc>
        <w:tc>
          <w:tcPr>
            <w:tcW w:w="2110" w:type="dxa"/>
            <w:vAlign w:val="center"/>
          </w:tcPr>
          <w:p w14:paraId="09E1C6D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AC3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2DACD9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628" w:type="dxa"/>
            <w:vAlign w:val="center"/>
          </w:tcPr>
          <w:p w14:paraId="065492D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根据需要检查清洁过滤网，并进行故障处理</w:t>
            </w:r>
          </w:p>
        </w:tc>
        <w:tc>
          <w:tcPr>
            <w:tcW w:w="2110" w:type="dxa"/>
            <w:vAlign w:val="center"/>
          </w:tcPr>
          <w:p w14:paraId="1728E06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CF5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565E53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628" w:type="dxa"/>
            <w:vAlign w:val="center"/>
          </w:tcPr>
          <w:p w14:paraId="1BC878F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用油漆表明机器上铁锈的位置</w:t>
            </w:r>
          </w:p>
        </w:tc>
        <w:tc>
          <w:tcPr>
            <w:tcW w:w="2110" w:type="dxa"/>
            <w:vAlign w:val="center"/>
          </w:tcPr>
          <w:p w14:paraId="0F77322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5FB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D89A75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628" w:type="dxa"/>
            <w:vAlign w:val="center"/>
          </w:tcPr>
          <w:p w14:paraId="435F981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检查电机驱动状况，并进行故障处理</w:t>
            </w:r>
          </w:p>
        </w:tc>
        <w:tc>
          <w:tcPr>
            <w:tcW w:w="2110" w:type="dxa"/>
            <w:vAlign w:val="center"/>
          </w:tcPr>
          <w:p w14:paraId="1C81E9A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249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48F49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5628" w:type="dxa"/>
            <w:vAlign w:val="center"/>
          </w:tcPr>
          <w:p w14:paraId="08838FA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检查轴和密封是否泄漏，并进行故障处理</w:t>
            </w:r>
          </w:p>
        </w:tc>
        <w:tc>
          <w:tcPr>
            <w:tcW w:w="2110" w:type="dxa"/>
            <w:vAlign w:val="center"/>
          </w:tcPr>
          <w:p w14:paraId="78F1084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906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626165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5628" w:type="dxa"/>
            <w:vAlign w:val="center"/>
          </w:tcPr>
          <w:p w14:paraId="4ADDF07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清洁密封泵油箱，并进行故障处理</w:t>
            </w:r>
          </w:p>
        </w:tc>
        <w:tc>
          <w:tcPr>
            <w:tcW w:w="2110" w:type="dxa"/>
            <w:vAlign w:val="center"/>
          </w:tcPr>
          <w:p w14:paraId="5654D32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13F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C65B20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5628" w:type="dxa"/>
            <w:vAlign w:val="center"/>
          </w:tcPr>
          <w:p w14:paraId="27B1B9B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根据需要清洁泵体及电机表面</w:t>
            </w:r>
          </w:p>
        </w:tc>
        <w:tc>
          <w:tcPr>
            <w:tcW w:w="2110" w:type="dxa"/>
            <w:vAlign w:val="center"/>
          </w:tcPr>
          <w:p w14:paraId="3A3E2FD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2386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287843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5628" w:type="dxa"/>
            <w:vAlign w:val="center"/>
          </w:tcPr>
          <w:p w14:paraId="1847B68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根据需要进行润滑</w:t>
            </w:r>
          </w:p>
        </w:tc>
        <w:tc>
          <w:tcPr>
            <w:tcW w:w="2110" w:type="dxa"/>
            <w:vAlign w:val="center"/>
          </w:tcPr>
          <w:p w14:paraId="4844589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6133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4E147B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5628" w:type="dxa"/>
            <w:vAlign w:val="center"/>
          </w:tcPr>
          <w:p w14:paraId="502A164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根据要求进行防锈处理，防止设备过早老化</w:t>
            </w:r>
          </w:p>
        </w:tc>
        <w:tc>
          <w:tcPr>
            <w:tcW w:w="2110" w:type="dxa"/>
            <w:vAlign w:val="center"/>
          </w:tcPr>
          <w:p w14:paraId="59E4319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799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848E76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5628" w:type="dxa"/>
            <w:vAlign w:val="center"/>
          </w:tcPr>
          <w:p w14:paraId="6B91403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固定紧固件</w:t>
            </w:r>
          </w:p>
        </w:tc>
        <w:tc>
          <w:tcPr>
            <w:tcW w:w="2110" w:type="dxa"/>
            <w:vAlign w:val="center"/>
          </w:tcPr>
          <w:p w14:paraId="5E74D92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920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79F178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5628" w:type="dxa"/>
            <w:vAlign w:val="center"/>
          </w:tcPr>
          <w:p w14:paraId="47B5899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恢复供电</w:t>
            </w:r>
          </w:p>
        </w:tc>
        <w:tc>
          <w:tcPr>
            <w:tcW w:w="2110" w:type="dxa"/>
            <w:vAlign w:val="center"/>
          </w:tcPr>
          <w:p w14:paraId="2FF4C6A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33C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FD4A83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5628" w:type="dxa"/>
            <w:vAlign w:val="center"/>
          </w:tcPr>
          <w:p w14:paraId="1C40D19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启动设备，检查记录设备运行情况</w:t>
            </w:r>
          </w:p>
        </w:tc>
        <w:tc>
          <w:tcPr>
            <w:tcW w:w="2110" w:type="dxa"/>
            <w:vAlign w:val="center"/>
          </w:tcPr>
          <w:p w14:paraId="4841F78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4BB2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4CE19B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5628" w:type="dxa"/>
            <w:vAlign w:val="center"/>
          </w:tcPr>
          <w:p w14:paraId="1678DA8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检查电压和电流(满载对比运行)，并进行故障处理</w:t>
            </w:r>
          </w:p>
        </w:tc>
        <w:tc>
          <w:tcPr>
            <w:tcW w:w="2110" w:type="dxa"/>
            <w:vAlign w:val="center"/>
          </w:tcPr>
          <w:p w14:paraId="1224F67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bl>
    <w:p w14:paraId="54F5D18B">
      <w:pPr>
        <w:spacing w:line="432" w:lineRule="auto"/>
        <w:ind w:firstLine="482" w:firstLineChars="200"/>
        <w:rPr>
          <w:rFonts w:hint="eastAsia" w:ascii="黑体" w:hAnsi="黑体" w:eastAsia="黑体" w:cs="黑体"/>
          <w:b/>
          <w:bCs/>
          <w:sz w:val="24"/>
          <w:szCs w:val="24"/>
          <w:lang w:val="en-US" w:eastAsia="zh-CN"/>
        </w:rPr>
      </w:pPr>
    </w:p>
    <w:p w14:paraId="607C5BE2">
      <w:pPr>
        <w:spacing w:line="432" w:lineRule="auto"/>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四、冷却塔系统进行维护检修。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12"/>
        <w:gridCol w:w="2126"/>
      </w:tblGrid>
      <w:tr w14:paraId="0CBC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0DA7A1F">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12" w:type="dxa"/>
            <w:vAlign w:val="center"/>
          </w:tcPr>
          <w:p w14:paraId="3FB6F226">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26" w:type="dxa"/>
            <w:vAlign w:val="center"/>
          </w:tcPr>
          <w:p w14:paraId="64BFB3E4">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2353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618063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12" w:type="dxa"/>
            <w:vAlign w:val="center"/>
          </w:tcPr>
          <w:p w14:paraId="034A6FE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检查设备常规运行情况，并进行故障处理</w:t>
            </w:r>
          </w:p>
        </w:tc>
        <w:tc>
          <w:tcPr>
            <w:tcW w:w="2126" w:type="dxa"/>
            <w:vAlign w:val="center"/>
          </w:tcPr>
          <w:p w14:paraId="11B313C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695D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41DAD8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612" w:type="dxa"/>
            <w:vAlign w:val="center"/>
          </w:tcPr>
          <w:p w14:paraId="5E24ADB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检测所有的接、排水盘和排水管路，并进行故障处理</w:t>
            </w:r>
          </w:p>
        </w:tc>
        <w:tc>
          <w:tcPr>
            <w:tcW w:w="2126" w:type="dxa"/>
            <w:vAlign w:val="center"/>
          </w:tcPr>
          <w:p w14:paraId="37167C9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41F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6C7B56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612" w:type="dxa"/>
            <w:vAlign w:val="center"/>
          </w:tcPr>
          <w:p w14:paraId="6D44CC7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清洁所有接、排水盘和排水管路</w:t>
            </w:r>
          </w:p>
        </w:tc>
        <w:tc>
          <w:tcPr>
            <w:tcW w:w="2126" w:type="dxa"/>
            <w:vAlign w:val="center"/>
          </w:tcPr>
          <w:p w14:paraId="4B38FCC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D32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B1DE74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612" w:type="dxa"/>
            <w:vAlign w:val="center"/>
          </w:tcPr>
          <w:p w14:paraId="4A096BA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检查电机传动机构的运行状况，并进行故障处理</w:t>
            </w:r>
          </w:p>
        </w:tc>
        <w:tc>
          <w:tcPr>
            <w:tcW w:w="2126" w:type="dxa"/>
            <w:vAlign w:val="center"/>
          </w:tcPr>
          <w:p w14:paraId="13E1228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20E4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3F168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612" w:type="dxa"/>
            <w:vAlign w:val="center"/>
          </w:tcPr>
          <w:p w14:paraId="509843D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检查冷却塔的填料，并进行故障处理</w:t>
            </w:r>
          </w:p>
        </w:tc>
        <w:tc>
          <w:tcPr>
            <w:tcW w:w="2126" w:type="dxa"/>
            <w:vAlign w:val="center"/>
          </w:tcPr>
          <w:p w14:paraId="0B34574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4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78812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612" w:type="dxa"/>
            <w:vAlign w:val="center"/>
          </w:tcPr>
          <w:p w14:paraId="2F6EAA2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检查电机绝缘状况，并进行故障处理</w:t>
            </w:r>
          </w:p>
        </w:tc>
        <w:tc>
          <w:tcPr>
            <w:tcW w:w="2126" w:type="dxa"/>
            <w:vAlign w:val="center"/>
          </w:tcPr>
          <w:p w14:paraId="7E22725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F27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3CB120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612" w:type="dxa"/>
            <w:vAlign w:val="center"/>
          </w:tcPr>
          <w:p w14:paraId="36CC2EA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检查电机及水塔表面老化状况</w:t>
            </w:r>
          </w:p>
        </w:tc>
        <w:tc>
          <w:tcPr>
            <w:tcW w:w="2126" w:type="dxa"/>
            <w:vAlign w:val="center"/>
          </w:tcPr>
          <w:p w14:paraId="72519F8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A5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F20702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612" w:type="dxa"/>
            <w:vAlign w:val="center"/>
          </w:tcPr>
          <w:p w14:paraId="41802BD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根据需要清理电机及水塔表面污染物</w:t>
            </w:r>
          </w:p>
        </w:tc>
        <w:tc>
          <w:tcPr>
            <w:tcW w:w="2126" w:type="dxa"/>
            <w:vAlign w:val="center"/>
          </w:tcPr>
          <w:p w14:paraId="0C3682B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B7D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74BAC8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612" w:type="dxa"/>
            <w:vAlign w:val="center"/>
          </w:tcPr>
          <w:p w14:paraId="1C8202A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根据需要对电机及水塔表面进行防锈处理</w:t>
            </w:r>
          </w:p>
        </w:tc>
        <w:tc>
          <w:tcPr>
            <w:tcW w:w="2126" w:type="dxa"/>
            <w:vAlign w:val="center"/>
          </w:tcPr>
          <w:p w14:paraId="2324A85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6F6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C71C02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5612" w:type="dxa"/>
            <w:vAlign w:val="center"/>
          </w:tcPr>
          <w:p w14:paraId="01396CC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检查电机启动运行状况，并进行故障处理</w:t>
            </w:r>
          </w:p>
        </w:tc>
        <w:tc>
          <w:tcPr>
            <w:tcW w:w="2126" w:type="dxa"/>
            <w:vAlign w:val="center"/>
          </w:tcPr>
          <w:p w14:paraId="5966523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C23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1D21E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5612" w:type="dxa"/>
            <w:vAlign w:val="center"/>
          </w:tcPr>
          <w:p w14:paraId="40C512A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检查所有紧固件，并进行故障处理</w:t>
            </w:r>
          </w:p>
        </w:tc>
        <w:tc>
          <w:tcPr>
            <w:tcW w:w="2126" w:type="dxa"/>
            <w:vAlign w:val="center"/>
          </w:tcPr>
          <w:p w14:paraId="6008FF6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6A09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89714D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5612" w:type="dxa"/>
            <w:vAlign w:val="center"/>
          </w:tcPr>
          <w:p w14:paraId="7C242E3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检查布水器组件，并进行故障处理</w:t>
            </w:r>
          </w:p>
        </w:tc>
        <w:tc>
          <w:tcPr>
            <w:tcW w:w="2126" w:type="dxa"/>
            <w:vAlign w:val="center"/>
          </w:tcPr>
          <w:p w14:paraId="4473480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B57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500D40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5612" w:type="dxa"/>
            <w:vAlign w:val="center"/>
          </w:tcPr>
          <w:p w14:paraId="6460059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检查起动电缆和控制元件，并进行故障处理</w:t>
            </w:r>
          </w:p>
        </w:tc>
        <w:tc>
          <w:tcPr>
            <w:tcW w:w="2126" w:type="dxa"/>
            <w:vAlign w:val="center"/>
          </w:tcPr>
          <w:p w14:paraId="5852642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63F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E4CE3B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5612" w:type="dxa"/>
            <w:vAlign w:val="center"/>
          </w:tcPr>
          <w:p w14:paraId="75085EB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清洁吸气室的灰尘和碎屑</w:t>
            </w:r>
          </w:p>
        </w:tc>
        <w:tc>
          <w:tcPr>
            <w:tcW w:w="2126" w:type="dxa"/>
            <w:vAlign w:val="center"/>
          </w:tcPr>
          <w:p w14:paraId="70537E6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457E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3309D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5612" w:type="dxa"/>
            <w:vAlign w:val="center"/>
          </w:tcPr>
          <w:p w14:paraId="7D1D7AA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清洁喷嘴</w:t>
            </w:r>
          </w:p>
        </w:tc>
        <w:tc>
          <w:tcPr>
            <w:tcW w:w="2126" w:type="dxa"/>
            <w:vAlign w:val="center"/>
          </w:tcPr>
          <w:p w14:paraId="2B28A9C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BA2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B64C56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5612" w:type="dxa"/>
            <w:vAlign w:val="center"/>
          </w:tcPr>
          <w:p w14:paraId="28B58FF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清洁过滤网</w:t>
            </w:r>
          </w:p>
        </w:tc>
        <w:tc>
          <w:tcPr>
            <w:tcW w:w="2126" w:type="dxa"/>
            <w:vAlign w:val="center"/>
          </w:tcPr>
          <w:p w14:paraId="66FB7CF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AB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9E9870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5612" w:type="dxa"/>
            <w:vAlign w:val="center"/>
          </w:tcPr>
          <w:p w14:paraId="23C6C1A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根据需要进行润滑</w:t>
            </w:r>
          </w:p>
        </w:tc>
        <w:tc>
          <w:tcPr>
            <w:tcW w:w="2126" w:type="dxa"/>
            <w:vAlign w:val="center"/>
          </w:tcPr>
          <w:p w14:paraId="29C2341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F0B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40FF3B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5612" w:type="dxa"/>
            <w:vAlign w:val="center"/>
          </w:tcPr>
          <w:p w14:paraId="6CF4D49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固定紧固件</w:t>
            </w:r>
          </w:p>
        </w:tc>
        <w:tc>
          <w:tcPr>
            <w:tcW w:w="2126" w:type="dxa"/>
            <w:vAlign w:val="center"/>
          </w:tcPr>
          <w:p w14:paraId="7630BB2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510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659DD5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5612" w:type="dxa"/>
            <w:vAlign w:val="center"/>
          </w:tcPr>
          <w:p w14:paraId="6B3BCD1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启动设备，检查记录设备运行情况</w:t>
            </w:r>
          </w:p>
        </w:tc>
        <w:tc>
          <w:tcPr>
            <w:tcW w:w="2126" w:type="dxa"/>
            <w:vAlign w:val="center"/>
          </w:tcPr>
          <w:p w14:paraId="053840A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bl>
    <w:p w14:paraId="6BD13E98">
      <w:pPr>
        <w:spacing w:line="432" w:lineRule="auto"/>
        <w:ind w:firstLine="643" w:firstLineChars="200"/>
        <w:rPr>
          <w:rFonts w:hint="eastAsia" w:ascii="楷体_GB2312" w:hAnsi="楷体_GB2312" w:eastAsia="楷体_GB2312" w:cs="楷体_GB2312"/>
          <w:b/>
          <w:bCs/>
          <w:sz w:val="32"/>
          <w:szCs w:val="32"/>
          <w:lang w:val="en-US" w:eastAsia="zh-CN"/>
        </w:rPr>
      </w:pPr>
    </w:p>
    <w:p w14:paraId="38A5A9C5">
      <w:pPr>
        <w:spacing w:line="432" w:lineRule="auto"/>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五、对室内控制系统（强弱电系统）进行检修维护。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595"/>
        <w:gridCol w:w="2143"/>
      </w:tblGrid>
      <w:tr w14:paraId="4BE3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00683EC">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595" w:type="dxa"/>
            <w:vAlign w:val="center"/>
          </w:tcPr>
          <w:p w14:paraId="61A158F1">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43" w:type="dxa"/>
            <w:vAlign w:val="center"/>
          </w:tcPr>
          <w:p w14:paraId="64FE52F2">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4E37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0A888B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95" w:type="dxa"/>
            <w:vAlign w:val="center"/>
          </w:tcPr>
          <w:p w14:paraId="152AC93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分析系统运行记录 </w:t>
            </w:r>
          </w:p>
        </w:tc>
        <w:tc>
          <w:tcPr>
            <w:tcW w:w="2143" w:type="dxa"/>
            <w:vAlign w:val="center"/>
          </w:tcPr>
          <w:p w14:paraId="2CFD8B4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489B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AD823F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595" w:type="dxa"/>
            <w:vAlign w:val="center"/>
          </w:tcPr>
          <w:p w14:paraId="7433D4B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查看最近故障记录并及时消除</w:t>
            </w:r>
          </w:p>
        </w:tc>
        <w:tc>
          <w:tcPr>
            <w:tcW w:w="2143" w:type="dxa"/>
            <w:vAlign w:val="center"/>
          </w:tcPr>
          <w:p w14:paraId="75C639F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47A3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5990E1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595" w:type="dxa"/>
            <w:vAlign w:val="center"/>
          </w:tcPr>
          <w:p w14:paraId="457A49E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检查变频器运行温度，并进行故障处理</w:t>
            </w:r>
          </w:p>
        </w:tc>
        <w:tc>
          <w:tcPr>
            <w:tcW w:w="2143" w:type="dxa"/>
            <w:vAlign w:val="center"/>
          </w:tcPr>
          <w:p w14:paraId="06964D8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5C1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2582C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595" w:type="dxa"/>
            <w:vAlign w:val="center"/>
          </w:tcPr>
          <w:p w14:paraId="1D109E4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检查变频器显示LED数码管，并进行故障处理</w:t>
            </w:r>
          </w:p>
        </w:tc>
        <w:tc>
          <w:tcPr>
            <w:tcW w:w="2143" w:type="dxa"/>
            <w:vAlign w:val="center"/>
          </w:tcPr>
          <w:p w14:paraId="73DD25F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286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623343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595" w:type="dxa"/>
            <w:vAlign w:val="center"/>
          </w:tcPr>
          <w:p w14:paraId="781DCA4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检查变频器电位器，并进行故障处理</w:t>
            </w:r>
          </w:p>
        </w:tc>
        <w:tc>
          <w:tcPr>
            <w:tcW w:w="2143" w:type="dxa"/>
            <w:vAlign w:val="center"/>
          </w:tcPr>
          <w:p w14:paraId="0D70D1F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19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CD389C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595" w:type="dxa"/>
            <w:vAlign w:val="center"/>
          </w:tcPr>
          <w:p w14:paraId="5FFBC241">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清洁配电装置的内外部</w:t>
            </w:r>
          </w:p>
        </w:tc>
        <w:tc>
          <w:tcPr>
            <w:tcW w:w="2143" w:type="dxa"/>
            <w:vAlign w:val="center"/>
          </w:tcPr>
          <w:p w14:paraId="12AEF11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42F6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70D333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595" w:type="dxa"/>
            <w:vAlign w:val="center"/>
          </w:tcPr>
          <w:p w14:paraId="2042A3B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检查电线电缆，并进行故障处理</w:t>
            </w:r>
          </w:p>
        </w:tc>
        <w:tc>
          <w:tcPr>
            <w:tcW w:w="2143" w:type="dxa"/>
            <w:vAlign w:val="center"/>
          </w:tcPr>
          <w:p w14:paraId="5AAF161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636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DAAE5B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595" w:type="dxa"/>
            <w:vAlign w:val="center"/>
          </w:tcPr>
          <w:p w14:paraId="1AD7FF3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检查控制信号线，并进行故障处理</w:t>
            </w:r>
          </w:p>
        </w:tc>
        <w:tc>
          <w:tcPr>
            <w:tcW w:w="2143" w:type="dxa"/>
            <w:vAlign w:val="center"/>
          </w:tcPr>
          <w:p w14:paraId="7B0D234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433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2F5B5F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595" w:type="dxa"/>
            <w:vAlign w:val="center"/>
          </w:tcPr>
          <w:p w14:paraId="43E55F6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检查电气操作机构，并进行故障处理</w:t>
            </w:r>
          </w:p>
        </w:tc>
        <w:tc>
          <w:tcPr>
            <w:tcW w:w="2143" w:type="dxa"/>
            <w:vAlign w:val="center"/>
          </w:tcPr>
          <w:p w14:paraId="4D76BD4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74E2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954365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5595" w:type="dxa"/>
            <w:vAlign w:val="center"/>
          </w:tcPr>
          <w:p w14:paraId="5AAD39E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检查按钮控制开关，并进行故障处理</w:t>
            </w:r>
          </w:p>
        </w:tc>
        <w:tc>
          <w:tcPr>
            <w:tcW w:w="2143" w:type="dxa"/>
            <w:vAlign w:val="center"/>
          </w:tcPr>
          <w:p w14:paraId="7859AE9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95F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68516B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5595" w:type="dxa"/>
            <w:vAlign w:val="center"/>
          </w:tcPr>
          <w:p w14:paraId="020E8FD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检查指示灯，并进行故障处理</w:t>
            </w:r>
          </w:p>
        </w:tc>
        <w:tc>
          <w:tcPr>
            <w:tcW w:w="2143" w:type="dxa"/>
            <w:vAlign w:val="center"/>
          </w:tcPr>
          <w:p w14:paraId="6BF735D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2AF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80890B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5595" w:type="dxa"/>
            <w:vAlign w:val="center"/>
          </w:tcPr>
          <w:p w14:paraId="07CEB39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检查接地装置是否良好，并进行故障处理                                     </w:t>
            </w:r>
          </w:p>
        </w:tc>
        <w:tc>
          <w:tcPr>
            <w:tcW w:w="2143" w:type="dxa"/>
            <w:vAlign w:val="center"/>
          </w:tcPr>
          <w:p w14:paraId="11906DA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12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709BCF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5595" w:type="dxa"/>
            <w:vAlign w:val="center"/>
          </w:tcPr>
          <w:p w14:paraId="050A83C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检查交流接触器 ，并进行故障处理                                     </w:t>
            </w:r>
          </w:p>
        </w:tc>
        <w:tc>
          <w:tcPr>
            <w:tcW w:w="2143" w:type="dxa"/>
            <w:vAlign w:val="center"/>
          </w:tcPr>
          <w:p w14:paraId="01DB1BCF">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57D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65AD46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5595" w:type="dxa"/>
            <w:vAlign w:val="center"/>
          </w:tcPr>
          <w:p w14:paraId="224E2CC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检查热继电器 ，并进行故障处理                                       </w:t>
            </w:r>
          </w:p>
        </w:tc>
        <w:tc>
          <w:tcPr>
            <w:tcW w:w="2143" w:type="dxa"/>
            <w:vAlign w:val="center"/>
          </w:tcPr>
          <w:p w14:paraId="2254FEA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26E4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601314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5595" w:type="dxa"/>
            <w:vAlign w:val="center"/>
          </w:tcPr>
          <w:p w14:paraId="3A2DFD6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检查中间继电器 ，并进行故障处理                                      </w:t>
            </w:r>
          </w:p>
        </w:tc>
        <w:tc>
          <w:tcPr>
            <w:tcW w:w="2143" w:type="dxa"/>
            <w:vAlign w:val="center"/>
          </w:tcPr>
          <w:p w14:paraId="73F09A6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0FB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D3BEF9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5595" w:type="dxa"/>
            <w:vAlign w:val="center"/>
          </w:tcPr>
          <w:p w14:paraId="4F433A76">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电能表的电量记录                                     </w:t>
            </w:r>
          </w:p>
        </w:tc>
        <w:tc>
          <w:tcPr>
            <w:tcW w:w="2143" w:type="dxa"/>
            <w:vAlign w:val="center"/>
          </w:tcPr>
          <w:p w14:paraId="0B405F3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1268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BFF24D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5595" w:type="dxa"/>
            <w:vAlign w:val="center"/>
          </w:tcPr>
          <w:p w14:paraId="314E024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检查PLC的电池电量                                       </w:t>
            </w:r>
          </w:p>
        </w:tc>
        <w:tc>
          <w:tcPr>
            <w:tcW w:w="2143" w:type="dxa"/>
            <w:vAlign w:val="center"/>
          </w:tcPr>
          <w:p w14:paraId="24F8339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45B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AE0EFE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5595" w:type="dxa"/>
            <w:vAlign w:val="center"/>
          </w:tcPr>
          <w:p w14:paraId="4B110D9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检查PLC输入电压                                         </w:t>
            </w:r>
          </w:p>
        </w:tc>
        <w:tc>
          <w:tcPr>
            <w:tcW w:w="2143" w:type="dxa"/>
            <w:vAlign w:val="center"/>
          </w:tcPr>
          <w:p w14:paraId="24802BF3">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56C3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973752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5595" w:type="dxa"/>
            <w:vAlign w:val="center"/>
          </w:tcPr>
          <w:p w14:paraId="5F11CEE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xml:space="preserve">上位机清洁 </w:t>
            </w:r>
          </w:p>
        </w:tc>
        <w:tc>
          <w:tcPr>
            <w:tcW w:w="2143" w:type="dxa"/>
            <w:vAlign w:val="center"/>
          </w:tcPr>
          <w:p w14:paraId="7CC5EE65">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bl>
    <w:p w14:paraId="7B4433CD">
      <w:pPr>
        <w:spacing w:line="432" w:lineRule="auto"/>
        <w:ind w:firstLine="482" w:firstLineChars="200"/>
        <w:rPr>
          <w:rFonts w:hint="eastAsia" w:ascii="黑体" w:hAnsi="黑体" w:eastAsia="黑体" w:cs="黑体"/>
          <w:b/>
          <w:bCs/>
          <w:sz w:val="24"/>
          <w:szCs w:val="24"/>
          <w:lang w:val="en-US" w:eastAsia="zh-CN"/>
        </w:rPr>
      </w:pPr>
    </w:p>
    <w:p w14:paraId="2E653C53">
      <w:pPr>
        <w:spacing w:line="432" w:lineRule="auto"/>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六、对冷媒管道系统进行检修维护。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612"/>
        <w:gridCol w:w="2126"/>
      </w:tblGrid>
      <w:tr w14:paraId="5D05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0A32A8F">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5612" w:type="dxa"/>
            <w:vAlign w:val="center"/>
          </w:tcPr>
          <w:p w14:paraId="180FA3E0">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具体工作内容</w:t>
            </w:r>
          </w:p>
        </w:tc>
        <w:tc>
          <w:tcPr>
            <w:tcW w:w="2126" w:type="dxa"/>
            <w:vAlign w:val="center"/>
          </w:tcPr>
          <w:p w14:paraId="48595326">
            <w:pPr>
              <w:spacing w:line="432"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14:paraId="42D8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1264BB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12" w:type="dxa"/>
            <w:vAlign w:val="center"/>
          </w:tcPr>
          <w:p w14:paraId="5B13BEB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管路放水排空</w:t>
            </w:r>
          </w:p>
        </w:tc>
        <w:tc>
          <w:tcPr>
            <w:tcW w:w="2126" w:type="dxa"/>
            <w:vAlign w:val="center"/>
          </w:tcPr>
          <w:p w14:paraId="3F40718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60A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E97CB9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612" w:type="dxa"/>
            <w:vAlign w:val="center"/>
          </w:tcPr>
          <w:p w14:paraId="6BA4880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循环水路加药水清洗</w:t>
            </w:r>
          </w:p>
        </w:tc>
        <w:tc>
          <w:tcPr>
            <w:tcW w:w="2126" w:type="dxa"/>
            <w:vAlign w:val="center"/>
          </w:tcPr>
          <w:p w14:paraId="751B73FE">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3776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A54AD0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612" w:type="dxa"/>
            <w:vAlign w:val="center"/>
          </w:tcPr>
          <w:p w14:paraId="38D68D8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管路连接处的阀门、过滤器、单向阀、压力表、温度计等附件检查，并进行故障处理</w:t>
            </w:r>
          </w:p>
        </w:tc>
        <w:tc>
          <w:tcPr>
            <w:tcW w:w="2126" w:type="dxa"/>
            <w:vAlign w:val="center"/>
          </w:tcPr>
          <w:p w14:paraId="15876E59">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r w14:paraId="2B04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1C220A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612" w:type="dxa"/>
            <w:vAlign w:val="center"/>
          </w:tcPr>
          <w:p w14:paraId="11039DFC">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管路保温棉粘合度检查，并进行故障处理</w:t>
            </w:r>
          </w:p>
        </w:tc>
        <w:tc>
          <w:tcPr>
            <w:tcW w:w="2126" w:type="dxa"/>
            <w:vAlign w:val="center"/>
          </w:tcPr>
          <w:p w14:paraId="0071ECAB">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1"/>
                <w:szCs w:val="21"/>
                <w:vertAlign w:val="baseline"/>
                <w:lang w:eastAsia="zh-CN"/>
              </w:rPr>
            </w:pPr>
          </w:p>
        </w:tc>
      </w:tr>
    </w:tbl>
    <w:p w14:paraId="70923103">
      <w:pPr>
        <w:spacing w:line="360" w:lineRule="auto"/>
        <w:rPr>
          <w:rFonts w:ascii="宋体" w:hAnsi="宋体" w:eastAsia="宋体" w:cs="宋体"/>
          <w:b/>
          <w:sz w:val="24"/>
          <w:szCs w:val="2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14:paraId="06563286">
        <w:pPr>
          <w:pStyle w:val="3"/>
          <w:jc w:val="center"/>
        </w:pPr>
        <w:r>
          <w:fldChar w:fldCharType="begin"/>
        </w:r>
        <w:r>
          <w:instrText xml:space="preserve">PAGE   \* MERGEFORMAT</w:instrText>
        </w:r>
        <w:r>
          <w:fldChar w:fldCharType="separate"/>
        </w:r>
        <w:r>
          <w:rPr>
            <w:lang w:val="zh-CN"/>
          </w:rPr>
          <w:t>1</w:t>
        </w:r>
        <w:r>
          <w:fldChar w:fldCharType="end"/>
        </w:r>
      </w:p>
    </w:sdtContent>
  </w:sdt>
  <w:p w14:paraId="4F0EE6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08B2">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Fonts w:hint="eastAsia"/>
      </w:rPr>
      <w:t>一</w:t>
    </w:r>
    <w:r>
      <w:rPr>
        <w:rStyle w:val="9"/>
      </w:rPr>
      <w:t>–2</w:t>
    </w:r>
    <w:r>
      <w:fldChar w:fldCharType="end"/>
    </w:r>
  </w:p>
  <w:p w14:paraId="61BDE634">
    <w:pPr>
      <w:pStyle w:val="3"/>
      <w:ind w:right="360"/>
      <w:jc w:val="center"/>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F958">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290"/>
      <w:docPartObj>
        <w:docPartGallery w:val="autotext"/>
      </w:docPartObj>
    </w:sdtPr>
    <w:sdtContent>
      <w:p w14:paraId="4F028AE8">
        <w:pPr>
          <w:pStyle w:val="3"/>
          <w:jc w:val="center"/>
        </w:pPr>
        <w:r>
          <w:fldChar w:fldCharType="begin"/>
        </w:r>
        <w:r>
          <w:instrText xml:space="preserve">PAGE   \* MERGEFORMAT</w:instrText>
        </w:r>
        <w:r>
          <w:fldChar w:fldCharType="separate"/>
        </w:r>
        <w:r>
          <w:rPr>
            <w:lang w:val="zh-CN"/>
          </w:rPr>
          <w:t>1</w:t>
        </w:r>
        <w:r>
          <w:fldChar w:fldCharType="end"/>
        </w:r>
      </w:p>
    </w:sdtContent>
  </w:sdt>
  <w:p w14:paraId="1A54070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6354">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D87B">
    <w:pPr>
      <w:pStyle w:val="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5DE3">
    <w:pPr>
      <w:pStyle w:val="4"/>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EB51">
    <w:pPr>
      <w:pStyle w:val="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第%1条"/>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WU2YjliN2Q1N2UzZjgxOWU5NGNmNTU2NzkyMmMifQ=="/>
  </w:docVars>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075C55B5"/>
    <w:rsid w:val="0A6D18E6"/>
    <w:rsid w:val="0AB614DF"/>
    <w:rsid w:val="0E084B5E"/>
    <w:rsid w:val="0E1A4CA1"/>
    <w:rsid w:val="10BB784F"/>
    <w:rsid w:val="11A77DD3"/>
    <w:rsid w:val="41CC4B69"/>
    <w:rsid w:val="531719BC"/>
    <w:rsid w:val="5506612D"/>
    <w:rsid w:val="56513E4D"/>
    <w:rsid w:val="58A019AC"/>
    <w:rsid w:val="5A3F0176"/>
    <w:rsid w:val="64EF09EB"/>
    <w:rsid w:val="653D7244"/>
    <w:rsid w:val="657B5DDA"/>
    <w:rsid w:val="665274C6"/>
    <w:rsid w:val="6B911907"/>
    <w:rsid w:val="6C383490"/>
    <w:rsid w:val="7A721A4A"/>
    <w:rsid w:val="7C1A5089"/>
    <w:rsid w:val="7DA4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qFormat/>
    <w:uiPriority w:val="0"/>
    <w:pPr>
      <w:spacing w:after="120"/>
      <w:ind w:left="420" w:leftChars="200"/>
    </w:pPr>
    <w:rPr>
      <w:rFonts w:ascii="Times New Roman" w:hAnsi="Times New Roman" w:eastAsia="宋体" w:cs="Times New Roman"/>
      <w:sz w:val="16"/>
      <w:szCs w:val="16"/>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ascii="Arial" w:hAnsi="Arial"/>
      <w:sz w:val="18"/>
    </w:rPr>
  </w:style>
  <w:style w:type="paragraph" w:customStyle="1" w:styleId="10">
    <w:name w:val="_Style 3"/>
    <w:next w:val="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正文文本缩进 3 Char"/>
    <w:basedOn w:val="8"/>
    <w:link w:val="5"/>
    <w:qFormat/>
    <w:uiPriority w:val="0"/>
    <w:rPr>
      <w:rFonts w:ascii="Times New Roman" w:hAnsi="Times New Roman" w:eastAsia="宋体" w:cs="Times New Roman"/>
      <w:sz w:val="16"/>
      <w:szCs w:val="16"/>
    </w:rPr>
  </w:style>
  <w:style w:type="character" w:customStyle="1" w:styleId="12">
    <w:name w:val="页脚 Char"/>
    <w:basedOn w:val="8"/>
    <w:link w:val="3"/>
    <w:qFormat/>
    <w:uiPriority w:val="99"/>
    <w:rPr>
      <w:sz w:val="18"/>
      <w:szCs w:val="18"/>
    </w:rPr>
  </w:style>
  <w:style w:type="character" w:customStyle="1" w:styleId="13">
    <w:name w:val="页眉 Char"/>
    <w:basedOn w:val="8"/>
    <w:link w:val="4"/>
    <w:qFormat/>
    <w:uiPriority w:val="99"/>
    <w:rPr>
      <w:sz w:val="18"/>
      <w:szCs w:val="18"/>
    </w:rPr>
  </w:style>
  <w:style w:type="character" w:customStyle="1" w:styleId="14">
    <w:name w:val="批注框文本 Char"/>
    <w:basedOn w:val="8"/>
    <w:link w:val="2"/>
    <w:semiHidden/>
    <w:qFormat/>
    <w:uiPriority w:val="99"/>
    <w:rPr>
      <w:sz w:val="18"/>
      <w:szCs w:val="18"/>
    </w:rPr>
  </w:style>
  <w:style w:type="paragraph" w:styleId="15">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9094</Words>
  <Characters>9346</Characters>
  <Lines>70</Lines>
  <Paragraphs>19</Paragraphs>
  <TotalTime>195</TotalTime>
  <ScaleCrop>false</ScaleCrop>
  <LinksUpToDate>false</LinksUpToDate>
  <CharactersWithSpaces>10326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张秉伟</cp:lastModifiedBy>
  <cp:lastPrinted>2022-04-22T09:03:00Z</cp:lastPrinted>
  <dcterms:modified xsi:type="dcterms:W3CDTF">2024-09-04T06:49:51Z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909105D99496430489D0A0BDE259A89F_13</vt:lpwstr>
  </property>
</Properties>
</file>