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0"/>
        <w:rPr>
          <w:sz w:val="32"/>
          <w:szCs w:val="32"/>
        </w:rPr>
      </w:pPr>
      <w:bookmarkStart w:id="24" w:name="_GoBack"/>
      <w:bookmarkEnd w:id="24"/>
    </w:p>
    <w:p>
      <w:pPr>
        <w:pStyle w:val="11"/>
      </w:pPr>
    </w:p>
    <w:p>
      <w:pPr>
        <w:pStyle w:val="7"/>
        <w:rPr>
          <w:b w:val="0"/>
          <w:bCs w:val="0"/>
          <w:sz w:val="32"/>
          <w:szCs w:val="32"/>
        </w:rPr>
      </w:pPr>
    </w:p>
    <w:p>
      <w:pPr>
        <w:tabs>
          <w:tab w:val="left" w:pos="720"/>
        </w:tabs>
        <w:spacing w:line="360" w:lineRule="auto"/>
        <w:ind w:left="494" w:leftChars="174" w:right="393" w:rightChars="187" w:hanging="129" w:hangingChars="27"/>
        <w:jc w:val="center"/>
        <w:rPr>
          <w:rFonts w:hint="eastAsia" w:ascii="方正小标宋简体" w:hAnsi="方正小标宋简体" w:eastAsia="方正小标宋简体" w:cs="方正小标宋简体"/>
          <w:b w:val="0"/>
          <w:bCs w:val="0"/>
          <w:spacing w:val="-30"/>
          <w:w w:val="90"/>
          <w:sz w:val="60"/>
          <w:szCs w:val="60"/>
        </w:rPr>
      </w:pPr>
      <w:r>
        <w:rPr>
          <w:rFonts w:hint="eastAsia" w:ascii="方正小标宋简体" w:hAnsi="方正小标宋简体" w:eastAsia="方正小标宋简体" w:cs="方正小标宋简体"/>
          <w:b w:val="0"/>
          <w:bCs w:val="0"/>
          <w:spacing w:val="-30"/>
          <w:w w:val="90"/>
          <w:sz w:val="60"/>
          <w:szCs w:val="60"/>
        </w:rPr>
        <w:t>广东省消防救援总队遴选文件</w:t>
      </w:r>
    </w:p>
    <w:p>
      <w:pPr>
        <w:tabs>
          <w:tab w:val="left" w:pos="720"/>
        </w:tabs>
        <w:spacing w:line="360" w:lineRule="auto"/>
        <w:ind w:left="494" w:leftChars="174" w:right="393" w:rightChars="187" w:hanging="129" w:hangingChars="27"/>
        <w:jc w:val="center"/>
        <w:rPr>
          <w:rFonts w:hint="eastAsia" w:ascii="方正小标宋简体" w:hAnsi="方正小标宋简体" w:eastAsia="方正小标宋简体" w:cs="方正小标宋简体"/>
          <w:b w:val="0"/>
          <w:bCs w:val="0"/>
          <w:spacing w:val="-30"/>
          <w:w w:val="90"/>
          <w:sz w:val="60"/>
          <w:szCs w:val="60"/>
        </w:rPr>
      </w:pPr>
      <w:r>
        <w:rPr>
          <w:rFonts w:hint="eastAsia" w:ascii="方正小标宋简体" w:hAnsi="方正小标宋简体" w:eastAsia="方正小标宋简体" w:cs="方正小标宋简体"/>
          <w:b w:val="0"/>
          <w:bCs w:val="0"/>
          <w:spacing w:val="-30"/>
          <w:w w:val="90"/>
          <w:sz w:val="60"/>
          <w:szCs w:val="60"/>
          <w:lang w:eastAsia="zh-Hans"/>
        </w:rPr>
        <w:t>（202</w:t>
      </w:r>
      <w:r>
        <w:rPr>
          <w:rFonts w:hint="eastAsia" w:ascii="方正小标宋简体" w:hAnsi="方正小标宋简体" w:eastAsia="方正小标宋简体" w:cs="方正小标宋简体"/>
          <w:b w:val="0"/>
          <w:bCs w:val="0"/>
          <w:spacing w:val="-30"/>
          <w:w w:val="90"/>
          <w:sz w:val="60"/>
          <w:szCs w:val="60"/>
        </w:rPr>
        <w:t>4</w:t>
      </w:r>
      <w:r>
        <w:rPr>
          <w:rFonts w:hint="eastAsia" w:ascii="方正小标宋简体" w:hAnsi="方正小标宋简体" w:eastAsia="方正小标宋简体" w:cs="方正小标宋简体"/>
          <w:b w:val="0"/>
          <w:bCs w:val="0"/>
          <w:spacing w:val="-30"/>
          <w:w w:val="90"/>
          <w:sz w:val="60"/>
          <w:szCs w:val="60"/>
          <w:lang w:eastAsia="zh-Hans"/>
        </w:rPr>
        <w:t>年度</w:t>
      </w:r>
      <w:r>
        <w:rPr>
          <w:rFonts w:hint="eastAsia" w:ascii="方正小标宋简体" w:hAnsi="方正小标宋简体" w:eastAsia="方正小标宋简体" w:cs="方正小标宋简体"/>
          <w:b w:val="0"/>
          <w:bCs w:val="0"/>
          <w:spacing w:val="-30"/>
          <w:w w:val="90"/>
          <w:sz w:val="60"/>
          <w:szCs w:val="60"/>
        </w:rPr>
        <w:t>使用领域</w:t>
      </w:r>
      <w:r>
        <w:rPr>
          <w:rFonts w:hint="eastAsia" w:ascii="方正小标宋简体" w:hAnsi="方正小标宋简体" w:eastAsia="方正小标宋简体" w:cs="方正小标宋简体"/>
          <w:b w:val="0"/>
          <w:bCs w:val="0"/>
          <w:spacing w:val="-30"/>
          <w:w w:val="90"/>
          <w:sz w:val="60"/>
          <w:szCs w:val="60"/>
          <w:lang w:eastAsia="zh-Hans"/>
        </w:rPr>
        <w:t>消防产品</w:t>
      </w:r>
      <w:r>
        <w:rPr>
          <w:rFonts w:hint="eastAsia" w:ascii="方正小标宋简体" w:hAnsi="方正小标宋简体" w:eastAsia="方正小标宋简体" w:cs="方正小标宋简体"/>
          <w:b w:val="0"/>
          <w:bCs w:val="0"/>
          <w:spacing w:val="-30"/>
          <w:w w:val="90"/>
          <w:sz w:val="60"/>
          <w:szCs w:val="60"/>
        </w:rPr>
        <w:t>专项</w:t>
      </w:r>
      <w:r>
        <w:rPr>
          <w:rFonts w:hint="eastAsia" w:ascii="方正小标宋简体" w:hAnsi="方正小标宋简体" w:eastAsia="方正小标宋简体" w:cs="方正小标宋简体"/>
          <w:b w:val="0"/>
          <w:bCs w:val="0"/>
          <w:spacing w:val="-30"/>
          <w:w w:val="90"/>
          <w:sz w:val="60"/>
          <w:szCs w:val="60"/>
          <w:lang w:eastAsia="zh-Hans"/>
        </w:rPr>
        <w:t>监督抽查检验</w:t>
      </w:r>
      <w:r>
        <w:rPr>
          <w:rFonts w:hint="eastAsia" w:ascii="方正小标宋简体" w:hAnsi="方正小标宋简体" w:eastAsia="方正小标宋简体" w:cs="方正小标宋简体"/>
          <w:b w:val="0"/>
          <w:bCs w:val="0"/>
          <w:spacing w:val="-30"/>
          <w:w w:val="90"/>
          <w:sz w:val="60"/>
          <w:szCs w:val="60"/>
        </w:rPr>
        <w:t>购买服务</w:t>
      </w:r>
      <w:r>
        <w:rPr>
          <w:rFonts w:hint="eastAsia" w:ascii="方正小标宋简体" w:hAnsi="方正小标宋简体" w:eastAsia="方正小标宋简体" w:cs="方正小标宋简体"/>
          <w:b w:val="0"/>
          <w:bCs w:val="0"/>
          <w:spacing w:val="-30"/>
          <w:w w:val="90"/>
          <w:sz w:val="60"/>
          <w:szCs w:val="60"/>
          <w:lang w:eastAsia="zh-Hans"/>
        </w:rPr>
        <w:t>项目</w:t>
      </w:r>
      <w:r>
        <w:rPr>
          <w:rFonts w:hint="eastAsia" w:ascii="方正小标宋简体" w:hAnsi="方正小标宋简体" w:eastAsia="方正小标宋简体" w:cs="方正小标宋简体"/>
          <w:b w:val="0"/>
          <w:bCs w:val="0"/>
          <w:spacing w:val="-30"/>
          <w:w w:val="90"/>
          <w:sz w:val="60"/>
          <w:szCs w:val="60"/>
        </w:rPr>
        <w:t>）</w:t>
      </w:r>
    </w:p>
    <w:p>
      <w:pPr>
        <w:tabs>
          <w:tab w:val="left" w:pos="720"/>
        </w:tabs>
        <w:spacing w:line="360" w:lineRule="auto"/>
        <w:ind w:left="451" w:leftChars="174" w:right="393" w:rightChars="187" w:hanging="86" w:hangingChars="27"/>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（项目编号：</w:t>
      </w:r>
      <w:r>
        <w:rPr>
          <w:rFonts w:hint="eastAsia" w:ascii="方正小标宋简体" w:hAnsi="方正小标宋简体" w:eastAsia="方正小标宋简体" w:cs="方正小标宋简体"/>
          <w:b w:val="0"/>
          <w:bCs w:val="0"/>
          <w:sz w:val="32"/>
          <w:szCs w:val="32"/>
          <w:u w:val="single"/>
        </w:rPr>
        <w:t xml:space="preserve"> GDXF2024XFCPJY </w:t>
      </w:r>
      <w:r>
        <w:rPr>
          <w:rFonts w:hint="eastAsia" w:ascii="方正小标宋简体" w:hAnsi="方正小标宋简体" w:eastAsia="方正小标宋简体" w:cs="方正小标宋简体"/>
          <w:b w:val="0"/>
          <w:bCs w:val="0"/>
          <w:sz w:val="32"/>
          <w:szCs w:val="32"/>
        </w:rPr>
        <w:t>）</w:t>
      </w:r>
    </w:p>
    <w:p>
      <w:pPr>
        <w:tabs>
          <w:tab w:val="left" w:pos="720"/>
        </w:tabs>
        <w:spacing w:line="360" w:lineRule="auto"/>
        <w:jc w:val="center"/>
        <w:rPr>
          <w:rFonts w:hint="eastAsia" w:ascii="方正小标宋简体" w:hAnsi="方正小标宋简体" w:eastAsia="方正小标宋简体" w:cs="方正小标宋简体"/>
          <w:b w:val="0"/>
          <w:bCs w:val="0"/>
          <w:sz w:val="52"/>
          <w:szCs w:val="52"/>
        </w:rPr>
      </w:pPr>
    </w:p>
    <w:p>
      <w:pPr>
        <w:spacing w:line="360" w:lineRule="auto"/>
        <w:jc w:val="center"/>
        <w:rPr>
          <w:rFonts w:hint="eastAsia" w:ascii="方正小标宋简体" w:hAnsi="方正小标宋简体" w:eastAsia="方正小标宋简体" w:cs="方正小标宋简体"/>
          <w:b w:val="0"/>
          <w:bCs w:val="0"/>
          <w:spacing w:val="-30"/>
          <w:sz w:val="52"/>
          <w:szCs w:val="52"/>
        </w:rPr>
      </w:pPr>
      <w:r>
        <w:rPr>
          <w:rFonts w:hint="eastAsia" w:ascii="方正小标宋简体" w:hAnsi="方正小标宋简体" w:eastAsia="方正小标宋简体" w:cs="方正小标宋简体"/>
          <w:b w:val="0"/>
          <w:bCs w:val="0"/>
          <w:spacing w:val="-30"/>
          <w:sz w:val="52"/>
          <w:szCs w:val="52"/>
        </w:rPr>
        <w:t>遴选文件</w:t>
      </w:r>
    </w:p>
    <w:p>
      <w:pPr>
        <w:spacing w:line="360" w:lineRule="auto"/>
        <w:jc w:val="center"/>
        <w:rPr>
          <w:rFonts w:hint="eastAsia" w:ascii="方正小标宋简体" w:hAnsi="方正小标宋简体" w:eastAsia="方正小标宋简体" w:cs="方正小标宋简体"/>
          <w:b w:val="0"/>
          <w:bCs w:val="0"/>
          <w:sz w:val="52"/>
          <w:szCs w:val="52"/>
        </w:rPr>
      </w:pPr>
    </w:p>
    <w:p>
      <w:pPr>
        <w:spacing w:line="360" w:lineRule="auto"/>
        <w:rPr>
          <w:rFonts w:hint="eastAsia" w:ascii="方正小标宋简体" w:hAnsi="方正小标宋简体" w:eastAsia="方正小标宋简体" w:cs="方正小标宋简体"/>
          <w:b w:val="0"/>
          <w:bCs w:val="0"/>
          <w:sz w:val="32"/>
          <w:szCs w:val="32"/>
        </w:rPr>
      </w:pPr>
    </w:p>
    <w:p>
      <w:pPr>
        <w:pStyle w:val="7"/>
        <w:rPr>
          <w:rFonts w:hint="eastAsia" w:ascii="方正小标宋简体" w:hAnsi="方正小标宋简体" w:eastAsia="方正小标宋简体" w:cs="方正小标宋简体"/>
          <w:b w:val="0"/>
          <w:bCs w:val="0"/>
        </w:rPr>
      </w:pPr>
    </w:p>
    <w:p>
      <w:pPr>
        <w:spacing w:line="360" w:lineRule="auto"/>
        <w:rPr>
          <w:rFonts w:hint="eastAsia" w:ascii="方正小标宋简体" w:hAnsi="方正小标宋简体" w:eastAsia="方正小标宋简体" w:cs="方正小标宋简体"/>
          <w:b w:val="0"/>
          <w:bCs w:val="0"/>
          <w:sz w:val="32"/>
          <w:szCs w:val="32"/>
        </w:rPr>
      </w:pPr>
    </w:p>
    <w:p>
      <w:pPr>
        <w:spacing w:line="360" w:lineRule="auto"/>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采购人：广东省消防救援总队</w:t>
      </w:r>
    </w:p>
    <w:p>
      <w:pPr>
        <w:spacing w:line="360" w:lineRule="auto"/>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2024年</w:t>
      </w:r>
      <w:r>
        <w:rPr>
          <w:rFonts w:hint="eastAsia" w:ascii="方正小标宋简体" w:hAnsi="方正小标宋简体" w:eastAsia="方正小标宋简体" w:cs="方正小标宋简体"/>
          <w:b w:val="0"/>
          <w:bCs w:val="0"/>
          <w:sz w:val="32"/>
          <w:szCs w:val="32"/>
          <w:lang w:val="en-US" w:eastAsia="zh-CN"/>
        </w:rPr>
        <w:t>5</w:t>
      </w:r>
      <w:r>
        <w:rPr>
          <w:rFonts w:hint="eastAsia" w:ascii="方正小标宋简体" w:hAnsi="方正小标宋简体" w:eastAsia="方正小标宋简体" w:cs="方正小标宋简体"/>
          <w:b w:val="0"/>
          <w:bCs w:val="0"/>
          <w:sz w:val="32"/>
          <w:szCs w:val="32"/>
        </w:rPr>
        <w:t>月</w:t>
      </w:r>
    </w:p>
    <w:p>
      <w:pPr>
        <w:jc w:val="center"/>
        <w:rPr>
          <w:rFonts w:hint="eastAsia" w:ascii="方正小标宋简体" w:hAnsi="方正小标宋简体" w:eastAsia="方正小标宋简体" w:cs="方正小标宋简体"/>
          <w:b w:val="0"/>
          <w:bCs w:val="0"/>
          <w:sz w:val="32"/>
          <w:szCs w:val="32"/>
        </w:rPr>
        <w:sectPr>
          <w:pgSz w:w="11906" w:h="16838"/>
          <w:pgMar w:top="1440" w:right="1416" w:bottom="1440" w:left="1276" w:header="851" w:footer="992" w:gutter="0"/>
          <w:pgNumType w:fmt="decimal" w:start="0"/>
          <w:cols w:space="720" w:num="1"/>
          <w:docGrid w:type="lines" w:linePitch="312" w:charSpace="0"/>
        </w:sectPr>
      </w:pPr>
      <w:bookmarkStart w:id="0" w:name="_Toc370744755"/>
    </w:p>
    <w:bookmarkEnd w:id="0"/>
    <w:p>
      <w:pPr>
        <w:keepNext/>
        <w:keepLines/>
        <w:adjustRightInd w:val="0"/>
        <w:spacing w:line="360" w:lineRule="auto"/>
        <w:jc w:val="center"/>
        <w:textAlignment w:val="baseline"/>
        <w:outlineLvl w:val="1"/>
        <w:rPr>
          <w:rFonts w:ascii="宋体" w:hAnsi="宋体"/>
          <w:b/>
          <w:sz w:val="32"/>
          <w:szCs w:val="32"/>
        </w:rPr>
      </w:pPr>
      <w:bookmarkStart w:id="1" w:name="_Toc337541094"/>
      <w:bookmarkStart w:id="2" w:name="_Toc371172264"/>
      <w:r>
        <w:rPr>
          <w:rFonts w:hint="eastAsia" w:ascii="宋体" w:cs="Arial"/>
          <w:b/>
          <w:bCs/>
          <w:kern w:val="0"/>
          <w:sz w:val="32"/>
          <w:szCs w:val="32"/>
        </w:rPr>
        <w:t>第一</w:t>
      </w:r>
      <w:r>
        <w:rPr>
          <w:rFonts w:hint="eastAsia" w:ascii="宋体" w:hAnsi="宋体"/>
          <w:b/>
          <w:sz w:val="32"/>
          <w:szCs w:val="32"/>
        </w:rPr>
        <w:t>章  参评须知</w:t>
      </w:r>
      <w:bookmarkEnd w:id="1"/>
      <w:bookmarkEnd w:id="2"/>
    </w:p>
    <w:p>
      <w:pPr>
        <w:jc w:val="center"/>
        <w:rPr>
          <w:rFonts w:ascii="宋体" w:hAnsi="宋体"/>
          <w:b/>
          <w:sz w:val="32"/>
          <w:szCs w:val="32"/>
        </w:rPr>
      </w:pPr>
    </w:p>
    <w:p>
      <w:pPr>
        <w:jc w:val="center"/>
      </w:pPr>
      <w:r>
        <w:rPr>
          <w:rFonts w:hint="eastAsia" w:ascii="宋体" w:hAnsi="宋体"/>
          <w:b/>
          <w:sz w:val="32"/>
          <w:szCs w:val="32"/>
        </w:rPr>
        <w:t>参评须知前附表</w:t>
      </w:r>
    </w:p>
    <w:tbl>
      <w:tblPr>
        <w:tblStyle w:val="25"/>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572"/>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967"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pStyle w:val="12"/>
              <w:keepNext w:val="0"/>
              <w:keepLines w:val="0"/>
              <w:suppressLineNumbers w:val="0"/>
              <w:adjustRightInd w:val="0"/>
              <w:snapToGrid w:val="0"/>
              <w:spacing w:before="0" w:beforeAutospacing="0" w:after="0" w:afterAutospacing="0" w:line="276" w:lineRule="auto"/>
              <w:ind w:left="0" w:right="0"/>
              <w:jc w:val="center"/>
              <w:rPr>
                <w:rFonts w:hint="default" w:hAnsi="宋体"/>
                <w:b/>
                <w:szCs w:val="21"/>
              </w:rPr>
            </w:pPr>
            <w:r>
              <w:rPr>
                <w:rFonts w:hint="eastAsia" w:hAnsi="宋体"/>
                <w:b/>
                <w:szCs w:val="21"/>
              </w:rPr>
              <w:t>序号</w:t>
            </w:r>
          </w:p>
        </w:tc>
        <w:tc>
          <w:tcPr>
            <w:tcW w:w="1572"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pStyle w:val="12"/>
              <w:keepNext w:val="0"/>
              <w:keepLines w:val="0"/>
              <w:suppressLineNumbers w:val="0"/>
              <w:adjustRightInd w:val="0"/>
              <w:snapToGrid w:val="0"/>
              <w:spacing w:before="0" w:beforeAutospacing="0" w:after="0" w:afterAutospacing="0" w:line="276" w:lineRule="auto"/>
              <w:ind w:left="0" w:right="0"/>
              <w:jc w:val="center"/>
              <w:rPr>
                <w:rFonts w:hint="default" w:hAnsi="宋体"/>
                <w:b/>
                <w:szCs w:val="21"/>
              </w:rPr>
            </w:pPr>
            <w:r>
              <w:rPr>
                <w:rFonts w:hint="eastAsia" w:hAnsi="宋体"/>
                <w:b/>
                <w:szCs w:val="21"/>
              </w:rPr>
              <w:t>项目</w:t>
            </w:r>
          </w:p>
        </w:tc>
        <w:tc>
          <w:tcPr>
            <w:tcW w:w="6968"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pStyle w:val="12"/>
              <w:keepNext w:val="0"/>
              <w:keepLines w:val="0"/>
              <w:suppressLineNumbers w:val="0"/>
              <w:adjustRightInd w:val="0"/>
              <w:snapToGrid w:val="0"/>
              <w:spacing w:before="0" w:beforeAutospacing="0" w:after="0" w:afterAutospacing="0" w:line="276" w:lineRule="auto"/>
              <w:ind w:left="0" w:right="0"/>
              <w:jc w:val="center"/>
              <w:rPr>
                <w:rFonts w:hint="default" w:hAnsi="宋体"/>
                <w:b/>
                <w:szCs w:val="21"/>
              </w:rPr>
            </w:pPr>
            <w:r>
              <w:rPr>
                <w:rFonts w:hint="eastAsia" w:hAnsi="宋体"/>
                <w:b/>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numPr>
                <w:ilvl w:val="0"/>
                <w:numId w:val="1"/>
              </w:numPr>
              <w:suppressLineNumbers w:val="0"/>
              <w:adjustRightInd w:val="0"/>
              <w:snapToGrid w:val="0"/>
              <w:spacing w:before="0" w:beforeAutospacing="0" w:after="0" w:afterAutospacing="0" w:line="276" w:lineRule="auto"/>
              <w:ind w:right="0"/>
              <w:jc w:val="center"/>
              <w:rPr>
                <w:rFonts w:hint="default" w:hAnsi="宋体"/>
                <w:bCs/>
                <w:szCs w:val="21"/>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suppressLineNumbers w:val="0"/>
              <w:adjustRightInd w:val="0"/>
              <w:snapToGrid w:val="0"/>
              <w:spacing w:before="0" w:beforeAutospacing="0" w:after="0" w:afterAutospacing="0" w:line="276" w:lineRule="auto"/>
              <w:ind w:left="0" w:right="0"/>
              <w:jc w:val="center"/>
              <w:rPr>
                <w:rFonts w:hint="default" w:hAnsi="宋体"/>
                <w:szCs w:val="21"/>
              </w:rPr>
            </w:pPr>
            <w:r>
              <w:rPr>
                <w:rFonts w:hint="eastAsia" w:hAnsi="宋体"/>
                <w:szCs w:val="21"/>
              </w:rPr>
              <w:t>项目概况</w:t>
            </w:r>
          </w:p>
        </w:tc>
        <w:tc>
          <w:tcPr>
            <w:tcW w:w="6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2552"/>
              </w:tabs>
              <w:spacing w:before="0" w:beforeAutospacing="0" w:after="0" w:afterAutospacing="0" w:line="276" w:lineRule="auto"/>
              <w:ind w:left="0" w:right="0"/>
              <w:rPr>
                <w:rFonts w:hint="default" w:ascii="宋体" w:hAnsi="宋体"/>
                <w:szCs w:val="21"/>
              </w:rPr>
            </w:pPr>
            <w:r>
              <w:rPr>
                <w:rFonts w:hint="eastAsia" w:ascii="宋体" w:hAnsi="宋体"/>
                <w:szCs w:val="21"/>
              </w:rPr>
              <w:t>项目名称：</w:t>
            </w:r>
            <w:r>
              <w:rPr>
                <w:rFonts w:hint="eastAsia"/>
                <w:szCs w:val="22"/>
              </w:rPr>
              <w:t>广东省消防救援总队2024年度使用领域消防产品专项监督抽查检验购买服务项目</w:t>
            </w:r>
          </w:p>
          <w:p>
            <w:pPr>
              <w:keepNext w:val="0"/>
              <w:keepLines w:val="0"/>
              <w:suppressLineNumbers w:val="0"/>
              <w:tabs>
                <w:tab w:val="left" w:pos="2552"/>
              </w:tabs>
              <w:spacing w:before="0" w:beforeAutospacing="0" w:after="0" w:afterAutospacing="0" w:line="276" w:lineRule="auto"/>
              <w:ind w:left="0" w:right="0"/>
              <w:rPr>
                <w:rFonts w:hint="default" w:ascii="宋体" w:hAnsi="宋体"/>
                <w:szCs w:val="21"/>
              </w:rPr>
            </w:pPr>
            <w:r>
              <w:rPr>
                <w:rFonts w:hint="eastAsia" w:ascii="宋体" w:hAnsi="宋体"/>
                <w:szCs w:val="21"/>
              </w:rPr>
              <w:t>项目编号：</w:t>
            </w:r>
            <w:r>
              <w:rPr>
                <w:rFonts w:hint="default" w:ascii="Calibri" w:hAnsi="Calibri"/>
                <w:szCs w:val="22"/>
                <w:u w:val="single"/>
              </w:rPr>
              <w:t xml:space="preserve"> </w:t>
            </w:r>
            <w:r>
              <w:rPr>
                <w:rFonts w:hint="eastAsia" w:ascii="Calibri" w:hAnsi="Calibri"/>
                <w:szCs w:val="22"/>
                <w:u w:val="single"/>
              </w:rPr>
              <w:t>GDXF2024XFCPJY</w:t>
            </w:r>
            <w:r>
              <w:rPr>
                <w:rFonts w:hint="default" w:ascii="宋体" w:hAnsi="宋体"/>
                <w:szCs w:val="21"/>
                <w:u w:val="single"/>
              </w:rPr>
              <w:t xml:space="preserve">  </w:t>
            </w:r>
          </w:p>
          <w:p>
            <w:pPr>
              <w:keepNext w:val="0"/>
              <w:keepLines w:val="0"/>
              <w:suppressLineNumbers w:val="0"/>
              <w:tabs>
                <w:tab w:val="left" w:pos="2552"/>
              </w:tabs>
              <w:spacing w:before="0" w:beforeAutospacing="0" w:after="0" w:afterAutospacing="0" w:line="276" w:lineRule="auto"/>
              <w:ind w:left="0" w:right="0"/>
              <w:rPr>
                <w:rFonts w:hint="default" w:ascii="宋体" w:hAnsi="宋体"/>
                <w:szCs w:val="21"/>
              </w:rPr>
            </w:pPr>
            <w:r>
              <w:rPr>
                <w:rFonts w:hint="eastAsia" w:ascii="宋体" w:hAnsi="宋体"/>
                <w:szCs w:val="21"/>
              </w:rPr>
              <w:t>采购人名称：广东省消防救援总队</w:t>
            </w:r>
          </w:p>
          <w:p>
            <w:pPr>
              <w:keepNext w:val="0"/>
              <w:keepLines w:val="0"/>
              <w:suppressLineNumbers w:val="0"/>
              <w:tabs>
                <w:tab w:val="left" w:pos="2552"/>
              </w:tabs>
              <w:spacing w:before="0" w:beforeAutospacing="0" w:after="0" w:afterAutospacing="0" w:line="276" w:lineRule="auto"/>
              <w:ind w:left="0" w:right="0"/>
              <w:rPr>
                <w:rFonts w:hint="default" w:ascii="宋体" w:hAnsi="宋体"/>
                <w:szCs w:val="21"/>
              </w:rPr>
            </w:pPr>
            <w:r>
              <w:rPr>
                <w:rFonts w:hint="eastAsia" w:ascii="宋体" w:hAnsi="宋体"/>
                <w:szCs w:val="21"/>
              </w:rPr>
              <w:t>采购方式：遴选采购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967" w:type="dxa"/>
            <w:noWrap w:val="0"/>
            <w:vAlign w:val="center"/>
          </w:tcPr>
          <w:p>
            <w:pPr>
              <w:pStyle w:val="12"/>
              <w:keepNext w:val="0"/>
              <w:keepLines w:val="0"/>
              <w:numPr>
                <w:ilvl w:val="0"/>
                <w:numId w:val="1"/>
              </w:numPr>
              <w:suppressLineNumbers w:val="0"/>
              <w:adjustRightInd w:val="0"/>
              <w:snapToGrid w:val="0"/>
              <w:spacing w:before="0" w:beforeAutospacing="0" w:after="0" w:afterAutospacing="0" w:line="276" w:lineRule="auto"/>
              <w:ind w:right="0"/>
              <w:jc w:val="center"/>
              <w:rPr>
                <w:rFonts w:hint="default" w:hAnsi="宋体"/>
                <w:bCs/>
                <w:szCs w:val="21"/>
              </w:rPr>
            </w:pPr>
          </w:p>
        </w:tc>
        <w:tc>
          <w:tcPr>
            <w:tcW w:w="1572" w:type="dxa"/>
            <w:noWrap w:val="0"/>
            <w:vAlign w:val="center"/>
          </w:tcPr>
          <w:p>
            <w:pPr>
              <w:keepNext w:val="0"/>
              <w:keepLines w:val="0"/>
              <w:suppressLineNumbers w:val="0"/>
              <w:tabs>
                <w:tab w:val="left" w:pos="2552"/>
              </w:tabs>
              <w:spacing w:before="0" w:beforeAutospacing="0" w:after="0" w:afterAutospacing="0" w:line="276" w:lineRule="auto"/>
              <w:ind w:left="0" w:right="0"/>
              <w:jc w:val="center"/>
              <w:rPr>
                <w:rFonts w:hint="default" w:ascii="宋体" w:hAnsi="宋体"/>
                <w:szCs w:val="21"/>
              </w:rPr>
            </w:pPr>
            <w:r>
              <w:rPr>
                <w:rFonts w:hint="eastAsia" w:ascii="宋体" w:hAnsi="宋体"/>
                <w:szCs w:val="21"/>
              </w:rPr>
              <w:t>评选有效期</w:t>
            </w:r>
          </w:p>
        </w:tc>
        <w:tc>
          <w:tcPr>
            <w:tcW w:w="6968" w:type="dxa"/>
            <w:noWrap w:val="0"/>
            <w:vAlign w:val="center"/>
          </w:tcPr>
          <w:p>
            <w:pPr>
              <w:keepNext w:val="0"/>
              <w:keepLines w:val="0"/>
              <w:suppressLineNumbers w:val="0"/>
              <w:tabs>
                <w:tab w:val="left" w:pos="2552"/>
              </w:tabs>
              <w:spacing w:before="0" w:beforeAutospacing="0" w:after="0" w:afterAutospacing="0" w:line="276" w:lineRule="auto"/>
              <w:ind w:left="0" w:right="0"/>
              <w:rPr>
                <w:rFonts w:hint="default" w:ascii="宋体" w:hAnsi="宋体"/>
                <w:szCs w:val="21"/>
              </w:rPr>
            </w:pPr>
            <w:r>
              <w:rPr>
                <w:rFonts w:hint="eastAsia" w:ascii="宋体" w:hAnsi="宋体"/>
                <w:szCs w:val="21"/>
              </w:rPr>
              <w:t>从评选截止之日起 90 日内</w:t>
            </w:r>
            <w:r>
              <w:rPr>
                <w:rFonts w:hint="eastAsia" w:ascii="宋体" w:hAnsi="宋体"/>
                <w:szCs w:val="21"/>
                <w:lang w:eastAsia="zh-Han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967" w:type="dxa"/>
            <w:noWrap w:val="0"/>
            <w:vAlign w:val="center"/>
          </w:tcPr>
          <w:p>
            <w:pPr>
              <w:pStyle w:val="12"/>
              <w:keepNext w:val="0"/>
              <w:keepLines w:val="0"/>
              <w:numPr>
                <w:ilvl w:val="0"/>
                <w:numId w:val="1"/>
              </w:numPr>
              <w:suppressLineNumbers w:val="0"/>
              <w:adjustRightInd w:val="0"/>
              <w:snapToGrid w:val="0"/>
              <w:spacing w:before="0" w:beforeAutospacing="0" w:after="0" w:afterAutospacing="0" w:line="276" w:lineRule="auto"/>
              <w:ind w:right="0"/>
              <w:jc w:val="center"/>
              <w:rPr>
                <w:rFonts w:hint="default" w:hAnsi="宋体"/>
                <w:bCs/>
                <w:szCs w:val="21"/>
              </w:rPr>
            </w:pPr>
          </w:p>
        </w:tc>
        <w:tc>
          <w:tcPr>
            <w:tcW w:w="1572" w:type="dxa"/>
            <w:noWrap w:val="0"/>
            <w:vAlign w:val="center"/>
          </w:tcPr>
          <w:p>
            <w:pPr>
              <w:keepNext w:val="0"/>
              <w:keepLines w:val="0"/>
              <w:suppressLineNumbers w:val="0"/>
              <w:tabs>
                <w:tab w:val="left" w:pos="2552"/>
              </w:tabs>
              <w:spacing w:before="0" w:beforeAutospacing="0" w:after="0" w:afterAutospacing="0" w:line="276" w:lineRule="auto"/>
              <w:ind w:left="0" w:right="0"/>
              <w:jc w:val="center"/>
              <w:rPr>
                <w:rFonts w:hint="default" w:ascii="宋体" w:hAnsi="宋体"/>
                <w:szCs w:val="21"/>
              </w:rPr>
            </w:pPr>
            <w:r>
              <w:rPr>
                <w:rFonts w:hint="eastAsia" w:ascii="宋体" w:hAnsi="宋体"/>
                <w:szCs w:val="21"/>
              </w:rPr>
              <w:t>参评递交材料</w:t>
            </w:r>
          </w:p>
        </w:tc>
        <w:tc>
          <w:tcPr>
            <w:tcW w:w="6968" w:type="dxa"/>
            <w:noWrap w:val="0"/>
            <w:vAlign w:val="center"/>
          </w:tcPr>
          <w:p>
            <w:pPr>
              <w:keepNext w:val="0"/>
              <w:keepLines w:val="0"/>
              <w:suppressLineNumbers w:val="0"/>
              <w:tabs>
                <w:tab w:val="left" w:pos="2552"/>
              </w:tabs>
              <w:spacing w:before="0" w:beforeAutospacing="0" w:after="0" w:afterAutospacing="0" w:line="276" w:lineRule="auto"/>
              <w:ind w:left="0" w:right="0"/>
              <w:rPr>
                <w:rFonts w:hint="default" w:ascii="宋体" w:hAnsi="宋体"/>
                <w:szCs w:val="21"/>
              </w:rPr>
            </w:pPr>
            <w:r>
              <w:rPr>
                <w:rFonts w:hint="eastAsia" w:ascii="宋体" w:hAnsi="宋体"/>
                <w:szCs w:val="21"/>
              </w:rPr>
              <w:t>参评文</w:t>
            </w:r>
            <w:r>
              <w:rPr>
                <w:rFonts w:hint="eastAsia" w:ascii="宋体" w:hAnsi="宋体"/>
                <w:color w:val="000000"/>
                <w:szCs w:val="21"/>
              </w:rPr>
              <w:t>件</w:t>
            </w:r>
            <w:r>
              <w:rPr>
                <w:rFonts w:hint="eastAsia" w:ascii="宋体" w:hAnsi="宋体"/>
                <w:b/>
                <w:color w:val="000000"/>
                <w:szCs w:val="21"/>
              </w:rPr>
              <w:t>一式三份</w:t>
            </w:r>
            <w:r>
              <w:rPr>
                <w:rFonts w:hint="eastAsia" w:ascii="宋体" w:hAnsi="宋体"/>
                <w:b/>
                <w:color w:val="000000"/>
                <w:szCs w:val="21"/>
                <w:lang w:eastAsia="zh-Hans"/>
              </w:rPr>
              <w:t>（正本一份，复印件副本二份）</w:t>
            </w:r>
            <w:r>
              <w:rPr>
                <w:rFonts w:hint="eastAsia" w:ascii="宋体" w:hAnsi="宋体"/>
                <w:color w:val="000000"/>
                <w:szCs w:val="21"/>
              </w:rPr>
              <w:t>，</w:t>
            </w:r>
            <w:r>
              <w:rPr>
                <w:rFonts w:hint="eastAsia" w:ascii="宋体" w:hAnsi="宋体"/>
                <w:szCs w:val="21"/>
              </w:rPr>
              <w:t>在每一封口处加盖公章，并在封套上标明项目名称、参评人名称等字样</w:t>
            </w:r>
            <w:r>
              <w:rPr>
                <w:rFonts w:hint="eastAsia" w:ascii="宋体" w:hAnsi="宋体"/>
                <w:szCs w:val="21"/>
                <w:lang w:eastAsia="zh-Han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967" w:type="dxa"/>
            <w:noWrap w:val="0"/>
            <w:vAlign w:val="center"/>
          </w:tcPr>
          <w:p>
            <w:pPr>
              <w:pStyle w:val="12"/>
              <w:keepNext w:val="0"/>
              <w:keepLines w:val="0"/>
              <w:numPr>
                <w:ilvl w:val="0"/>
                <w:numId w:val="1"/>
              </w:numPr>
              <w:suppressLineNumbers w:val="0"/>
              <w:adjustRightInd w:val="0"/>
              <w:snapToGrid w:val="0"/>
              <w:spacing w:before="0" w:beforeAutospacing="0" w:after="0" w:afterAutospacing="0" w:line="276" w:lineRule="auto"/>
              <w:ind w:right="0"/>
              <w:jc w:val="center"/>
              <w:rPr>
                <w:rFonts w:hint="default" w:hAnsi="宋体"/>
                <w:bCs/>
                <w:szCs w:val="21"/>
              </w:rPr>
            </w:pPr>
          </w:p>
        </w:tc>
        <w:tc>
          <w:tcPr>
            <w:tcW w:w="1572" w:type="dxa"/>
            <w:noWrap w:val="0"/>
            <w:vAlign w:val="center"/>
          </w:tcPr>
          <w:p>
            <w:pPr>
              <w:keepNext w:val="0"/>
              <w:keepLines w:val="0"/>
              <w:suppressLineNumbers w:val="0"/>
              <w:tabs>
                <w:tab w:val="left" w:pos="2552"/>
              </w:tabs>
              <w:spacing w:before="0" w:beforeAutospacing="0" w:after="0" w:afterAutospacing="0" w:line="276" w:lineRule="auto"/>
              <w:ind w:left="0" w:right="0"/>
              <w:jc w:val="center"/>
              <w:rPr>
                <w:rFonts w:hint="default" w:ascii="宋体" w:hAnsi="宋体"/>
                <w:szCs w:val="21"/>
              </w:rPr>
            </w:pPr>
            <w:r>
              <w:rPr>
                <w:rFonts w:hint="eastAsia" w:ascii="宋体" w:hAnsi="宋体"/>
                <w:szCs w:val="21"/>
              </w:rPr>
              <w:t>材料递交方式</w:t>
            </w:r>
          </w:p>
        </w:tc>
        <w:tc>
          <w:tcPr>
            <w:tcW w:w="6968" w:type="dxa"/>
            <w:tcBorders>
              <w:bottom w:val="single" w:color="000000" w:sz="4" w:space="0"/>
            </w:tcBorders>
            <w:noWrap w:val="0"/>
            <w:vAlign w:val="center"/>
          </w:tcPr>
          <w:p>
            <w:pPr>
              <w:keepNext w:val="0"/>
              <w:keepLines w:val="0"/>
              <w:suppressLineNumbers w:val="0"/>
              <w:tabs>
                <w:tab w:val="left" w:pos="2552"/>
              </w:tabs>
              <w:spacing w:before="0" w:beforeAutospacing="0" w:after="0" w:afterAutospacing="0" w:line="276" w:lineRule="auto"/>
              <w:ind w:left="0" w:right="0"/>
              <w:rPr>
                <w:rFonts w:hint="default" w:ascii="宋体" w:hAnsi="宋体"/>
                <w:szCs w:val="21"/>
              </w:rPr>
            </w:pPr>
            <w:r>
              <w:rPr>
                <w:rFonts w:hint="eastAsia" w:ascii="宋体" w:hAnsi="宋体"/>
                <w:szCs w:val="21"/>
              </w:rPr>
              <w:t>采用EMS邮寄参评，邮寄地址及收件人：广东省广州市天河区瘦狗岭路483号，广东省消防救援总队火调技术处王毅</w:t>
            </w:r>
            <w:r>
              <w:rPr>
                <w:rFonts w:hint="eastAsia" w:ascii="宋体" w:hAnsi="宋体"/>
                <w:szCs w:val="21"/>
                <w:lang w:eastAsia="zh-Hans"/>
              </w:rPr>
              <w:t>（收）</w:t>
            </w:r>
            <w:r>
              <w:rPr>
                <w:rFonts w:hint="eastAsia" w:ascii="宋体" w:hAnsi="宋体"/>
                <w:szCs w:val="21"/>
              </w:rPr>
              <w:t>（电话020-87119233）</w:t>
            </w:r>
            <w:r>
              <w:rPr>
                <w:rFonts w:hint="eastAsia" w:ascii="宋体" w:hAnsi="宋体"/>
                <w:szCs w:val="21"/>
                <w:lang w:eastAsia="zh-Han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967" w:type="dxa"/>
            <w:noWrap w:val="0"/>
            <w:vAlign w:val="center"/>
          </w:tcPr>
          <w:p>
            <w:pPr>
              <w:pStyle w:val="12"/>
              <w:keepNext w:val="0"/>
              <w:keepLines w:val="0"/>
              <w:numPr>
                <w:ilvl w:val="0"/>
                <w:numId w:val="1"/>
              </w:numPr>
              <w:suppressLineNumbers w:val="0"/>
              <w:adjustRightInd w:val="0"/>
              <w:snapToGrid w:val="0"/>
              <w:spacing w:before="0" w:beforeAutospacing="0" w:after="0" w:afterAutospacing="0" w:line="276" w:lineRule="auto"/>
              <w:ind w:right="0"/>
              <w:jc w:val="center"/>
              <w:rPr>
                <w:rFonts w:hint="default" w:hAnsi="宋体"/>
                <w:bCs/>
                <w:szCs w:val="21"/>
              </w:rPr>
            </w:pPr>
          </w:p>
        </w:tc>
        <w:tc>
          <w:tcPr>
            <w:tcW w:w="1572" w:type="dxa"/>
            <w:noWrap w:val="0"/>
            <w:vAlign w:val="center"/>
          </w:tcPr>
          <w:p>
            <w:pPr>
              <w:keepNext w:val="0"/>
              <w:keepLines w:val="0"/>
              <w:suppressLineNumbers w:val="0"/>
              <w:tabs>
                <w:tab w:val="left" w:pos="2552"/>
              </w:tabs>
              <w:spacing w:before="0" w:beforeAutospacing="0" w:after="0" w:afterAutospacing="0" w:line="276" w:lineRule="auto"/>
              <w:ind w:left="0" w:right="0"/>
              <w:jc w:val="center"/>
              <w:rPr>
                <w:rFonts w:hint="default" w:ascii="宋体" w:hAnsi="宋体"/>
                <w:szCs w:val="21"/>
              </w:rPr>
            </w:pPr>
            <w:r>
              <w:rPr>
                <w:rFonts w:hint="eastAsia" w:ascii="宋体" w:hAnsi="宋体"/>
                <w:szCs w:val="21"/>
              </w:rPr>
              <w:t>评选</w:t>
            </w:r>
          </w:p>
        </w:tc>
        <w:tc>
          <w:tcPr>
            <w:tcW w:w="6968" w:type="dxa"/>
            <w:tcBorders>
              <w:bottom w:val="single" w:color="000000" w:sz="4" w:space="0"/>
            </w:tcBorders>
            <w:noWrap w:val="0"/>
            <w:vAlign w:val="center"/>
          </w:tcPr>
          <w:p>
            <w:pPr>
              <w:keepNext w:val="0"/>
              <w:keepLines w:val="0"/>
              <w:suppressLineNumbers w:val="0"/>
              <w:tabs>
                <w:tab w:val="left" w:pos="2552"/>
              </w:tabs>
              <w:spacing w:before="0" w:beforeAutospacing="0" w:after="0" w:afterAutospacing="0" w:line="276" w:lineRule="auto"/>
              <w:ind w:left="0" w:right="0"/>
              <w:rPr>
                <w:rFonts w:hint="default" w:ascii="宋体" w:hAnsi="宋体"/>
                <w:b/>
                <w:szCs w:val="21"/>
              </w:rPr>
            </w:pPr>
            <w:r>
              <w:rPr>
                <w:rFonts w:hint="eastAsia"/>
                <w:szCs w:val="22"/>
              </w:rPr>
              <w:t>采购人根据工作安排确定评选时间，不晚于2024年</w:t>
            </w:r>
            <w:r>
              <w:rPr>
                <w:rFonts w:hint="eastAsia"/>
                <w:szCs w:val="22"/>
                <w:u w:val="single"/>
              </w:rPr>
              <w:t xml:space="preserve"> </w:t>
            </w:r>
            <w:r>
              <w:rPr>
                <w:rFonts w:hint="eastAsia"/>
                <w:szCs w:val="22"/>
                <w:u w:val="single"/>
                <w:lang w:val="en-US" w:eastAsia="zh-CN"/>
              </w:rPr>
              <w:t>6</w:t>
            </w:r>
            <w:r>
              <w:rPr>
                <w:rFonts w:hint="default"/>
                <w:szCs w:val="22"/>
                <w:u w:val="single"/>
              </w:rPr>
              <w:t xml:space="preserve"> </w:t>
            </w:r>
            <w:r>
              <w:rPr>
                <w:rFonts w:hint="eastAsia"/>
                <w:szCs w:val="22"/>
              </w:rPr>
              <w:t>月</w:t>
            </w:r>
            <w:r>
              <w:rPr>
                <w:rFonts w:hint="default"/>
                <w:szCs w:val="22"/>
                <w:u w:val="single"/>
              </w:rPr>
              <w:t xml:space="preserve"> </w:t>
            </w:r>
            <w:r>
              <w:rPr>
                <w:rFonts w:hint="eastAsia"/>
                <w:szCs w:val="22"/>
                <w:u w:val="single"/>
                <w:lang w:val="en-US" w:eastAsia="zh-CN"/>
              </w:rPr>
              <w:t>5</w:t>
            </w:r>
            <w:r>
              <w:rPr>
                <w:rFonts w:hint="default"/>
                <w:szCs w:val="22"/>
                <w:u w:val="single"/>
              </w:rPr>
              <w:t xml:space="preserve"> </w:t>
            </w:r>
            <w:r>
              <w:rPr>
                <w:rFonts w:hint="eastAsia"/>
                <w:szCs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967" w:type="dxa"/>
            <w:tcBorders>
              <w:top w:val="single" w:color="auto" w:sz="4" w:space="0"/>
            </w:tcBorders>
            <w:noWrap w:val="0"/>
            <w:vAlign w:val="center"/>
          </w:tcPr>
          <w:p>
            <w:pPr>
              <w:pStyle w:val="12"/>
              <w:keepNext w:val="0"/>
              <w:keepLines w:val="0"/>
              <w:numPr>
                <w:ilvl w:val="0"/>
                <w:numId w:val="1"/>
              </w:numPr>
              <w:suppressLineNumbers w:val="0"/>
              <w:adjustRightInd w:val="0"/>
              <w:snapToGrid w:val="0"/>
              <w:spacing w:before="0" w:beforeAutospacing="0" w:after="0" w:afterAutospacing="0" w:line="276" w:lineRule="auto"/>
              <w:ind w:right="0"/>
              <w:jc w:val="center"/>
              <w:rPr>
                <w:rFonts w:hint="default" w:hAnsi="宋体"/>
                <w:bCs/>
                <w:szCs w:val="21"/>
              </w:rPr>
            </w:pPr>
          </w:p>
        </w:tc>
        <w:tc>
          <w:tcPr>
            <w:tcW w:w="1572" w:type="dxa"/>
            <w:tcBorders>
              <w:top w:val="single" w:color="auto" w:sz="4" w:space="0"/>
            </w:tcBorders>
            <w:noWrap w:val="0"/>
            <w:vAlign w:val="center"/>
          </w:tcPr>
          <w:p>
            <w:pPr>
              <w:keepNext w:val="0"/>
              <w:keepLines w:val="0"/>
              <w:suppressLineNumbers w:val="0"/>
              <w:tabs>
                <w:tab w:val="left" w:pos="2552"/>
              </w:tabs>
              <w:spacing w:before="0" w:beforeAutospacing="0" w:after="0" w:afterAutospacing="0" w:line="276" w:lineRule="auto"/>
              <w:ind w:left="0" w:right="0"/>
              <w:jc w:val="center"/>
              <w:rPr>
                <w:rFonts w:hint="default" w:ascii="宋体" w:hAnsi="宋体"/>
                <w:szCs w:val="21"/>
              </w:rPr>
            </w:pPr>
            <w:r>
              <w:rPr>
                <w:rFonts w:hint="eastAsia" w:ascii="宋体" w:hAnsi="宋体"/>
                <w:szCs w:val="21"/>
              </w:rPr>
              <w:t>评审小组</w:t>
            </w:r>
          </w:p>
        </w:tc>
        <w:tc>
          <w:tcPr>
            <w:tcW w:w="6968" w:type="dxa"/>
            <w:noWrap w:val="0"/>
            <w:vAlign w:val="center"/>
          </w:tcPr>
          <w:p>
            <w:pPr>
              <w:keepNext w:val="0"/>
              <w:keepLines w:val="0"/>
              <w:suppressLineNumbers w:val="0"/>
              <w:tabs>
                <w:tab w:val="left" w:pos="2552"/>
              </w:tabs>
              <w:spacing w:before="0" w:beforeAutospacing="0" w:after="0" w:afterAutospacing="0" w:line="276" w:lineRule="auto"/>
              <w:ind w:left="0" w:right="0"/>
              <w:rPr>
                <w:rFonts w:hint="default" w:ascii="宋体" w:hAnsi="宋体"/>
                <w:szCs w:val="21"/>
              </w:rPr>
            </w:pPr>
            <w:r>
              <w:rPr>
                <w:rFonts w:hint="eastAsia" w:ascii="宋体" w:hAnsi="宋体"/>
                <w:bCs/>
                <w:szCs w:val="21"/>
              </w:rPr>
              <w:t>全部评审过程由采购人组建的评审小组负责完成，评审小组由3人单数成员组成</w:t>
            </w:r>
            <w:r>
              <w:rPr>
                <w:rFonts w:hint="eastAsia" w:ascii="宋体" w:hAnsi="宋体"/>
                <w:bCs/>
                <w:szCs w:val="21"/>
                <w:lang w:eastAsia="zh-Han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967" w:type="dxa"/>
            <w:noWrap w:val="0"/>
            <w:vAlign w:val="center"/>
          </w:tcPr>
          <w:p>
            <w:pPr>
              <w:pStyle w:val="12"/>
              <w:keepNext w:val="0"/>
              <w:keepLines w:val="0"/>
              <w:numPr>
                <w:ilvl w:val="0"/>
                <w:numId w:val="1"/>
              </w:numPr>
              <w:suppressLineNumbers w:val="0"/>
              <w:adjustRightInd w:val="0"/>
              <w:snapToGrid w:val="0"/>
              <w:spacing w:before="0" w:beforeAutospacing="0" w:after="0" w:afterAutospacing="0" w:line="276" w:lineRule="auto"/>
              <w:ind w:right="0"/>
              <w:jc w:val="center"/>
              <w:rPr>
                <w:rFonts w:hint="default" w:hAnsi="宋体"/>
                <w:bCs/>
                <w:szCs w:val="21"/>
              </w:rPr>
            </w:pPr>
          </w:p>
        </w:tc>
        <w:tc>
          <w:tcPr>
            <w:tcW w:w="1572" w:type="dxa"/>
            <w:noWrap w:val="0"/>
            <w:vAlign w:val="center"/>
          </w:tcPr>
          <w:p>
            <w:pPr>
              <w:keepNext w:val="0"/>
              <w:keepLines w:val="0"/>
              <w:suppressLineNumbers w:val="0"/>
              <w:tabs>
                <w:tab w:val="left" w:pos="2552"/>
              </w:tabs>
              <w:spacing w:before="0" w:beforeAutospacing="0" w:after="0" w:afterAutospacing="0" w:line="276" w:lineRule="auto"/>
              <w:ind w:left="0" w:right="0"/>
              <w:jc w:val="center"/>
              <w:rPr>
                <w:rFonts w:hint="default" w:ascii="宋体" w:hAnsi="宋体"/>
                <w:szCs w:val="21"/>
              </w:rPr>
            </w:pPr>
            <w:r>
              <w:rPr>
                <w:rFonts w:hint="eastAsia" w:ascii="宋体" w:hAnsi="宋体"/>
                <w:szCs w:val="21"/>
              </w:rPr>
              <w:t>评审方法</w:t>
            </w:r>
          </w:p>
        </w:tc>
        <w:tc>
          <w:tcPr>
            <w:tcW w:w="6968" w:type="dxa"/>
            <w:noWrap w:val="0"/>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ascii="宋体" w:hAnsi="宋体"/>
                <w:bCs/>
                <w:szCs w:val="21"/>
              </w:rPr>
            </w:pPr>
            <w:r>
              <w:rPr>
                <w:rFonts w:hint="eastAsia" w:ascii="宋体" w:hAnsi="宋体"/>
                <w:bCs/>
                <w:szCs w:val="21"/>
              </w:rPr>
              <w:t>综合评分法（</w:t>
            </w:r>
            <w:r>
              <w:rPr>
                <w:rFonts w:hint="default" w:ascii="宋体" w:hAnsi="宋体"/>
                <w:bCs/>
                <w:szCs w:val="21"/>
              </w:rPr>
              <w:t>100%</w:t>
            </w:r>
            <w:r>
              <w:rPr>
                <w:rFonts w:hint="eastAsia" w:ascii="宋体" w:hAnsi="宋体"/>
                <w:bCs/>
                <w:szCs w:val="21"/>
              </w:rPr>
              <w:t>）</w:t>
            </w:r>
          </w:p>
          <w:p>
            <w:pPr>
              <w:keepNext w:val="0"/>
              <w:keepLines w:val="0"/>
              <w:suppressLineNumbers w:val="0"/>
              <w:tabs>
                <w:tab w:val="left" w:pos="2552"/>
              </w:tabs>
              <w:spacing w:before="0" w:beforeAutospacing="0" w:after="0" w:afterAutospacing="0" w:line="276" w:lineRule="auto"/>
              <w:ind w:left="0" w:right="0"/>
              <w:rPr>
                <w:rFonts w:hint="default" w:ascii="宋体" w:hAnsi="宋体"/>
                <w:szCs w:val="21"/>
              </w:rPr>
            </w:pPr>
            <w:r>
              <w:rPr>
                <w:rFonts w:hint="eastAsia" w:ascii="宋体" w:hAnsi="宋体"/>
                <w:bCs/>
                <w:szCs w:val="21"/>
              </w:rPr>
              <w:t>技术分值4</w:t>
            </w:r>
            <w:r>
              <w:rPr>
                <w:rFonts w:hint="default" w:ascii="宋体" w:hAnsi="宋体"/>
                <w:bCs/>
                <w:szCs w:val="21"/>
              </w:rPr>
              <w:t>0%</w:t>
            </w:r>
            <w:r>
              <w:rPr>
                <w:rFonts w:hint="eastAsia" w:ascii="宋体" w:hAnsi="宋体"/>
                <w:bCs/>
                <w:szCs w:val="21"/>
              </w:rPr>
              <w:t>，商务分值3</w:t>
            </w:r>
            <w:r>
              <w:rPr>
                <w:rFonts w:hint="default" w:ascii="宋体" w:hAnsi="宋体"/>
                <w:bCs/>
                <w:szCs w:val="21"/>
              </w:rPr>
              <w:t>0</w:t>
            </w:r>
            <w:r>
              <w:rPr>
                <w:rFonts w:hint="eastAsia" w:ascii="宋体" w:hAnsi="宋体"/>
                <w:bCs/>
                <w:szCs w:val="21"/>
              </w:rPr>
              <w:t>%，价格分值3</w:t>
            </w:r>
            <w:r>
              <w:rPr>
                <w:rFonts w:hint="default" w:ascii="宋体" w:hAnsi="宋体"/>
                <w:bCs/>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967" w:type="dxa"/>
            <w:noWrap w:val="0"/>
            <w:vAlign w:val="center"/>
          </w:tcPr>
          <w:p>
            <w:pPr>
              <w:pStyle w:val="12"/>
              <w:keepNext w:val="0"/>
              <w:keepLines w:val="0"/>
              <w:numPr>
                <w:ilvl w:val="0"/>
                <w:numId w:val="1"/>
              </w:numPr>
              <w:suppressLineNumbers w:val="0"/>
              <w:adjustRightInd w:val="0"/>
              <w:snapToGrid w:val="0"/>
              <w:spacing w:before="0" w:beforeAutospacing="0" w:after="0" w:afterAutospacing="0" w:line="276" w:lineRule="auto"/>
              <w:ind w:right="0"/>
              <w:jc w:val="center"/>
              <w:rPr>
                <w:rFonts w:hint="default" w:hAnsi="宋体"/>
                <w:bCs/>
                <w:szCs w:val="21"/>
              </w:rPr>
            </w:pPr>
          </w:p>
        </w:tc>
        <w:tc>
          <w:tcPr>
            <w:tcW w:w="1572" w:type="dxa"/>
            <w:noWrap w:val="0"/>
            <w:vAlign w:val="center"/>
          </w:tcPr>
          <w:p>
            <w:pPr>
              <w:keepNext w:val="0"/>
              <w:keepLines w:val="0"/>
              <w:suppressLineNumbers w:val="0"/>
              <w:spacing w:before="0" w:beforeAutospacing="0" w:after="0" w:afterAutospacing="0" w:line="276" w:lineRule="auto"/>
              <w:ind w:left="0" w:right="0"/>
              <w:jc w:val="center"/>
              <w:rPr>
                <w:rFonts w:hint="default" w:ascii="宋体" w:hAnsi="宋体"/>
                <w:szCs w:val="21"/>
              </w:rPr>
            </w:pPr>
            <w:r>
              <w:rPr>
                <w:rFonts w:hint="eastAsia" w:ascii="宋体" w:hAnsi="宋体"/>
                <w:szCs w:val="21"/>
              </w:rPr>
              <w:t>评审步骤</w:t>
            </w:r>
          </w:p>
        </w:tc>
        <w:tc>
          <w:tcPr>
            <w:tcW w:w="6968" w:type="dxa"/>
            <w:noWrap w:val="0"/>
            <w:vAlign w:val="center"/>
          </w:tcPr>
          <w:p>
            <w:pPr>
              <w:keepNext w:val="0"/>
              <w:keepLines w:val="0"/>
              <w:suppressLineNumbers w:val="0"/>
              <w:spacing w:before="0" w:beforeAutospacing="0" w:after="0" w:afterAutospacing="0" w:line="276" w:lineRule="auto"/>
              <w:ind w:left="0" w:right="0"/>
              <w:rPr>
                <w:rFonts w:hint="default" w:ascii="宋体" w:hAnsi="宋体"/>
                <w:szCs w:val="21"/>
              </w:rPr>
            </w:pPr>
            <w:r>
              <w:rPr>
                <w:rFonts w:hint="eastAsia" w:ascii="宋体" w:hAnsi="宋体"/>
                <w:szCs w:val="21"/>
              </w:rPr>
              <w:t>先进行资格、符合性评审，再进行技术、商务及价格的详细评审。只有通过资格、符合性评审的参评人才能进入详细的评审，即为</w:t>
            </w:r>
            <w:r>
              <w:rPr>
                <w:rFonts w:hint="eastAsia" w:ascii="宋体" w:hAnsi="宋体"/>
                <w:bCs/>
                <w:szCs w:val="21"/>
              </w:rPr>
              <w:t>入围参评人</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6" w:hRule="atLeast"/>
          <w:jc w:val="center"/>
        </w:trPr>
        <w:tc>
          <w:tcPr>
            <w:tcW w:w="967" w:type="dxa"/>
            <w:noWrap w:val="0"/>
            <w:vAlign w:val="center"/>
          </w:tcPr>
          <w:p>
            <w:pPr>
              <w:pStyle w:val="12"/>
              <w:keepNext w:val="0"/>
              <w:keepLines w:val="0"/>
              <w:numPr>
                <w:ilvl w:val="0"/>
                <w:numId w:val="1"/>
              </w:numPr>
              <w:suppressLineNumbers w:val="0"/>
              <w:adjustRightInd w:val="0"/>
              <w:snapToGrid w:val="0"/>
              <w:spacing w:before="0" w:beforeAutospacing="0" w:after="0" w:afterAutospacing="0" w:line="276" w:lineRule="auto"/>
              <w:ind w:right="0"/>
              <w:jc w:val="center"/>
              <w:rPr>
                <w:rFonts w:hint="default" w:hAnsi="宋体"/>
                <w:bCs/>
                <w:szCs w:val="21"/>
              </w:rPr>
            </w:pPr>
          </w:p>
        </w:tc>
        <w:tc>
          <w:tcPr>
            <w:tcW w:w="1572" w:type="dxa"/>
            <w:noWrap w:val="0"/>
            <w:vAlign w:val="center"/>
          </w:tcPr>
          <w:p>
            <w:pPr>
              <w:keepNext w:val="0"/>
              <w:keepLines w:val="0"/>
              <w:suppressLineNumbers w:val="0"/>
              <w:spacing w:before="0" w:beforeAutospacing="0" w:after="0" w:afterAutospacing="0" w:line="276" w:lineRule="auto"/>
              <w:ind w:left="0" w:right="0"/>
              <w:jc w:val="center"/>
              <w:rPr>
                <w:rFonts w:hint="default" w:ascii="宋体" w:hAnsi="宋体"/>
                <w:szCs w:val="21"/>
              </w:rPr>
            </w:pPr>
            <w:r>
              <w:rPr>
                <w:rFonts w:hint="eastAsia" w:ascii="宋体" w:hAnsi="宋体"/>
                <w:bCs/>
                <w:szCs w:val="21"/>
              </w:rPr>
              <w:t>成交候选人的推荐</w:t>
            </w:r>
          </w:p>
        </w:tc>
        <w:tc>
          <w:tcPr>
            <w:tcW w:w="6968" w:type="dxa"/>
            <w:noWrap w:val="0"/>
            <w:vAlign w:val="center"/>
          </w:tcPr>
          <w:p>
            <w:pPr>
              <w:keepNext w:val="0"/>
              <w:keepLines w:val="0"/>
              <w:suppressLineNumbers w:val="0"/>
              <w:spacing w:before="0" w:beforeAutospacing="0" w:after="0" w:afterAutospacing="0" w:line="276" w:lineRule="auto"/>
              <w:ind w:left="0" w:right="0"/>
              <w:rPr>
                <w:rFonts w:hint="default" w:ascii="宋体" w:hAnsi="宋体"/>
                <w:bCs/>
                <w:szCs w:val="21"/>
              </w:rPr>
            </w:pPr>
            <w:r>
              <w:rPr>
                <w:rFonts w:hint="eastAsia" w:ascii="宋体" w:hAnsi="宋体"/>
                <w:bCs/>
                <w:szCs w:val="21"/>
              </w:rPr>
              <w:t>评审小组结合商务文件部分、技术文件部分和价格部分进行综合评估，将商务得分、技术得分和价格得分相加得出各入围参评人的综合得分。评审小组按综合得分高低次序排出名次，并推荐综合得分排名第一的参评人为第一成交候选人，排名第二的参评人为第二成交候选人。</w:t>
            </w:r>
          </w:p>
          <w:p>
            <w:pPr>
              <w:keepNext w:val="0"/>
              <w:keepLines w:val="0"/>
              <w:suppressLineNumbers w:val="0"/>
              <w:spacing w:before="0" w:beforeAutospacing="0" w:after="0" w:afterAutospacing="0" w:line="276" w:lineRule="auto"/>
              <w:ind w:left="0" w:right="0"/>
              <w:rPr>
                <w:rFonts w:hint="default" w:ascii="宋体" w:hAnsi="宋体"/>
                <w:bCs/>
                <w:szCs w:val="21"/>
              </w:rPr>
            </w:pPr>
            <w:r>
              <w:rPr>
                <w:rFonts w:hint="eastAsia" w:ascii="宋体" w:hAnsi="宋体"/>
                <w:bCs/>
                <w:szCs w:val="21"/>
              </w:rPr>
              <w:t>综合得分相同的，名次按技术评分由高到低顺序排列；综合得分相同且技术评分相同的，名次按商务评分由高到低顺序排列；综合得分相同、技术评分和商务评分均相同的，名次由评审价由低到高顺序排列。综合得分相同、技术评分、商务评分和评审价均相同的评审小组抽签确定。法律法规有明确规定的，以法律法规规定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967" w:type="dxa"/>
            <w:noWrap w:val="0"/>
            <w:vAlign w:val="center"/>
          </w:tcPr>
          <w:p>
            <w:pPr>
              <w:pStyle w:val="12"/>
              <w:keepNext w:val="0"/>
              <w:keepLines w:val="0"/>
              <w:numPr>
                <w:ilvl w:val="0"/>
                <w:numId w:val="1"/>
              </w:numPr>
              <w:suppressLineNumbers w:val="0"/>
              <w:adjustRightInd w:val="0"/>
              <w:snapToGrid w:val="0"/>
              <w:spacing w:before="0" w:beforeAutospacing="0" w:after="0" w:afterAutospacing="0" w:line="276" w:lineRule="auto"/>
              <w:ind w:right="0"/>
              <w:jc w:val="center"/>
              <w:rPr>
                <w:rFonts w:hint="default" w:hAnsi="宋体"/>
                <w:bCs/>
                <w:szCs w:val="21"/>
              </w:rPr>
            </w:pPr>
          </w:p>
        </w:tc>
        <w:tc>
          <w:tcPr>
            <w:tcW w:w="1572" w:type="dxa"/>
            <w:noWrap w:val="0"/>
            <w:vAlign w:val="center"/>
          </w:tcPr>
          <w:p>
            <w:pPr>
              <w:keepNext w:val="0"/>
              <w:keepLines w:val="0"/>
              <w:suppressLineNumbers w:val="0"/>
              <w:spacing w:before="0" w:beforeAutospacing="0" w:after="0" w:afterAutospacing="0" w:line="276" w:lineRule="auto"/>
              <w:ind w:left="0" w:right="0"/>
              <w:jc w:val="center"/>
              <w:rPr>
                <w:rFonts w:hint="default" w:ascii="宋体" w:hAnsi="宋体"/>
                <w:szCs w:val="21"/>
              </w:rPr>
            </w:pPr>
            <w:r>
              <w:rPr>
                <w:rFonts w:hint="eastAsia" w:ascii="宋体" w:hAnsi="宋体"/>
                <w:szCs w:val="21"/>
              </w:rPr>
              <w:t>其他</w:t>
            </w:r>
          </w:p>
        </w:tc>
        <w:tc>
          <w:tcPr>
            <w:tcW w:w="6968" w:type="dxa"/>
            <w:noWrap w:val="0"/>
            <w:vAlign w:val="center"/>
          </w:tcPr>
          <w:p>
            <w:pPr>
              <w:keepNext w:val="0"/>
              <w:keepLines w:val="0"/>
              <w:suppressLineNumbers w:val="0"/>
              <w:tabs>
                <w:tab w:val="left" w:pos="0"/>
              </w:tabs>
              <w:snapToGrid w:val="0"/>
              <w:spacing w:before="0" w:beforeAutospacing="0" w:after="0" w:afterAutospacing="0" w:line="276" w:lineRule="auto"/>
              <w:ind w:left="0" w:right="0"/>
              <w:rPr>
                <w:rFonts w:hint="default" w:ascii="宋体" w:hAnsi="宋体"/>
                <w:bCs/>
                <w:szCs w:val="21"/>
              </w:rPr>
            </w:pPr>
            <w:r>
              <w:rPr>
                <w:rFonts w:hint="eastAsia" w:ascii="宋体" w:hAnsi="宋体"/>
                <w:bCs/>
                <w:szCs w:val="21"/>
              </w:rPr>
              <w:t>本项目不接受备选参评方案，不接受有任何选择或具有附加条件的报价，参评文件的报价只允许唯一方案报价。</w:t>
            </w:r>
          </w:p>
        </w:tc>
      </w:tr>
    </w:tbl>
    <w:p>
      <w:pPr>
        <w:spacing w:line="360" w:lineRule="auto"/>
        <w:ind w:firstLine="421" w:firstLineChars="200"/>
        <w:rPr>
          <w:rFonts w:ascii="宋体" w:hAnsi="宋体"/>
          <w:szCs w:val="21"/>
        </w:rPr>
      </w:pPr>
      <w:r>
        <w:rPr>
          <w:rFonts w:hint="eastAsia" w:ascii="宋体" w:hAnsi="宋体"/>
          <w:b/>
          <w:szCs w:val="21"/>
        </w:rPr>
        <w:t>参评人必须认真阅读参评须知的内容，以免造成参评失败。</w:t>
      </w:r>
    </w:p>
    <w:p>
      <w:pPr>
        <w:keepNext/>
        <w:keepLines/>
        <w:adjustRightInd w:val="0"/>
        <w:spacing w:line="360" w:lineRule="auto"/>
        <w:jc w:val="center"/>
        <w:textAlignment w:val="baseline"/>
        <w:outlineLvl w:val="1"/>
        <w:rPr>
          <w:rFonts w:ascii="宋体" w:hAnsi="宋体"/>
          <w:b/>
          <w:sz w:val="32"/>
          <w:szCs w:val="32"/>
        </w:rPr>
      </w:pPr>
      <w:r>
        <w:rPr>
          <w:rFonts w:ascii="宋体" w:hAnsi="宋体"/>
          <w:b/>
          <w:sz w:val="32"/>
          <w:szCs w:val="32"/>
        </w:rPr>
        <w:br w:type="page"/>
      </w:r>
      <w:r>
        <w:rPr>
          <w:rFonts w:hint="eastAsia" w:ascii="宋体" w:hAnsi="宋体"/>
          <w:b/>
          <w:sz w:val="32"/>
          <w:szCs w:val="32"/>
        </w:rPr>
        <w:t>第二章  采购需求</w:t>
      </w:r>
    </w:p>
    <w:p>
      <w:pPr>
        <w:tabs>
          <w:tab w:val="left" w:pos="0"/>
          <w:tab w:val="left" w:pos="170"/>
          <w:tab w:val="left" w:pos="540"/>
        </w:tabs>
        <w:adjustRightInd w:val="0"/>
        <w:snapToGrid w:val="0"/>
        <w:spacing w:line="360" w:lineRule="auto"/>
        <w:ind w:left="420" w:leftChars="200"/>
        <w:rPr>
          <w:rFonts w:ascii="宋体" w:hAnsi="宋体" w:cs="宋体"/>
          <w:kern w:val="28"/>
          <w:szCs w:val="21"/>
        </w:rPr>
      </w:pPr>
      <w:r>
        <w:rPr>
          <w:rFonts w:hint="eastAsia"/>
          <w:b/>
        </w:rPr>
        <w:t>一、基本要求</w:t>
      </w:r>
    </w:p>
    <w:p>
      <w:pPr>
        <w:numPr>
          <w:ilvl w:val="0"/>
          <w:numId w:val="2"/>
        </w:numPr>
        <w:tabs>
          <w:tab w:val="left" w:pos="0"/>
          <w:tab w:val="left" w:pos="170"/>
          <w:tab w:val="left" w:pos="540"/>
        </w:tabs>
        <w:adjustRightInd w:val="0"/>
        <w:snapToGrid w:val="0"/>
        <w:spacing w:line="360" w:lineRule="auto"/>
        <w:ind w:firstLine="420" w:firstLineChars="200"/>
        <w:rPr>
          <w:rFonts w:ascii="宋体" w:hAnsi="宋体" w:cs="宋体"/>
          <w:kern w:val="28"/>
          <w:szCs w:val="21"/>
        </w:rPr>
      </w:pPr>
      <w:r>
        <w:rPr>
          <w:rFonts w:hint="eastAsia" w:ascii="宋体" w:hAnsi="宋体" w:cs="宋体"/>
          <w:kern w:val="28"/>
          <w:szCs w:val="21"/>
        </w:rPr>
        <w:t>标有“▲”的条款为必须完全满足的项目，任何</w:t>
      </w:r>
      <w:r>
        <w:rPr>
          <w:rFonts w:hint="eastAsia" w:ascii="宋体" w:hAnsi="宋体" w:cs="宋体"/>
          <w:szCs w:val="21"/>
        </w:rPr>
        <w:t>未响应或负偏离</w:t>
      </w:r>
      <w:r>
        <w:rPr>
          <w:rFonts w:hint="eastAsia" w:ascii="宋体" w:hAnsi="宋体" w:cs="宋体"/>
          <w:kern w:val="28"/>
          <w:szCs w:val="21"/>
        </w:rPr>
        <w:t>将导致无效响应。</w:t>
      </w:r>
    </w:p>
    <w:p>
      <w:pPr>
        <w:numPr>
          <w:ilvl w:val="0"/>
          <w:numId w:val="2"/>
        </w:numPr>
        <w:tabs>
          <w:tab w:val="left" w:pos="0"/>
          <w:tab w:val="left" w:pos="170"/>
          <w:tab w:val="left" w:pos="540"/>
        </w:tabs>
        <w:adjustRightInd w:val="0"/>
        <w:snapToGrid w:val="0"/>
        <w:spacing w:line="360" w:lineRule="auto"/>
        <w:ind w:firstLine="420" w:firstLineChars="200"/>
        <w:rPr>
          <w:rFonts w:ascii="宋体" w:hAnsi="宋体" w:cs="宋体"/>
          <w:kern w:val="28"/>
          <w:szCs w:val="21"/>
        </w:rPr>
      </w:pPr>
      <w:r>
        <w:rPr>
          <w:rFonts w:hint="eastAsia" w:ascii="宋体" w:hAnsi="宋体" w:cs="宋体"/>
          <w:kern w:val="28"/>
          <w:szCs w:val="21"/>
        </w:rPr>
        <w:t>标有“★”的条款和为重要项目，任何</w:t>
      </w:r>
      <w:r>
        <w:rPr>
          <w:rFonts w:hint="eastAsia" w:ascii="宋体" w:hAnsi="宋体" w:cs="宋体"/>
          <w:szCs w:val="21"/>
        </w:rPr>
        <w:t>未响应或负偏离</w:t>
      </w:r>
      <w:r>
        <w:rPr>
          <w:rFonts w:hint="eastAsia" w:ascii="宋体" w:hAnsi="宋体" w:cs="宋体"/>
          <w:kern w:val="28"/>
          <w:szCs w:val="21"/>
        </w:rPr>
        <w:t>将被严重扣分。</w:t>
      </w:r>
    </w:p>
    <w:p>
      <w:pPr>
        <w:numPr>
          <w:ilvl w:val="0"/>
          <w:numId w:val="2"/>
        </w:numPr>
        <w:tabs>
          <w:tab w:val="left" w:pos="0"/>
          <w:tab w:val="left" w:pos="170"/>
          <w:tab w:val="left" w:pos="540"/>
        </w:tabs>
        <w:adjustRightInd w:val="0"/>
        <w:snapToGrid w:val="0"/>
        <w:spacing w:line="360" w:lineRule="auto"/>
        <w:ind w:firstLine="420" w:firstLineChars="200"/>
        <w:rPr>
          <w:rFonts w:ascii="宋体" w:hAnsi="宋体" w:cs="宋体"/>
          <w:kern w:val="28"/>
          <w:szCs w:val="21"/>
        </w:rPr>
      </w:pPr>
      <w:r>
        <w:rPr>
          <w:rFonts w:hint="eastAsia" w:ascii="宋体" w:hAnsi="宋体" w:cs="宋体"/>
          <w:kern w:val="28"/>
          <w:szCs w:val="21"/>
        </w:rPr>
        <w:t>参评人必须具有独立法人资格。</w:t>
      </w:r>
    </w:p>
    <w:p>
      <w:pPr>
        <w:numPr>
          <w:ilvl w:val="0"/>
          <w:numId w:val="2"/>
        </w:numPr>
        <w:tabs>
          <w:tab w:val="left" w:pos="0"/>
          <w:tab w:val="left" w:pos="170"/>
          <w:tab w:val="left" w:pos="540"/>
        </w:tabs>
        <w:adjustRightInd w:val="0"/>
        <w:snapToGrid w:val="0"/>
        <w:spacing w:line="360" w:lineRule="auto"/>
        <w:ind w:firstLine="420" w:firstLineChars="200"/>
        <w:rPr>
          <w:rFonts w:ascii="宋体" w:hAnsi="宋体" w:cs="宋体"/>
          <w:kern w:val="28"/>
          <w:szCs w:val="21"/>
        </w:rPr>
      </w:pPr>
      <w:r>
        <w:rPr>
          <w:rFonts w:hint="eastAsia" w:ascii="宋体" w:hAnsi="宋体" w:cs="宋体"/>
          <w:kern w:val="28"/>
          <w:szCs w:val="21"/>
        </w:rPr>
        <w:t>参评人在响应建议中必须列出具体数值</w:t>
      </w:r>
      <w:r>
        <w:rPr>
          <w:rFonts w:hint="eastAsia" w:ascii="宋体" w:hAnsi="宋体"/>
          <w:kern w:val="28"/>
          <w:szCs w:val="21"/>
        </w:rPr>
        <w:t>或具体承诺</w:t>
      </w:r>
      <w:r>
        <w:rPr>
          <w:rFonts w:ascii="宋体" w:hAnsi="宋体"/>
          <w:kern w:val="28"/>
          <w:szCs w:val="21"/>
        </w:rPr>
        <w:t>。如果</w:t>
      </w:r>
      <w:r>
        <w:rPr>
          <w:rFonts w:hint="eastAsia" w:ascii="宋体" w:hAnsi="宋体" w:cs="宋体"/>
          <w:kern w:val="28"/>
          <w:szCs w:val="21"/>
        </w:rPr>
        <w:t>参评</w:t>
      </w:r>
      <w:r>
        <w:rPr>
          <w:rFonts w:hint="eastAsia" w:ascii="宋体" w:hAnsi="宋体"/>
          <w:kern w:val="28"/>
          <w:szCs w:val="21"/>
        </w:rPr>
        <w:t>人</w:t>
      </w:r>
      <w:r>
        <w:rPr>
          <w:rFonts w:ascii="宋体" w:hAnsi="宋体"/>
          <w:kern w:val="28"/>
          <w:szCs w:val="21"/>
        </w:rPr>
        <w:t>只注明“</w:t>
      </w:r>
      <w:r>
        <w:rPr>
          <w:rFonts w:hint="eastAsia" w:ascii="宋体" w:hAnsi="宋体"/>
          <w:kern w:val="28"/>
          <w:szCs w:val="21"/>
        </w:rPr>
        <w:t>正偏离</w:t>
      </w:r>
      <w:r>
        <w:rPr>
          <w:rFonts w:ascii="宋体" w:hAnsi="宋体"/>
          <w:kern w:val="28"/>
          <w:szCs w:val="21"/>
        </w:rPr>
        <w:t>”或“</w:t>
      </w:r>
      <w:r>
        <w:rPr>
          <w:rFonts w:hint="eastAsia" w:ascii="宋体" w:hAnsi="宋体"/>
          <w:kern w:val="28"/>
          <w:szCs w:val="21"/>
        </w:rPr>
        <w:t>无偏离</w:t>
      </w:r>
      <w:r>
        <w:rPr>
          <w:rFonts w:ascii="宋体" w:hAnsi="宋体"/>
          <w:kern w:val="28"/>
          <w:szCs w:val="21"/>
        </w:rPr>
        <w:t>”，将被视为“</w:t>
      </w:r>
      <w:r>
        <w:rPr>
          <w:rFonts w:hint="eastAsia" w:ascii="宋体" w:hAnsi="宋体"/>
          <w:kern w:val="28"/>
          <w:szCs w:val="21"/>
        </w:rPr>
        <w:t>负偏离</w:t>
      </w:r>
      <w:r>
        <w:rPr>
          <w:rFonts w:ascii="宋体" w:hAnsi="宋体"/>
          <w:kern w:val="28"/>
          <w:szCs w:val="21"/>
        </w:rPr>
        <w:t>”</w:t>
      </w:r>
      <w:r>
        <w:rPr>
          <w:rFonts w:hint="eastAsia" w:ascii="宋体" w:hAnsi="宋体"/>
          <w:kern w:val="28"/>
          <w:szCs w:val="21"/>
        </w:rPr>
        <w:t>，</w:t>
      </w:r>
      <w:r>
        <w:rPr>
          <w:rFonts w:ascii="宋体" w:hAnsi="宋体"/>
          <w:kern w:val="28"/>
          <w:szCs w:val="21"/>
        </w:rPr>
        <w:t>从而可能导致严重影响</w:t>
      </w:r>
      <w:r>
        <w:rPr>
          <w:rFonts w:hint="eastAsia" w:ascii="宋体" w:hAnsi="宋体"/>
          <w:kern w:val="28"/>
          <w:szCs w:val="21"/>
        </w:rPr>
        <w:t>评审</w:t>
      </w:r>
      <w:r>
        <w:rPr>
          <w:rFonts w:ascii="宋体" w:hAnsi="宋体"/>
          <w:kern w:val="28"/>
          <w:szCs w:val="21"/>
        </w:rPr>
        <w:t>结果</w:t>
      </w:r>
      <w:r>
        <w:rPr>
          <w:rFonts w:hint="eastAsia" w:ascii="宋体" w:hAnsi="宋体" w:cs="宋体"/>
          <w:kern w:val="28"/>
          <w:szCs w:val="21"/>
        </w:rPr>
        <w:t>。</w:t>
      </w:r>
    </w:p>
    <w:p>
      <w:pPr>
        <w:numPr>
          <w:ilvl w:val="0"/>
          <w:numId w:val="2"/>
        </w:numPr>
        <w:tabs>
          <w:tab w:val="left" w:pos="0"/>
          <w:tab w:val="left" w:pos="170"/>
          <w:tab w:val="left" w:pos="540"/>
        </w:tabs>
        <w:adjustRightInd w:val="0"/>
        <w:snapToGrid w:val="0"/>
        <w:spacing w:line="360" w:lineRule="auto"/>
        <w:ind w:firstLine="420" w:firstLineChars="200"/>
        <w:rPr>
          <w:rFonts w:ascii="宋体" w:hAnsi="宋体" w:cs="宋体"/>
          <w:kern w:val="28"/>
          <w:szCs w:val="21"/>
        </w:rPr>
      </w:pPr>
      <w:r>
        <w:rPr>
          <w:rFonts w:hint="eastAsia" w:ascii="宋体" w:hAnsi="宋体" w:cs="宋体"/>
          <w:kern w:val="28"/>
          <w:szCs w:val="21"/>
        </w:rPr>
        <w:t>参评人</w:t>
      </w:r>
      <w:r>
        <w:rPr>
          <w:rFonts w:hint="eastAsia" w:ascii="宋体" w:hAnsi="宋体" w:cs="宋体"/>
          <w:szCs w:val="21"/>
        </w:rPr>
        <w:t>须对所投报价</w:t>
      </w:r>
      <w:r>
        <w:rPr>
          <w:rFonts w:hint="eastAsia" w:ascii="宋体" w:hAnsi="宋体" w:cs="宋体"/>
          <w:szCs w:val="21"/>
          <w:lang w:eastAsia="zh-Hans"/>
        </w:rPr>
        <w:t>服务及自身经营情况描述</w:t>
      </w:r>
      <w:r>
        <w:rPr>
          <w:rFonts w:hint="eastAsia" w:ascii="宋体" w:hAnsi="宋体" w:cs="宋体"/>
          <w:szCs w:val="21"/>
        </w:rPr>
        <w:t>的真实性承担法律责任</w:t>
      </w:r>
      <w:r>
        <w:rPr>
          <w:rFonts w:hint="eastAsia" w:ascii="宋体" w:hAnsi="宋体" w:cs="宋体"/>
          <w:kern w:val="28"/>
          <w:szCs w:val="21"/>
        </w:rPr>
        <w:t>。</w:t>
      </w:r>
    </w:p>
    <w:p>
      <w:pPr>
        <w:numPr>
          <w:ilvl w:val="0"/>
          <w:numId w:val="2"/>
        </w:numPr>
        <w:tabs>
          <w:tab w:val="left" w:pos="0"/>
          <w:tab w:val="left" w:pos="170"/>
          <w:tab w:val="left" w:pos="540"/>
        </w:tabs>
        <w:adjustRightInd w:val="0"/>
        <w:snapToGrid w:val="0"/>
        <w:spacing w:line="360" w:lineRule="auto"/>
        <w:ind w:firstLine="420" w:firstLineChars="200"/>
        <w:rPr>
          <w:rFonts w:ascii="宋体" w:hAnsi="宋体" w:cs="宋体"/>
          <w:szCs w:val="21"/>
        </w:rPr>
      </w:pPr>
      <w:r>
        <w:rPr>
          <w:rFonts w:hint="eastAsia" w:ascii="宋体" w:hAnsi="宋体" w:cs="宋体"/>
          <w:kern w:val="28"/>
          <w:szCs w:val="21"/>
        </w:rPr>
        <w:t>参评</w:t>
      </w:r>
      <w:r>
        <w:rPr>
          <w:rFonts w:hint="eastAsia" w:ascii="宋体" w:hAnsi="宋体" w:cs="宋体"/>
          <w:szCs w:val="21"/>
        </w:rPr>
        <w:t>人没有在</w:t>
      </w:r>
      <w:r>
        <w:rPr>
          <w:rFonts w:hint="eastAsia" w:ascii="宋体" w:hAnsi="宋体" w:cs="宋体"/>
          <w:kern w:val="28"/>
          <w:szCs w:val="21"/>
        </w:rPr>
        <w:t>参评</w:t>
      </w:r>
      <w:r>
        <w:rPr>
          <w:rFonts w:hint="eastAsia" w:ascii="宋体" w:hAnsi="宋体" w:cs="宋体"/>
          <w:szCs w:val="21"/>
        </w:rPr>
        <w:t>文件中注明偏离（文字说明或在响应表注明）的</w:t>
      </w:r>
      <w:r>
        <w:rPr>
          <w:rFonts w:hint="eastAsia" w:ascii="宋体" w:hAnsi="宋体" w:cs="宋体"/>
          <w:szCs w:val="21"/>
          <w:lang w:eastAsia="zh-Hans"/>
        </w:rPr>
        <w:t>描述</w:t>
      </w:r>
      <w:r>
        <w:rPr>
          <w:rFonts w:hint="eastAsia" w:ascii="宋体" w:hAnsi="宋体" w:cs="宋体"/>
          <w:szCs w:val="21"/>
        </w:rPr>
        <w:t>、条款视为被</w:t>
      </w:r>
      <w:r>
        <w:rPr>
          <w:rFonts w:hint="eastAsia" w:ascii="宋体" w:hAnsi="宋体" w:cs="宋体"/>
          <w:kern w:val="28"/>
          <w:szCs w:val="21"/>
        </w:rPr>
        <w:t>参评</w:t>
      </w:r>
      <w:r>
        <w:rPr>
          <w:rFonts w:hint="eastAsia" w:ascii="宋体" w:hAnsi="宋体" w:cs="宋体"/>
          <w:szCs w:val="21"/>
        </w:rPr>
        <w:t>人完全接受。</w:t>
      </w:r>
    </w:p>
    <w:p>
      <w:pPr>
        <w:numPr>
          <w:ilvl w:val="0"/>
          <w:numId w:val="2"/>
        </w:numPr>
        <w:tabs>
          <w:tab w:val="left" w:pos="0"/>
          <w:tab w:val="left" w:pos="170"/>
          <w:tab w:val="left" w:pos="540"/>
        </w:tabs>
        <w:adjustRightInd w:val="0"/>
        <w:snapToGrid w:val="0"/>
        <w:spacing w:line="360" w:lineRule="auto"/>
        <w:ind w:firstLine="420" w:firstLineChars="200"/>
        <w:rPr>
          <w:rFonts w:ascii="宋体" w:hAnsi="宋体" w:cs="宋体"/>
          <w:szCs w:val="21"/>
        </w:rPr>
      </w:pPr>
      <w:r>
        <w:rPr>
          <w:rFonts w:hint="eastAsia" w:ascii="宋体" w:hAnsi="宋体" w:cs="宋体"/>
          <w:kern w:val="28"/>
          <w:szCs w:val="21"/>
        </w:rPr>
        <w:t>参评</w:t>
      </w:r>
      <w:r>
        <w:rPr>
          <w:rFonts w:hint="eastAsia" w:ascii="宋体" w:hAnsi="宋体" w:cs="宋体"/>
          <w:szCs w:val="21"/>
        </w:rPr>
        <w:t>人应保证，采购人在中华人民共和国使用该货物、服务或货物、服务的任何一部分时，免受第三方提出的侵犯其专利权、商标权、著作权或其它知识产权的起诉。</w:t>
      </w:r>
    </w:p>
    <w:p>
      <w:pPr>
        <w:adjustRightInd w:val="0"/>
        <w:snapToGrid w:val="0"/>
        <w:spacing w:line="360" w:lineRule="auto"/>
        <w:ind w:firstLine="525" w:firstLineChars="250"/>
        <w:jc w:val="left"/>
        <w:outlineLvl w:val="0"/>
        <w:rPr>
          <w:rFonts w:ascii="宋体" w:hAnsi="宋体" w:cs="宋体"/>
          <w:szCs w:val="21"/>
        </w:rPr>
      </w:pPr>
      <w:r>
        <w:rPr>
          <w:rFonts w:hint="eastAsia" w:ascii="宋体" w:hAnsi="宋体"/>
          <w:bCs/>
          <w:szCs w:val="21"/>
        </w:rPr>
        <w:t>二、</w:t>
      </w:r>
      <w:r>
        <w:rPr>
          <w:rFonts w:hint="eastAsia" w:ascii="宋体" w:hAnsi="宋体" w:cs="仿宋_GB2312"/>
          <w:b/>
          <w:szCs w:val="21"/>
        </w:rPr>
        <w:t>项目概况和参评人条件</w:t>
      </w:r>
    </w:p>
    <w:p>
      <w:pPr>
        <w:adjustRightInd w:val="0"/>
        <w:snapToGrid w:val="0"/>
        <w:spacing w:line="360" w:lineRule="auto"/>
        <w:ind w:firstLine="525" w:firstLineChars="250"/>
        <w:jc w:val="left"/>
        <w:outlineLvl w:val="0"/>
        <w:rPr>
          <w:rFonts w:ascii="宋体" w:hAnsi="宋体" w:cs="仿宋_GB2312"/>
          <w:szCs w:val="21"/>
        </w:rPr>
      </w:pPr>
      <w:r>
        <w:rPr>
          <w:rFonts w:hint="eastAsia" w:ascii="宋体" w:hAnsi="宋体" w:cs="宋体"/>
          <w:szCs w:val="21"/>
          <w:lang w:val="zh-CN"/>
        </w:rPr>
        <w:t>为强化使用领域消防产品质量监督，严厉打击假冒伪劣消防产品，根据部消防救援局</w:t>
      </w:r>
      <w:r>
        <w:rPr>
          <w:rFonts w:hint="eastAsia" w:ascii="宋体" w:hAnsi="宋体" w:cs="宋体"/>
          <w:szCs w:val="21"/>
        </w:rPr>
        <w:t>年度重点工作目标任务和</w:t>
      </w:r>
      <w:r>
        <w:rPr>
          <w:rFonts w:hint="eastAsia" w:ascii="宋体" w:hAnsi="宋体" w:cs="宋体"/>
          <w:szCs w:val="21"/>
          <w:lang w:val="zh-CN"/>
        </w:rPr>
        <w:t>广东省消防救援总队开展</w:t>
      </w:r>
      <w:bookmarkStart w:id="3" w:name="_Hlk42212334"/>
      <w:r>
        <w:rPr>
          <w:rFonts w:hint="eastAsia" w:ascii="宋体" w:hAnsi="宋体" w:cs="宋体"/>
          <w:szCs w:val="21"/>
          <w:lang w:val="zh-CN"/>
        </w:rPr>
        <w:t>202</w:t>
      </w:r>
      <w:r>
        <w:rPr>
          <w:rFonts w:hint="eastAsia" w:ascii="宋体" w:hAnsi="宋体" w:cs="宋体"/>
          <w:szCs w:val="21"/>
        </w:rPr>
        <w:t>4</w:t>
      </w:r>
      <w:r>
        <w:rPr>
          <w:rFonts w:hint="eastAsia" w:ascii="宋体" w:hAnsi="宋体" w:cs="宋体"/>
          <w:szCs w:val="21"/>
          <w:lang w:val="zh-CN"/>
        </w:rPr>
        <w:t>年度使用领域消防产品质量监督抽查</w:t>
      </w:r>
      <w:bookmarkEnd w:id="3"/>
      <w:r>
        <w:rPr>
          <w:rFonts w:hint="eastAsia" w:ascii="宋体" w:hAnsi="宋体" w:cs="宋体"/>
          <w:szCs w:val="21"/>
          <w:lang w:val="zh-CN"/>
        </w:rPr>
        <w:t>工作要求，总队决定在全省范围内，对社会单位使用领域和消防救援队伍的消防产品开展专项质量监督抽查、</w:t>
      </w:r>
      <w:r>
        <w:rPr>
          <w:rFonts w:hint="eastAsia" w:ascii="宋体" w:hAnsi="宋体" w:cs="宋体"/>
          <w:szCs w:val="21"/>
        </w:rPr>
        <w:t>检验工作</w:t>
      </w:r>
      <w:r>
        <w:rPr>
          <w:rFonts w:hint="eastAsia" w:ascii="宋体" w:hAnsi="宋体" w:cs="宋体"/>
          <w:szCs w:val="21"/>
          <w:lang w:val="zh-CN" w:eastAsia="zh-Hans"/>
        </w:rPr>
        <w:t>。</w:t>
      </w:r>
    </w:p>
    <w:p>
      <w:pPr>
        <w:adjustRightInd w:val="0"/>
        <w:snapToGrid w:val="0"/>
        <w:spacing w:line="360" w:lineRule="auto"/>
        <w:ind w:firstLine="420" w:firstLineChars="200"/>
        <w:jc w:val="left"/>
        <w:outlineLvl w:val="0"/>
        <w:rPr>
          <w:rFonts w:ascii="宋体" w:hAnsi="宋体" w:cs="宋体"/>
          <w:szCs w:val="21"/>
        </w:rPr>
      </w:pPr>
      <w:bookmarkStart w:id="4" w:name="_Toc42868517"/>
      <w:r>
        <w:rPr>
          <w:rFonts w:hint="eastAsia" w:ascii="宋体" w:hAnsi="宋体" w:cs="仿宋_GB2312"/>
          <w:szCs w:val="21"/>
        </w:rPr>
        <w:t>本项目为采购人选择</w:t>
      </w:r>
      <w:r>
        <w:rPr>
          <w:rFonts w:hint="eastAsia"/>
          <w:szCs w:val="22"/>
        </w:rPr>
        <w:t>广东省消防救援总队2024年度使用领域消防产品专项监督抽查检验购买服务项目</w:t>
      </w:r>
      <w:r>
        <w:rPr>
          <w:rFonts w:hint="eastAsia" w:ascii="宋体" w:hAnsi="宋体" w:cs="仿宋_GB2312"/>
          <w:szCs w:val="21"/>
        </w:rPr>
        <w:t>，预算总资金为人民币80万元，</w:t>
      </w:r>
      <w:r>
        <w:rPr>
          <w:rFonts w:hint="eastAsia" w:ascii="宋体" w:hAnsi="宋体" w:cs="宋体"/>
          <w:szCs w:val="21"/>
        </w:rPr>
        <w:t>参照前3年每个批次平均为2500元检测费用计（含购买样品、运输送样等费用），计划抽样送检320个批次。</w:t>
      </w:r>
    </w:p>
    <w:p>
      <w:pPr>
        <w:adjustRightInd w:val="0"/>
        <w:snapToGrid w:val="0"/>
        <w:spacing w:line="360" w:lineRule="auto"/>
        <w:ind w:firstLine="420" w:firstLineChars="200"/>
        <w:jc w:val="left"/>
        <w:outlineLvl w:val="0"/>
        <w:rPr>
          <w:rFonts w:ascii="宋体" w:hAnsi="宋体" w:cs="仿宋_GB2312"/>
          <w:szCs w:val="21"/>
        </w:rPr>
      </w:pPr>
      <w:r>
        <w:rPr>
          <w:rFonts w:hint="eastAsia" w:ascii="宋体" w:hAnsi="宋体" w:cs="仿宋_GB2312"/>
          <w:szCs w:val="21"/>
        </w:rPr>
        <w:t>具体抽查产品及批次数量见下表：</w:t>
      </w:r>
      <w:bookmarkEnd w:id="4"/>
    </w:p>
    <w:tbl>
      <w:tblPr>
        <w:tblStyle w:val="25"/>
        <w:tblW w:w="8332" w:type="dxa"/>
        <w:tblInd w:w="93" w:type="dxa"/>
        <w:tblLayout w:type="fixed"/>
        <w:tblCellMar>
          <w:top w:w="0" w:type="dxa"/>
          <w:left w:w="108" w:type="dxa"/>
          <w:bottom w:w="0" w:type="dxa"/>
          <w:right w:w="108" w:type="dxa"/>
        </w:tblCellMar>
      </w:tblPr>
      <w:tblGrid>
        <w:gridCol w:w="1560"/>
        <w:gridCol w:w="1560"/>
        <w:gridCol w:w="3500"/>
        <w:gridCol w:w="1712"/>
      </w:tblGrid>
      <w:tr>
        <w:tblPrEx>
          <w:tblCellMar>
            <w:top w:w="0" w:type="dxa"/>
            <w:left w:w="108" w:type="dxa"/>
            <w:bottom w:w="0" w:type="dxa"/>
            <w:right w:w="108" w:type="dxa"/>
          </w:tblCellMar>
        </w:tblPrEx>
        <w:trPr>
          <w:trHeight w:val="699"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序号</w:t>
            </w: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分类</w:t>
            </w:r>
          </w:p>
        </w:tc>
        <w:tc>
          <w:tcPr>
            <w:tcW w:w="35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产品名称</w:t>
            </w:r>
          </w:p>
        </w:tc>
        <w:tc>
          <w:tcPr>
            <w:tcW w:w="17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批次数量</w:t>
            </w:r>
          </w:p>
        </w:tc>
      </w:tr>
      <w:tr>
        <w:tblPrEx>
          <w:tblCellMar>
            <w:top w:w="0" w:type="dxa"/>
            <w:left w:w="108" w:type="dxa"/>
            <w:bottom w:w="0" w:type="dxa"/>
            <w:right w:w="108" w:type="dxa"/>
          </w:tblCellMar>
        </w:tblPrEx>
        <w:trPr>
          <w:trHeight w:val="538" w:hRule="atLeast"/>
        </w:trPr>
        <w:tc>
          <w:tcPr>
            <w:tcW w:w="15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1</w:t>
            </w:r>
          </w:p>
        </w:tc>
        <w:tc>
          <w:tcPr>
            <w:tcW w:w="1560"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消防救援装备产品</w:t>
            </w:r>
          </w:p>
        </w:tc>
        <w:tc>
          <w:tcPr>
            <w:tcW w:w="35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安全绳</w:t>
            </w:r>
          </w:p>
        </w:tc>
        <w:tc>
          <w:tcPr>
            <w:tcW w:w="17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16</w:t>
            </w:r>
          </w:p>
        </w:tc>
      </w:tr>
      <w:tr>
        <w:tblPrEx>
          <w:tblCellMar>
            <w:top w:w="0" w:type="dxa"/>
            <w:left w:w="108" w:type="dxa"/>
            <w:bottom w:w="0" w:type="dxa"/>
            <w:right w:w="108" w:type="dxa"/>
          </w:tblCellMar>
        </w:tblPrEx>
        <w:trPr>
          <w:trHeight w:val="538" w:hRule="atLeast"/>
        </w:trPr>
        <w:tc>
          <w:tcPr>
            <w:tcW w:w="15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2</w:t>
            </w:r>
          </w:p>
        </w:tc>
        <w:tc>
          <w:tcPr>
            <w:tcW w:w="156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p>
        </w:tc>
        <w:tc>
          <w:tcPr>
            <w:tcW w:w="35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消防员照明灯具</w:t>
            </w:r>
          </w:p>
        </w:tc>
        <w:tc>
          <w:tcPr>
            <w:tcW w:w="17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16</w:t>
            </w:r>
          </w:p>
        </w:tc>
      </w:tr>
      <w:tr>
        <w:tblPrEx>
          <w:tblCellMar>
            <w:top w:w="0" w:type="dxa"/>
            <w:left w:w="108" w:type="dxa"/>
            <w:bottom w:w="0" w:type="dxa"/>
            <w:right w:w="108" w:type="dxa"/>
          </w:tblCellMar>
        </w:tblPrEx>
        <w:trPr>
          <w:trHeight w:val="538" w:hRule="atLeast"/>
        </w:trPr>
        <w:tc>
          <w:tcPr>
            <w:tcW w:w="15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3</w:t>
            </w:r>
          </w:p>
        </w:tc>
        <w:tc>
          <w:tcPr>
            <w:tcW w:w="156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p>
        </w:tc>
        <w:tc>
          <w:tcPr>
            <w:tcW w:w="35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消防救生照明线</w:t>
            </w:r>
          </w:p>
        </w:tc>
        <w:tc>
          <w:tcPr>
            <w:tcW w:w="17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16</w:t>
            </w:r>
          </w:p>
        </w:tc>
      </w:tr>
      <w:tr>
        <w:tblPrEx>
          <w:tblCellMar>
            <w:top w:w="0" w:type="dxa"/>
            <w:left w:w="108" w:type="dxa"/>
            <w:bottom w:w="0" w:type="dxa"/>
            <w:right w:w="108" w:type="dxa"/>
          </w:tblCellMar>
        </w:tblPrEx>
        <w:trPr>
          <w:trHeight w:val="538" w:hRule="atLeast"/>
        </w:trPr>
        <w:tc>
          <w:tcPr>
            <w:tcW w:w="15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4</w:t>
            </w:r>
          </w:p>
        </w:tc>
        <w:tc>
          <w:tcPr>
            <w:tcW w:w="156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p>
        </w:tc>
        <w:tc>
          <w:tcPr>
            <w:tcW w:w="35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方正黑体_GBK" w:hAnsi="宋体" w:eastAsia="方正黑体_GBK" w:cs="宋体"/>
                <w:color w:val="000000"/>
                <w:kern w:val="0"/>
                <w:szCs w:val="21"/>
              </w:rPr>
            </w:pPr>
            <w:r>
              <w:rPr>
                <w:rFonts w:hint="eastAsia" w:ascii="方正黑体_GBK" w:hAnsi="宋体" w:eastAsia="方正黑体_GBK" w:cs="宋体"/>
                <w:color w:val="000000"/>
                <w:kern w:val="0"/>
                <w:szCs w:val="21"/>
              </w:rPr>
              <w:t>泡沫灭火剂或水系灭火剂</w:t>
            </w:r>
          </w:p>
        </w:tc>
        <w:tc>
          <w:tcPr>
            <w:tcW w:w="17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16</w:t>
            </w:r>
          </w:p>
        </w:tc>
      </w:tr>
      <w:tr>
        <w:tblPrEx>
          <w:tblCellMar>
            <w:top w:w="0" w:type="dxa"/>
            <w:left w:w="108" w:type="dxa"/>
            <w:bottom w:w="0" w:type="dxa"/>
            <w:right w:w="108" w:type="dxa"/>
          </w:tblCellMar>
        </w:tblPrEx>
        <w:trPr>
          <w:trHeight w:val="538" w:hRule="atLeast"/>
        </w:trPr>
        <w:tc>
          <w:tcPr>
            <w:tcW w:w="15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5</w:t>
            </w:r>
          </w:p>
        </w:tc>
        <w:tc>
          <w:tcPr>
            <w:tcW w:w="1560"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建筑消防设施产品</w:t>
            </w:r>
          </w:p>
        </w:tc>
        <w:tc>
          <w:tcPr>
            <w:tcW w:w="35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手提式干粉灭火器</w:t>
            </w:r>
          </w:p>
        </w:tc>
        <w:tc>
          <w:tcPr>
            <w:tcW w:w="17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16</w:t>
            </w:r>
          </w:p>
        </w:tc>
      </w:tr>
      <w:tr>
        <w:tblPrEx>
          <w:tblCellMar>
            <w:top w:w="0" w:type="dxa"/>
            <w:left w:w="108" w:type="dxa"/>
            <w:bottom w:w="0" w:type="dxa"/>
            <w:right w:w="108" w:type="dxa"/>
          </w:tblCellMar>
        </w:tblPrEx>
        <w:trPr>
          <w:trHeight w:val="90" w:hRule="atLeast"/>
        </w:trPr>
        <w:tc>
          <w:tcPr>
            <w:tcW w:w="15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6</w:t>
            </w:r>
          </w:p>
        </w:tc>
        <w:tc>
          <w:tcPr>
            <w:tcW w:w="156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p>
        </w:tc>
        <w:tc>
          <w:tcPr>
            <w:tcW w:w="35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手提式水基灭火器</w:t>
            </w:r>
          </w:p>
        </w:tc>
        <w:tc>
          <w:tcPr>
            <w:tcW w:w="17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16</w:t>
            </w:r>
          </w:p>
        </w:tc>
      </w:tr>
      <w:tr>
        <w:tblPrEx>
          <w:tblCellMar>
            <w:top w:w="0" w:type="dxa"/>
            <w:left w:w="108" w:type="dxa"/>
            <w:bottom w:w="0" w:type="dxa"/>
            <w:right w:w="108" w:type="dxa"/>
          </w:tblCellMar>
        </w:tblPrEx>
        <w:trPr>
          <w:trHeight w:val="538" w:hRule="atLeast"/>
        </w:trPr>
        <w:tc>
          <w:tcPr>
            <w:tcW w:w="15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7</w:t>
            </w:r>
          </w:p>
        </w:tc>
        <w:tc>
          <w:tcPr>
            <w:tcW w:w="156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p>
        </w:tc>
        <w:tc>
          <w:tcPr>
            <w:tcW w:w="35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手提式二氧化碳灭火器</w:t>
            </w:r>
          </w:p>
        </w:tc>
        <w:tc>
          <w:tcPr>
            <w:tcW w:w="17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16</w:t>
            </w:r>
          </w:p>
        </w:tc>
      </w:tr>
      <w:tr>
        <w:tblPrEx>
          <w:tblCellMar>
            <w:top w:w="0" w:type="dxa"/>
            <w:left w:w="108" w:type="dxa"/>
            <w:bottom w:w="0" w:type="dxa"/>
            <w:right w:w="108" w:type="dxa"/>
          </w:tblCellMar>
        </w:tblPrEx>
        <w:trPr>
          <w:trHeight w:val="538" w:hRule="atLeast"/>
        </w:trPr>
        <w:tc>
          <w:tcPr>
            <w:tcW w:w="15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8</w:t>
            </w:r>
          </w:p>
        </w:tc>
        <w:tc>
          <w:tcPr>
            <w:tcW w:w="156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p>
        </w:tc>
        <w:tc>
          <w:tcPr>
            <w:tcW w:w="35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方正黑体_GBK" w:hAnsi="宋体" w:eastAsia="方正黑体_GBK" w:cs="宋体"/>
                <w:color w:val="000000"/>
                <w:kern w:val="0"/>
                <w:szCs w:val="21"/>
              </w:rPr>
            </w:pPr>
            <w:r>
              <w:rPr>
                <w:rFonts w:hint="eastAsia" w:ascii="方正黑体_GBK" w:hAnsi="宋体" w:eastAsia="方正黑体_GBK" w:cs="宋体"/>
                <w:color w:val="000000"/>
                <w:kern w:val="0"/>
                <w:szCs w:val="21"/>
              </w:rPr>
              <w:t>非隔热型防火玻璃</w:t>
            </w:r>
          </w:p>
        </w:tc>
        <w:tc>
          <w:tcPr>
            <w:tcW w:w="17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16</w:t>
            </w:r>
          </w:p>
        </w:tc>
      </w:tr>
      <w:tr>
        <w:tblPrEx>
          <w:tblCellMar>
            <w:top w:w="0" w:type="dxa"/>
            <w:left w:w="108" w:type="dxa"/>
            <w:bottom w:w="0" w:type="dxa"/>
            <w:right w:w="108" w:type="dxa"/>
          </w:tblCellMar>
        </w:tblPrEx>
        <w:trPr>
          <w:trHeight w:val="538" w:hRule="atLeast"/>
        </w:trPr>
        <w:tc>
          <w:tcPr>
            <w:tcW w:w="15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方正黑体_GBK" w:hAnsi="宋体" w:eastAsia="方正黑体_GBK" w:cs="宋体"/>
                <w:color w:val="000000"/>
                <w:kern w:val="0"/>
                <w:szCs w:val="21"/>
              </w:rPr>
            </w:pPr>
            <w:r>
              <w:rPr>
                <w:rFonts w:hint="eastAsia" w:ascii="方正黑体_GBK" w:hAnsi="宋体" w:eastAsia="方正黑体_GBK" w:cs="宋体"/>
                <w:color w:val="000000"/>
                <w:kern w:val="0"/>
                <w:szCs w:val="21"/>
              </w:rPr>
              <w:t>9</w:t>
            </w:r>
          </w:p>
        </w:tc>
        <w:tc>
          <w:tcPr>
            <w:tcW w:w="156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p>
        </w:tc>
        <w:tc>
          <w:tcPr>
            <w:tcW w:w="35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方正黑体_GBK" w:hAnsi="宋体" w:eastAsia="方正黑体_GBK" w:cs="宋体"/>
                <w:color w:val="000000"/>
                <w:kern w:val="0"/>
                <w:szCs w:val="21"/>
                <w:lang w:eastAsia="zh-CN"/>
              </w:rPr>
            </w:pPr>
            <w:r>
              <w:rPr>
                <w:rFonts w:hint="eastAsia" w:ascii="方正黑体_GBK" w:hAnsi="宋体" w:eastAsia="方正黑体_GBK" w:cs="宋体"/>
                <w:color w:val="000000"/>
                <w:kern w:val="0"/>
                <w:szCs w:val="21"/>
                <w:highlight w:val="none"/>
                <w:lang w:val="en-US" w:eastAsia="zh-CN"/>
              </w:rPr>
              <w:t>防火门</w:t>
            </w:r>
          </w:p>
        </w:tc>
        <w:tc>
          <w:tcPr>
            <w:tcW w:w="17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方正黑体_GBK" w:hAnsi="宋体" w:eastAsia="方正黑体_GBK" w:cs="宋体"/>
                <w:color w:val="000000"/>
                <w:kern w:val="0"/>
                <w:szCs w:val="21"/>
              </w:rPr>
            </w:pPr>
            <w:r>
              <w:rPr>
                <w:rFonts w:hint="eastAsia" w:ascii="方正黑体_GBK" w:hAnsi="宋体" w:eastAsia="方正黑体_GBK" w:cs="宋体"/>
                <w:color w:val="000000"/>
                <w:kern w:val="0"/>
                <w:szCs w:val="21"/>
              </w:rPr>
              <w:t>16</w:t>
            </w:r>
          </w:p>
        </w:tc>
      </w:tr>
      <w:tr>
        <w:tblPrEx>
          <w:tblCellMar>
            <w:top w:w="0" w:type="dxa"/>
            <w:left w:w="108" w:type="dxa"/>
            <w:bottom w:w="0" w:type="dxa"/>
            <w:right w:w="108" w:type="dxa"/>
          </w:tblCellMar>
        </w:tblPrEx>
        <w:trPr>
          <w:trHeight w:val="538" w:hRule="atLeast"/>
        </w:trPr>
        <w:tc>
          <w:tcPr>
            <w:tcW w:w="15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10</w:t>
            </w:r>
          </w:p>
        </w:tc>
        <w:tc>
          <w:tcPr>
            <w:tcW w:w="156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p>
        </w:tc>
        <w:tc>
          <w:tcPr>
            <w:tcW w:w="35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过滤式消防自救呼吸器</w:t>
            </w:r>
          </w:p>
        </w:tc>
        <w:tc>
          <w:tcPr>
            <w:tcW w:w="17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32</w:t>
            </w:r>
          </w:p>
        </w:tc>
      </w:tr>
      <w:tr>
        <w:tblPrEx>
          <w:tblCellMar>
            <w:top w:w="0" w:type="dxa"/>
            <w:left w:w="108" w:type="dxa"/>
            <w:bottom w:w="0" w:type="dxa"/>
            <w:right w:w="108" w:type="dxa"/>
          </w:tblCellMar>
        </w:tblPrEx>
        <w:trPr>
          <w:trHeight w:val="538" w:hRule="atLeast"/>
        </w:trPr>
        <w:tc>
          <w:tcPr>
            <w:tcW w:w="15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11</w:t>
            </w:r>
          </w:p>
        </w:tc>
        <w:tc>
          <w:tcPr>
            <w:tcW w:w="156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p>
        </w:tc>
        <w:tc>
          <w:tcPr>
            <w:tcW w:w="35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消防应急照明灯具</w:t>
            </w:r>
          </w:p>
        </w:tc>
        <w:tc>
          <w:tcPr>
            <w:tcW w:w="17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32</w:t>
            </w:r>
          </w:p>
        </w:tc>
      </w:tr>
      <w:tr>
        <w:tblPrEx>
          <w:tblCellMar>
            <w:top w:w="0" w:type="dxa"/>
            <w:left w:w="108" w:type="dxa"/>
            <w:bottom w:w="0" w:type="dxa"/>
            <w:right w:w="108" w:type="dxa"/>
          </w:tblCellMar>
        </w:tblPrEx>
        <w:trPr>
          <w:trHeight w:val="538" w:hRule="atLeast"/>
        </w:trPr>
        <w:tc>
          <w:tcPr>
            <w:tcW w:w="15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12</w:t>
            </w:r>
          </w:p>
        </w:tc>
        <w:tc>
          <w:tcPr>
            <w:tcW w:w="156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p>
        </w:tc>
        <w:tc>
          <w:tcPr>
            <w:tcW w:w="3500" w:type="dxa"/>
            <w:tcBorders>
              <w:top w:val="nil"/>
              <w:left w:val="nil"/>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消防应急标志灯具</w:t>
            </w:r>
          </w:p>
        </w:tc>
        <w:tc>
          <w:tcPr>
            <w:tcW w:w="17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32</w:t>
            </w:r>
          </w:p>
        </w:tc>
      </w:tr>
      <w:tr>
        <w:tblPrEx>
          <w:tblCellMar>
            <w:top w:w="0" w:type="dxa"/>
            <w:left w:w="108" w:type="dxa"/>
            <w:bottom w:w="0" w:type="dxa"/>
            <w:right w:w="108" w:type="dxa"/>
          </w:tblCellMar>
        </w:tblPrEx>
        <w:trPr>
          <w:trHeight w:val="538" w:hRule="atLeast"/>
        </w:trPr>
        <w:tc>
          <w:tcPr>
            <w:tcW w:w="15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13</w:t>
            </w:r>
          </w:p>
        </w:tc>
        <w:tc>
          <w:tcPr>
            <w:tcW w:w="156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p>
        </w:tc>
        <w:tc>
          <w:tcPr>
            <w:tcW w:w="35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有衬里消防水带</w:t>
            </w:r>
          </w:p>
        </w:tc>
        <w:tc>
          <w:tcPr>
            <w:tcW w:w="17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16</w:t>
            </w:r>
          </w:p>
        </w:tc>
      </w:tr>
      <w:tr>
        <w:tblPrEx>
          <w:tblCellMar>
            <w:top w:w="0" w:type="dxa"/>
            <w:left w:w="108" w:type="dxa"/>
            <w:bottom w:w="0" w:type="dxa"/>
            <w:right w:w="108" w:type="dxa"/>
          </w:tblCellMar>
        </w:tblPrEx>
        <w:trPr>
          <w:trHeight w:val="538" w:hRule="atLeast"/>
        </w:trPr>
        <w:tc>
          <w:tcPr>
            <w:tcW w:w="15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14</w:t>
            </w:r>
          </w:p>
        </w:tc>
        <w:tc>
          <w:tcPr>
            <w:tcW w:w="156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p>
        </w:tc>
        <w:tc>
          <w:tcPr>
            <w:tcW w:w="35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洒水喷头</w:t>
            </w:r>
          </w:p>
        </w:tc>
        <w:tc>
          <w:tcPr>
            <w:tcW w:w="17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16</w:t>
            </w:r>
          </w:p>
        </w:tc>
      </w:tr>
      <w:tr>
        <w:tblPrEx>
          <w:tblCellMar>
            <w:top w:w="0" w:type="dxa"/>
            <w:left w:w="108" w:type="dxa"/>
            <w:bottom w:w="0" w:type="dxa"/>
            <w:right w:w="108" w:type="dxa"/>
          </w:tblCellMar>
        </w:tblPrEx>
        <w:trPr>
          <w:trHeight w:val="538" w:hRule="atLeast"/>
        </w:trPr>
        <w:tc>
          <w:tcPr>
            <w:tcW w:w="15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15</w:t>
            </w:r>
          </w:p>
        </w:tc>
        <w:tc>
          <w:tcPr>
            <w:tcW w:w="156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p>
        </w:tc>
        <w:tc>
          <w:tcPr>
            <w:tcW w:w="35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灭火毯</w:t>
            </w:r>
          </w:p>
        </w:tc>
        <w:tc>
          <w:tcPr>
            <w:tcW w:w="17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16</w:t>
            </w:r>
          </w:p>
        </w:tc>
      </w:tr>
      <w:tr>
        <w:tblPrEx>
          <w:tblCellMar>
            <w:top w:w="0" w:type="dxa"/>
            <w:left w:w="108" w:type="dxa"/>
            <w:bottom w:w="0" w:type="dxa"/>
            <w:right w:w="108" w:type="dxa"/>
          </w:tblCellMar>
        </w:tblPrEx>
        <w:trPr>
          <w:trHeight w:val="538" w:hRule="atLeast"/>
        </w:trPr>
        <w:tc>
          <w:tcPr>
            <w:tcW w:w="15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16</w:t>
            </w:r>
          </w:p>
        </w:tc>
        <w:tc>
          <w:tcPr>
            <w:tcW w:w="156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p>
        </w:tc>
        <w:tc>
          <w:tcPr>
            <w:tcW w:w="35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排烟阀</w:t>
            </w:r>
          </w:p>
        </w:tc>
        <w:tc>
          <w:tcPr>
            <w:tcW w:w="17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8</w:t>
            </w:r>
          </w:p>
        </w:tc>
      </w:tr>
      <w:tr>
        <w:tblPrEx>
          <w:tblCellMar>
            <w:top w:w="0" w:type="dxa"/>
            <w:left w:w="108" w:type="dxa"/>
            <w:bottom w:w="0" w:type="dxa"/>
            <w:right w:w="108" w:type="dxa"/>
          </w:tblCellMar>
        </w:tblPrEx>
        <w:trPr>
          <w:trHeight w:val="538" w:hRule="atLeast"/>
        </w:trPr>
        <w:tc>
          <w:tcPr>
            <w:tcW w:w="15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17</w:t>
            </w:r>
          </w:p>
        </w:tc>
        <w:tc>
          <w:tcPr>
            <w:tcW w:w="156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p>
        </w:tc>
        <w:tc>
          <w:tcPr>
            <w:tcW w:w="35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防火阀或排烟防火阀</w:t>
            </w:r>
          </w:p>
        </w:tc>
        <w:tc>
          <w:tcPr>
            <w:tcW w:w="17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8</w:t>
            </w:r>
          </w:p>
        </w:tc>
      </w:tr>
      <w:tr>
        <w:tblPrEx>
          <w:tblCellMar>
            <w:top w:w="0" w:type="dxa"/>
            <w:left w:w="108" w:type="dxa"/>
            <w:bottom w:w="0" w:type="dxa"/>
            <w:right w:w="108" w:type="dxa"/>
          </w:tblCellMar>
        </w:tblPrEx>
        <w:trPr>
          <w:trHeight w:val="538" w:hRule="atLeast"/>
        </w:trPr>
        <w:tc>
          <w:tcPr>
            <w:tcW w:w="156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方正黑体_GBK" w:hAnsi="宋体" w:eastAsia="方正黑体_GBK" w:cs="宋体"/>
                <w:color w:val="000000"/>
                <w:kern w:val="0"/>
                <w:szCs w:val="21"/>
              </w:rPr>
            </w:pPr>
            <w:r>
              <w:rPr>
                <w:rFonts w:hint="eastAsia" w:ascii="方正黑体_GBK" w:hAnsi="宋体" w:eastAsia="方正黑体_GBK" w:cs="宋体"/>
                <w:color w:val="000000"/>
                <w:kern w:val="0"/>
                <w:szCs w:val="21"/>
              </w:rPr>
              <w:t>18</w:t>
            </w:r>
          </w:p>
        </w:tc>
        <w:tc>
          <w:tcPr>
            <w:tcW w:w="1560" w:type="dxa"/>
            <w:vMerge w:val="continue"/>
            <w:tcBorders>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p>
        </w:tc>
        <w:tc>
          <w:tcPr>
            <w:tcW w:w="35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逃生缓降器</w:t>
            </w:r>
          </w:p>
        </w:tc>
        <w:tc>
          <w:tcPr>
            <w:tcW w:w="17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16</w:t>
            </w:r>
          </w:p>
        </w:tc>
      </w:tr>
      <w:tr>
        <w:tblPrEx>
          <w:tblCellMar>
            <w:top w:w="0" w:type="dxa"/>
            <w:left w:w="108" w:type="dxa"/>
            <w:bottom w:w="0" w:type="dxa"/>
            <w:right w:w="108" w:type="dxa"/>
          </w:tblCellMar>
        </w:tblPrEx>
        <w:trPr>
          <w:trHeight w:val="508" w:hRule="atLeast"/>
        </w:trPr>
        <w:tc>
          <w:tcPr>
            <w:tcW w:w="662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合计</w:t>
            </w:r>
          </w:p>
        </w:tc>
        <w:tc>
          <w:tcPr>
            <w:tcW w:w="1712"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方正黑体_GBK" w:hAnsi="宋体" w:eastAsia="方正黑体_GBK" w:cs="宋体"/>
                <w:color w:val="000000"/>
                <w:kern w:val="0"/>
                <w:szCs w:val="21"/>
              </w:rPr>
            </w:pPr>
            <w:r>
              <w:rPr>
                <w:rFonts w:hint="eastAsia" w:ascii="方正黑体_GBK" w:hAnsi="宋体" w:eastAsia="方正黑体_GBK" w:cs="宋体"/>
                <w:color w:val="000000"/>
                <w:kern w:val="0"/>
                <w:szCs w:val="21"/>
              </w:rPr>
              <w:t>320</w:t>
            </w:r>
          </w:p>
        </w:tc>
      </w:tr>
    </w:tbl>
    <w:p>
      <w:pPr>
        <w:adjustRightInd w:val="0"/>
        <w:snapToGrid w:val="0"/>
        <w:spacing w:line="360" w:lineRule="auto"/>
        <w:jc w:val="left"/>
        <w:outlineLvl w:val="0"/>
        <w:rPr>
          <w:rFonts w:ascii="宋体" w:hAnsi="宋体" w:cs="宋体"/>
          <w:szCs w:val="21"/>
          <w:lang w:eastAsia="zh-Hans"/>
        </w:rPr>
      </w:pPr>
    </w:p>
    <w:p>
      <w:pPr>
        <w:adjustRightInd w:val="0"/>
        <w:snapToGrid w:val="0"/>
        <w:spacing w:line="360" w:lineRule="auto"/>
        <w:ind w:firstLine="525" w:firstLineChars="250"/>
        <w:jc w:val="left"/>
        <w:outlineLvl w:val="0"/>
        <w:rPr>
          <w:rFonts w:ascii="宋体" w:hAnsi="宋体" w:cs="宋体"/>
          <w:szCs w:val="21"/>
        </w:rPr>
      </w:pPr>
      <w:r>
        <w:rPr>
          <w:rFonts w:hint="eastAsia" w:ascii="宋体" w:hAnsi="宋体" w:cs="宋体"/>
          <w:szCs w:val="21"/>
          <w:lang w:eastAsia="zh-Hans"/>
        </w:rPr>
        <w:t>参评人条件要求</w:t>
      </w:r>
    </w:p>
    <w:tbl>
      <w:tblPr>
        <w:tblStyle w:val="25"/>
        <w:tblW w:w="50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7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54" w:type="pct"/>
            <w:shd w:val="clear" w:color="000000"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4545" w:type="pct"/>
            <w:shd w:val="clear" w:color="000000"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2"/>
                <w:szCs w:val="22"/>
              </w:rPr>
            </w:pPr>
            <w:r>
              <w:rPr>
                <w:rFonts w:hint="eastAsia" w:ascii="宋体" w:hAnsi="宋体" w:cs="宋体"/>
                <w:b/>
                <w:bCs/>
                <w:color w:val="000000"/>
                <w:kern w:val="0"/>
                <w:sz w:val="22"/>
                <w:szCs w:val="22"/>
                <w:lang w:eastAsia="zh-Hans"/>
              </w:rPr>
              <w:t>具体条件要求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54" w:type="pct"/>
            <w:shd w:val="clear" w:color="000000"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1</w:t>
            </w:r>
          </w:p>
        </w:tc>
        <w:tc>
          <w:tcPr>
            <w:tcW w:w="4545" w:type="pct"/>
            <w:shd w:val="clear" w:color="000000" w:fill="auto"/>
            <w:noWrap w:val="0"/>
            <w:vAlign w:val="center"/>
          </w:tcPr>
          <w:p>
            <w:pPr>
              <w:pStyle w:val="47"/>
              <w:keepNext w:val="0"/>
              <w:keepLines w:val="0"/>
              <w:suppressLineNumbers w:val="0"/>
              <w:tabs>
                <w:tab w:val="left" w:pos="363"/>
              </w:tabs>
              <w:spacing w:before="0" w:beforeAutospacing="0" w:after="0" w:afterAutospacing="0"/>
              <w:ind w:left="0" w:right="0" w:firstLine="0" w:firstLineChars="0"/>
              <w:rPr>
                <w:rFonts w:hint="default" w:ascii="宋体" w:hAnsi="宋体" w:cs="宋体"/>
                <w:sz w:val="22"/>
                <w:szCs w:val="22"/>
              </w:rPr>
            </w:pPr>
            <w:r>
              <w:rPr>
                <w:rFonts w:hint="eastAsia" w:ascii="宋体" w:hAnsi="宋体" w:cs="宋体"/>
                <w:sz w:val="22"/>
                <w:szCs w:val="22"/>
              </w:rPr>
              <w:t>在中国境内注册的独立法人（独立法人提供三证合一营业执照扫描件）</w:t>
            </w:r>
            <w:r>
              <w:rPr>
                <w:rFonts w:hint="eastAsia" w:ascii="宋体" w:hAnsi="宋体" w:cs="宋体"/>
                <w:kern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454" w:type="pct"/>
            <w:shd w:val="clear" w:color="000000"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default" w:ascii="宋体" w:hAnsi="宋体" w:cs="宋体"/>
                <w:color w:val="000000"/>
                <w:kern w:val="0"/>
                <w:sz w:val="22"/>
                <w:szCs w:val="22"/>
              </w:rPr>
              <w:t>2</w:t>
            </w:r>
          </w:p>
        </w:tc>
        <w:tc>
          <w:tcPr>
            <w:tcW w:w="4545" w:type="pct"/>
            <w:shd w:val="clear" w:color="000000" w:fill="auto"/>
            <w:noWrap w:val="0"/>
            <w:vAlign w:val="center"/>
          </w:tcPr>
          <w:p>
            <w:pPr>
              <w:pStyle w:val="47"/>
              <w:keepNext w:val="0"/>
              <w:keepLines w:val="0"/>
              <w:suppressLineNumbers w:val="0"/>
              <w:tabs>
                <w:tab w:val="left" w:pos="363"/>
              </w:tabs>
              <w:spacing w:before="0" w:beforeAutospacing="0" w:after="0" w:afterAutospacing="0"/>
              <w:ind w:left="0" w:right="0" w:firstLine="0" w:firstLineChars="0"/>
              <w:rPr>
                <w:rFonts w:hint="default" w:ascii="宋体" w:hAnsi="宋体" w:cs="宋体"/>
                <w:color w:val="000000"/>
                <w:sz w:val="22"/>
                <w:szCs w:val="22"/>
                <w:lang w:eastAsia="zh-Hans"/>
              </w:rPr>
            </w:pPr>
            <w:r>
              <w:rPr>
                <w:rFonts w:hint="eastAsia" w:ascii="宋体" w:hAnsi="宋体" w:cs="宋体"/>
                <w:color w:val="000000"/>
                <w:sz w:val="22"/>
                <w:szCs w:val="22"/>
              </w:rPr>
              <w:t>参评</w:t>
            </w:r>
            <w:r>
              <w:rPr>
                <w:rFonts w:hint="eastAsia" w:ascii="宋体" w:hAnsi="宋体" w:cs="宋体"/>
                <w:color w:val="000000"/>
                <w:sz w:val="22"/>
                <w:szCs w:val="22"/>
                <w:lang w:eastAsia="zh-Hans"/>
              </w:rPr>
              <w:t>人在近三年内在经营活动中无重大违法记录</w:t>
            </w:r>
            <w:r>
              <w:rPr>
                <w:rFonts w:hint="eastAsia" w:ascii="宋体" w:hAnsi="宋体" w:cs="宋体"/>
                <w:color w:val="000000"/>
                <w:sz w:val="22"/>
                <w:szCs w:val="22"/>
              </w:rPr>
              <w:t>,提供“信用中国”网站（http：/</w:t>
            </w:r>
            <w:r>
              <w:rPr>
                <w:rFonts w:hint="default" w:ascii="宋体" w:hAnsi="宋体" w:cs="宋体"/>
                <w:color w:val="000000"/>
                <w:sz w:val="22"/>
                <w:szCs w:val="22"/>
              </w:rPr>
              <w:t>/creditchina.gov.cn/</w:t>
            </w:r>
            <w:r>
              <w:rPr>
                <w:rFonts w:hint="eastAsia" w:ascii="宋体" w:hAnsi="宋体" w:cs="宋体"/>
                <w:color w:val="000000"/>
                <w:sz w:val="22"/>
                <w:szCs w:val="22"/>
              </w:rPr>
              <w:t>）及“中国采购网”（h</w:t>
            </w:r>
            <w:r>
              <w:rPr>
                <w:rFonts w:hint="default" w:ascii="宋体" w:hAnsi="宋体" w:cs="宋体"/>
                <w:color w:val="000000"/>
                <w:sz w:val="22"/>
                <w:szCs w:val="22"/>
              </w:rPr>
              <w:t>ttp:wwww.ccgp.gov.cn/</w:t>
            </w:r>
            <w:r>
              <w:rPr>
                <w:rFonts w:hint="eastAsia" w:ascii="宋体" w:hAnsi="宋体" w:cs="宋体"/>
                <w:color w:val="000000"/>
                <w:sz w:val="22"/>
                <w:szCs w:val="22"/>
              </w:rPr>
              <w:t>）无违法违规行为的查询记录（提供查询结果网页截图，盖公章）</w:t>
            </w:r>
            <w:r>
              <w:rPr>
                <w:rFonts w:hint="eastAsia" w:ascii="宋体" w:hAnsi="宋体" w:cs="宋体"/>
                <w:kern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4" w:type="pct"/>
            <w:shd w:val="clear" w:color="000000"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default" w:ascii="宋体" w:hAnsi="宋体" w:cs="宋体"/>
                <w:color w:val="000000"/>
                <w:kern w:val="0"/>
                <w:sz w:val="22"/>
                <w:szCs w:val="22"/>
              </w:rPr>
              <w:t>3</w:t>
            </w:r>
          </w:p>
        </w:tc>
        <w:tc>
          <w:tcPr>
            <w:tcW w:w="4545" w:type="pct"/>
            <w:shd w:val="clear" w:color="000000" w:fill="auto"/>
            <w:noWrap w:val="0"/>
            <w:vAlign w:val="center"/>
          </w:tcPr>
          <w:p>
            <w:pPr>
              <w:pStyle w:val="47"/>
              <w:keepNext w:val="0"/>
              <w:keepLines w:val="0"/>
              <w:suppressLineNumbers w:val="0"/>
              <w:tabs>
                <w:tab w:val="left" w:pos="363"/>
              </w:tabs>
              <w:spacing w:before="0" w:beforeAutospacing="0" w:after="0" w:afterAutospacing="0"/>
              <w:ind w:left="0" w:right="0" w:firstLine="0" w:firstLineChars="0"/>
              <w:rPr>
                <w:rFonts w:hint="default" w:ascii="宋体" w:hAnsi="宋体" w:cs="宋体"/>
                <w:sz w:val="22"/>
                <w:szCs w:val="22"/>
                <w:lang w:eastAsia="zh-Hans"/>
              </w:rPr>
            </w:pPr>
            <w:r>
              <w:rPr>
                <w:rFonts w:hint="eastAsia" w:ascii="宋体" w:hAnsi="宋体" w:cs="宋体"/>
                <w:sz w:val="22"/>
                <w:szCs w:val="22"/>
              </w:rPr>
              <w:t>参评人在广东省设有常驻服务机构（提供</w:t>
            </w:r>
            <w:r>
              <w:rPr>
                <w:rFonts w:hint="eastAsia"/>
              </w:rPr>
              <w:t>承诺函</w:t>
            </w:r>
            <w:r>
              <w:rPr>
                <w:rFonts w:hint="eastAsia" w:ascii="宋体" w:hAnsi="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54" w:type="pct"/>
            <w:shd w:val="clear" w:color="000000"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sz w:val="22"/>
                <w:szCs w:val="22"/>
                <w:lang w:eastAsia="zh-Hans"/>
              </w:rPr>
            </w:pPr>
            <w:r>
              <w:rPr>
                <w:rFonts w:hint="default" w:ascii="宋体" w:hAnsi="宋体" w:cs="宋体"/>
                <w:color w:val="000000"/>
                <w:sz w:val="22"/>
                <w:szCs w:val="22"/>
                <w:lang w:eastAsia="zh-Hans"/>
              </w:rPr>
              <w:t>4</w:t>
            </w:r>
          </w:p>
        </w:tc>
        <w:tc>
          <w:tcPr>
            <w:tcW w:w="4545" w:type="pct"/>
            <w:shd w:val="clear" w:color="000000" w:fill="auto"/>
            <w:noWrap w:val="0"/>
            <w:vAlign w:val="center"/>
          </w:tcPr>
          <w:p>
            <w:pPr>
              <w:pStyle w:val="47"/>
              <w:keepNext w:val="0"/>
              <w:keepLines w:val="0"/>
              <w:suppressLineNumbers w:val="0"/>
              <w:tabs>
                <w:tab w:val="left" w:pos="363"/>
              </w:tabs>
              <w:spacing w:before="0" w:beforeAutospacing="0" w:after="0" w:afterAutospacing="0"/>
              <w:ind w:left="0" w:right="0" w:firstLine="0" w:firstLineChars="0"/>
              <w:rPr>
                <w:rFonts w:hint="default" w:ascii="宋体" w:hAnsi="宋体" w:cs="宋体"/>
                <w:color w:val="000000"/>
                <w:sz w:val="22"/>
                <w:szCs w:val="22"/>
              </w:rPr>
            </w:pPr>
            <w:r>
              <w:rPr>
                <w:rFonts w:hint="eastAsia" w:ascii="宋体" w:hAnsi="宋体" w:cs="宋体"/>
                <w:color w:val="000000"/>
                <w:sz w:val="22"/>
                <w:szCs w:val="22"/>
                <w:lang w:eastAsia="zh-Hans"/>
              </w:rPr>
              <w:t>具备至少</w:t>
            </w:r>
            <w:r>
              <w:rPr>
                <w:rFonts w:hint="eastAsia" w:ascii="宋体" w:hAnsi="宋体" w:cs="宋体"/>
                <w:color w:val="000000"/>
                <w:sz w:val="22"/>
                <w:szCs w:val="22"/>
              </w:rPr>
              <w:t>3类</w:t>
            </w:r>
            <w:r>
              <w:rPr>
                <w:rFonts w:hint="eastAsia" w:ascii="宋体" w:hAnsi="宋体" w:cs="宋体"/>
                <w:color w:val="000000"/>
                <w:sz w:val="22"/>
                <w:szCs w:val="22"/>
                <w:lang w:eastAsia="zh-Hans"/>
              </w:rPr>
              <w:t>抽查</w:t>
            </w:r>
            <w:r>
              <w:rPr>
                <w:rFonts w:hint="eastAsia" w:ascii="宋体" w:hAnsi="宋体" w:cs="宋体"/>
                <w:color w:val="000000"/>
                <w:sz w:val="22"/>
                <w:szCs w:val="22"/>
              </w:rPr>
              <w:t>产品</w:t>
            </w:r>
            <w:r>
              <w:rPr>
                <w:rFonts w:hint="eastAsia" w:ascii="宋体" w:hAnsi="宋体" w:cs="宋体"/>
                <w:color w:val="000000"/>
                <w:sz w:val="22"/>
                <w:szCs w:val="22"/>
                <w:lang w:eastAsia="zh-Hans"/>
              </w:rPr>
              <w:t>检验能力（提供</w:t>
            </w:r>
            <w:r>
              <w:rPr>
                <w:rFonts w:hint="eastAsia" w:ascii="宋体" w:hAnsi="宋体" w:cs="宋体"/>
                <w:color w:val="000000"/>
                <w:sz w:val="22"/>
                <w:szCs w:val="22"/>
              </w:rPr>
              <w:t>C</w:t>
            </w:r>
            <w:r>
              <w:rPr>
                <w:rFonts w:hint="default" w:ascii="宋体" w:hAnsi="宋体" w:cs="宋体"/>
                <w:color w:val="000000"/>
                <w:sz w:val="22"/>
                <w:szCs w:val="22"/>
              </w:rPr>
              <w:t>MA</w:t>
            </w:r>
            <w:r>
              <w:rPr>
                <w:rFonts w:hint="eastAsia" w:ascii="宋体" w:hAnsi="宋体" w:cs="宋体"/>
                <w:color w:val="000000"/>
                <w:sz w:val="22"/>
                <w:szCs w:val="22"/>
                <w:lang w:eastAsia="zh-Hans"/>
              </w:rPr>
              <w:t>资质证书及附表）</w:t>
            </w:r>
            <w:r>
              <w:rPr>
                <w:rFonts w:hint="eastAsia" w:ascii="宋体" w:hAnsi="宋体" w:cs="宋体"/>
                <w:kern w:val="28"/>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54" w:type="pct"/>
            <w:shd w:val="clear" w:color="000000"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default" w:ascii="宋体" w:hAnsi="宋体" w:cs="宋体"/>
                <w:color w:val="000000"/>
                <w:kern w:val="0"/>
                <w:sz w:val="22"/>
                <w:szCs w:val="22"/>
              </w:rPr>
              <w:t>5</w:t>
            </w:r>
          </w:p>
        </w:tc>
        <w:tc>
          <w:tcPr>
            <w:tcW w:w="4545" w:type="pct"/>
            <w:shd w:val="clear" w:color="000000" w:fill="auto"/>
            <w:noWrap w:val="0"/>
            <w:vAlign w:val="center"/>
          </w:tcPr>
          <w:p>
            <w:pPr>
              <w:pStyle w:val="47"/>
              <w:keepNext w:val="0"/>
              <w:keepLines w:val="0"/>
              <w:suppressLineNumbers w:val="0"/>
              <w:tabs>
                <w:tab w:val="left" w:pos="363"/>
              </w:tabs>
              <w:spacing w:before="0" w:beforeAutospacing="0" w:after="0" w:afterAutospacing="0"/>
              <w:ind w:left="0" w:right="0" w:firstLine="0" w:firstLineChars="0"/>
              <w:rPr>
                <w:rFonts w:hint="default" w:ascii="宋体" w:hAnsi="宋体" w:cs="宋体"/>
                <w:sz w:val="22"/>
                <w:szCs w:val="22"/>
                <w:lang w:eastAsia="zh-Hans"/>
              </w:rPr>
            </w:pPr>
            <w:r>
              <w:rPr>
                <w:rFonts w:hint="eastAsia" w:ascii="宋体" w:hAnsi="宋体" w:cs="宋体"/>
                <w:sz w:val="22"/>
                <w:szCs w:val="22"/>
                <w:lang w:eastAsia="zh-Hans"/>
              </w:rPr>
              <w:t>参评人</w:t>
            </w:r>
            <w:r>
              <w:rPr>
                <w:rFonts w:hint="eastAsia" w:ascii="宋体" w:hAnsi="宋体" w:cs="宋体"/>
                <w:sz w:val="22"/>
                <w:szCs w:val="22"/>
              </w:rPr>
              <w:t>承担本项目的各项税费，</w:t>
            </w:r>
            <w:r>
              <w:rPr>
                <w:rFonts w:hint="eastAsia" w:ascii="宋体" w:hAnsi="宋体" w:cs="宋体"/>
                <w:sz w:val="22"/>
                <w:szCs w:val="22"/>
                <w:lang w:eastAsia="zh-Hans"/>
              </w:rPr>
              <w:t>应就服务费提供等额增值税发票</w:t>
            </w:r>
            <w:r>
              <w:rPr>
                <w:rFonts w:hint="eastAsia" w:ascii="宋体" w:hAnsi="宋体" w:cs="宋体"/>
                <w:sz w:val="22"/>
                <w:szCs w:val="22"/>
              </w:rPr>
              <w:t>（提供</w:t>
            </w:r>
            <w:r>
              <w:rPr>
                <w:rFonts w:hint="eastAsia"/>
              </w:rPr>
              <w:t>承诺函</w:t>
            </w:r>
            <w:r>
              <w:rPr>
                <w:rFonts w:hint="eastAsia" w:ascii="宋体" w:hAnsi="宋体" w:cs="宋体"/>
                <w:sz w:val="22"/>
                <w:szCs w:val="22"/>
              </w:rPr>
              <w:t>）</w:t>
            </w:r>
            <w:r>
              <w:rPr>
                <w:rFonts w:hint="eastAsia" w:ascii="宋体" w:hAnsi="宋体" w:cs="宋体"/>
                <w:kern w:val="28"/>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454" w:type="pct"/>
            <w:shd w:val="clear" w:color="000000"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default" w:ascii="宋体" w:hAnsi="宋体" w:cs="宋体"/>
                <w:color w:val="000000"/>
                <w:kern w:val="0"/>
                <w:sz w:val="22"/>
                <w:szCs w:val="22"/>
              </w:rPr>
              <w:t>6</w:t>
            </w:r>
          </w:p>
        </w:tc>
        <w:tc>
          <w:tcPr>
            <w:tcW w:w="4545" w:type="pct"/>
            <w:shd w:val="clear" w:color="000000" w:fill="auto"/>
            <w:noWrap w:val="0"/>
            <w:vAlign w:val="top"/>
          </w:tcPr>
          <w:p>
            <w:pPr>
              <w:pStyle w:val="47"/>
              <w:keepNext w:val="0"/>
              <w:keepLines w:val="0"/>
              <w:suppressLineNumbers w:val="0"/>
              <w:tabs>
                <w:tab w:val="left" w:pos="363"/>
              </w:tabs>
              <w:spacing w:before="0" w:beforeAutospacing="0" w:after="0" w:afterAutospacing="0"/>
              <w:ind w:left="0" w:right="0" w:firstLine="0" w:firstLineChars="0"/>
              <w:rPr>
                <w:rFonts w:hint="default" w:ascii="宋体" w:hAnsi="宋体" w:cs="宋体"/>
                <w:sz w:val="22"/>
                <w:szCs w:val="22"/>
                <w:lang w:eastAsia="zh-Hans"/>
              </w:rPr>
            </w:pPr>
            <w:r>
              <w:rPr>
                <w:rFonts w:hint="eastAsia"/>
                <w:szCs w:val="21"/>
              </w:rPr>
              <w:t>参评</w:t>
            </w:r>
            <w:r>
              <w:rPr>
                <w:rFonts w:hint="default"/>
                <w:szCs w:val="21"/>
              </w:rPr>
              <w:t>人的报价明显低于其他通过符合性审查</w:t>
            </w:r>
            <w:r>
              <w:rPr>
                <w:rFonts w:hint="eastAsia"/>
                <w:szCs w:val="21"/>
              </w:rPr>
              <w:t>参评</w:t>
            </w:r>
            <w:r>
              <w:rPr>
                <w:rFonts w:hint="default"/>
                <w:szCs w:val="21"/>
              </w:rPr>
              <w:t>人的报价，有可能影响产品质量或者不能诚信履约的，</w:t>
            </w:r>
            <w:r>
              <w:rPr>
                <w:rFonts w:hint="eastAsia"/>
                <w:szCs w:val="21"/>
              </w:rPr>
              <w:t>参评</w:t>
            </w:r>
            <w:r>
              <w:rPr>
                <w:rFonts w:hint="default"/>
                <w:szCs w:val="21"/>
              </w:rPr>
              <w:t>人</w:t>
            </w:r>
            <w:r>
              <w:rPr>
                <w:rFonts w:hint="eastAsia"/>
                <w:szCs w:val="21"/>
              </w:rPr>
              <w:t>要</w:t>
            </w:r>
            <w:r>
              <w:rPr>
                <w:rFonts w:hint="default"/>
                <w:szCs w:val="21"/>
              </w:rPr>
              <w:t>在合理的时间内提供书面说明，或提交相关证明材料，</w:t>
            </w:r>
            <w:r>
              <w:rPr>
                <w:rFonts w:hint="eastAsia"/>
                <w:szCs w:val="21"/>
              </w:rPr>
              <w:t>参评</w:t>
            </w:r>
            <w:r>
              <w:rPr>
                <w:rFonts w:hint="default"/>
                <w:szCs w:val="21"/>
              </w:rPr>
              <w:t>人能证明其报价合理性的</w:t>
            </w:r>
            <w:r>
              <w:rPr>
                <w:rFonts w:hint="eastAsia" w:ascii="宋体" w:hAnsi="宋体" w:cs="宋体"/>
                <w:kern w:val="28"/>
                <w:sz w:val="22"/>
                <w:szCs w:val="22"/>
              </w:rPr>
              <w:t>★</w:t>
            </w:r>
          </w:p>
        </w:tc>
      </w:tr>
    </w:tbl>
    <w:p>
      <w:pPr>
        <w:adjustRightInd w:val="0"/>
        <w:snapToGrid w:val="0"/>
        <w:spacing w:before="312" w:beforeLines="100" w:line="360" w:lineRule="auto"/>
        <w:ind w:firstLine="421" w:firstLineChars="200"/>
        <w:rPr>
          <w:rFonts w:ascii="宋体" w:hAnsi="宋体" w:cs="仿宋_GB2312"/>
          <w:b/>
          <w:szCs w:val="21"/>
        </w:rPr>
      </w:pPr>
      <w:r>
        <w:rPr>
          <w:rFonts w:hint="eastAsia" w:ascii="宋体" w:hAnsi="宋体" w:cs="仿宋_GB2312"/>
          <w:b/>
          <w:szCs w:val="21"/>
        </w:rPr>
        <w:t>三、任务要求:</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1.抽检时间：2024年</w:t>
      </w:r>
      <w:r>
        <w:rPr>
          <w:rFonts w:hint="eastAsia" w:ascii="宋体" w:hAnsi="宋体" w:cs="仿宋_GB2312"/>
          <w:szCs w:val="21"/>
          <w:lang w:val="en-US" w:eastAsia="zh-CN"/>
        </w:rPr>
        <w:t>6</w:t>
      </w:r>
      <w:r>
        <w:rPr>
          <w:rFonts w:hint="eastAsia" w:ascii="宋体" w:hAnsi="宋体" w:cs="仿宋_GB2312"/>
          <w:szCs w:val="21"/>
        </w:rPr>
        <w:t>月至</w:t>
      </w:r>
      <w:r>
        <w:rPr>
          <w:rFonts w:hint="eastAsia" w:ascii="宋体" w:hAnsi="宋体" w:cs="仿宋_GB2312"/>
          <w:szCs w:val="21"/>
          <w:lang w:val="en-US" w:eastAsia="zh-CN"/>
        </w:rPr>
        <w:t>9</w:t>
      </w:r>
      <w:r>
        <w:rPr>
          <w:rFonts w:hint="eastAsia" w:ascii="宋体" w:hAnsi="宋体" w:cs="仿宋_GB2312"/>
          <w:szCs w:val="21"/>
        </w:rPr>
        <w:t>月，产品质量监督抽查检验后处理时间可视不合格企业后处理进程适当延后。在有效服务期内，如中标人在人员配置、作业管理、质量控制等各个方面不能满足招标文件、政府采购合同的相关要求或没有实现遴选文件中的相关承诺，采购人有权单方面解除合同，并保留追究其法律责任的权利。</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2.抽样检验时间：按照</w:t>
      </w:r>
      <w:r>
        <w:rPr>
          <w:rFonts w:hint="eastAsia" w:ascii="宋体" w:hAnsi="宋体" w:cs="宋体"/>
          <w:szCs w:val="21"/>
          <w:lang w:val="zh-CN"/>
        </w:rPr>
        <w:t>部消防救援局</w:t>
      </w:r>
      <w:r>
        <w:rPr>
          <w:rFonts w:hint="eastAsia" w:ascii="宋体" w:hAnsi="宋体" w:cs="宋体"/>
          <w:szCs w:val="21"/>
        </w:rPr>
        <w:t>年度重点工作目标任务和</w:t>
      </w:r>
      <w:r>
        <w:rPr>
          <w:rFonts w:hint="eastAsia" w:ascii="宋体" w:hAnsi="宋体" w:cs="宋体"/>
          <w:szCs w:val="21"/>
          <w:lang w:val="zh-CN"/>
        </w:rPr>
        <w:t>广东省消防救援总队开展2024年度使用领域消防产品质量监督抽查工作</w:t>
      </w:r>
      <w:r>
        <w:rPr>
          <w:rFonts w:hint="eastAsia" w:ascii="宋体" w:hAnsi="宋体" w:cs="仿宋_GB2312"/>
          <w:szCs w:val="21"/>
        </w:rPr>
        <w:t>要求完成，计划</w:t>
      </w:r>
      <w:r>
        <w:rPr>
          <w:rFonts w:hint="eastAsia" w:ascii="宋体" w:hAnsi="宋体" w:cs="仿宋_GB2312"/>
          <w:szCs w:val="21"/>
          <w:lang w:val="en-US" w:eastAsia="zh-CN"/>
        </w:rPr>
        <w:t>6</w:t>
      </w:r>
      <w:r>
        <w:rPr>
          <w:rFonts w:hint="eastAsia" w:ascii="宋体" w:hAnsi="宋体" w:cs="仿宋_GB2312"/>
          <w:szCs w:val="21"/>
        </w:rPr>
        <w:t>月份至</w:t>
      </w:r>
      <w:r>
        <w:rPr>
          <w:rFonts w:hint="eastAsia" w:ascii="宋体" w:hAnsi="宋体" w:cs="仿宋_GB2312"/>
          <w:szCs w:val="21"/>
          <w:lang w:val="en-US" w:eastAsia="zh-CN"/>
        </w:rPr>
        <w:t>9</w:t>
      </w:r>
      <w:r>
        <w:rPr>
          <w:rFonts w:hint="eastAsia" w:ascii="宋体" w:hAnsi="宋体" w:cs="仿宋_GB2312"/>
          <w:szCs w:val="21"/>
        </w:rPr>
        <w:t>月份，具体以通知为准。</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3.付款方式</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 xml:space="preserve">本项目的每笔款项均以人民币方式支付，支付的所需文件、时间和金额如下： </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 xml:space="preserve">（1）合同； </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（2）中标通知书；</w:t>
      </w:r>
    </w:p>
    <w:p>
      <w:pPr>
        <w:adjustRightInd w:val="0"/>
        <w:snapToGrid w:val="0"/>
        <w:spacing w:line="360" w:lineRule="auto"/>
        <w:ind w:firstLine="420" w:firstLineChars="200"/>
        <w:rPr>
          <w:rFonts w:hint="eastAsia" w:ascii="宋体" w:hAnsi="宋体" w:cs="仿宋_GB2312"/>
          <w:szCs w:val="21"/>
        </w:rPr>
      </w:pPr>
      <w:r>
        <w:rPr>
          <w:rFonts w:hint="eastAsia" w:ascii="宋体" w:hAnsi="宋体" w:cs="仿宋_GB2312"/>
          <w:szCs w:val="21"/>
        </w:rPr>
        <w:t>（3）经费结算单；</w:t>
      </w:r>
    </w:p>
    <w:p>
      <w:pPr>
        <w:adjustRightInd w:val="0"/>
        <w:snapToGrid w:val="0"/>
        <w:spacing w:line="360" w:lineRule="auto"/>
        <w:ind w:firstLine="420" w:firstLineChars="200"/>
        <w:rPr>
          <w:rFonts w:hint="eastAsia" w:ascii="宋体" w:hAnsi="宋体" w:cs="仿宋_GB2312"/>
          <w:szCs w:val="21"/>
        </w:rPr>
      </w:pPr>
      <w:r>
        <w:rPr>
          <w:rFonts w:hint="eastAsia" w:ascii="宋体" w:hAnsi="宋体" w:cs="仿宋_GB2312"/>
          <w:szCs w:val="21"/>
        </w:rPr>
        <w:t>（4）项目请款书。</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中标人完成所有抽检产品工作后提出付款申请，采购人在收到申请以及中标人交付的合法有效的增值税发票后15个工作日内付清合同款。</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4.采购人有权在签订合同时对项目方案（非实质性条款）作适当修改。</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5.除采购人在采购文件中明确外，中标人不得以任何方式转包、分包或挂靠本项目。如发现中标人以转包、分包或挂靠的方式谋取中标，采购人有权解除合同、要求赔偿。</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6.所需抽检经费</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包括购样费、抽样费、检验费、邮寄费、复检费用和复查费用等。</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7.在对建设工程中使用的消防产品进行监督抽查时，参评人要聘请消防领域有现场检查经验的技术专家作为技术顾问进行现场检查和判定，并支付相应的专家咨询费。</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8. 其他</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为保证工作完成质量，维护产品质量专项监督抽查工作的公平、公正和科学，同时满足政府财政专项资金使用的要求，中标人在完成本项目抽样工作后，可向采购人申请付清全部款项，同时书面承诺，自愿接受采购人对整个抽查过程的监管，出现毁约、未按照合同或遴选文件履行时，退回全部款项并承担由此引发的系列问题。采购人视情况对中标人的上述行为进行全省质监系统通报批评、社会公布、涉及违法违规的将提请相关部门取消其证照并追究相关责任人。</w:t>
      </w:r>
    </w:p>
    <w:p>
      <w:pPr>
        <w:adjustRightInd w:val="0"/>
        <w:snapToGrid w:val="0"/>
        <w:spacing w:line="360" w:lineRule="auto"/>
        <w:ind w:firstLine="421" w:firstLineChars="200"/>
        <w:rPr>
          <w:rFonts w:ascii="宋体" w:hAnsi="宋体" w:cs="仿宋_GB2312"/>
          <w:b/>
          <w:szCs w:val="21"/>
        </w:rPr>
      </w:pPr>
      <w:r>
        <w:rPr>
          <w:rFonts w:hint="eastAsia" w:ascii="宋体" w:hAnsi="宋体" w:cs="仿宋_GB2312"/>
          <w:b/>
          <w:szCs w:val="21"/>
        </w:rPr>
        <w:t>四、抽查工作的具体内容及要求：</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1.检验依据：被抽查产品所执行的相关标准、相关法律法规及国家有关规定，并按照抽样检验实施方案进行判定（详见下面方案）。</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2.抽查产品检验依据、抽样数量及判定准则（2024年度消防产品质量监督抽查检验方案）：</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一、消防救援队伍用消防产品</w:t>
      </w:r>
    </w:p>
    <w:p>
      <w:pPr>
        <w:pStyle w:val="53"/>
        <w:spacing w:line="360" w:lineRule="auto"/>
        <w:ind w:firstLine="360" w:firstLineChars="200"/>
        <w:rPr>
          <w:rFonts w:ascii="宋体" w:hAnsi="宋体" w:cs="宋体"/>
          <w:color w:val="auto"/>
          <w:sz w:val="18"/>
          <w:szCs w:val="18"/>
        </w:rPr>
      </w:pPr>
      <w:r>
        <w:rPr>
          <w:rFonts w:hint="eastAsia" w:ascii="宋体" w:hAnsi="宋体" w:cs="宋体"/>
          <w:color w:val="auto"/>
          <w:sz w:val="18"/>
          <w:szCs w:val="18"/>
        </w:rPr>
        <w:t>（一）安全绳</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1、检验依据</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XF 494-2023《消防用防坠落装备》。</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2、样品要求</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从消防救援队伍随机抽取按照行业标准XF 494-2023《消防用防坠落装备》生产的相同型号规格的安全绳10根（其中，5根进行监督检验，5根备用）。</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3、检验项目和判定原则</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（1）检验项目：直径、最小破断强度、延伸率。</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（2）判定原则：以上检验项目有任何一项不符合标准要求，即判为不合格，反之判定结论为“未发现不合格情形”。</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4、异议处理及复检</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（1）复检时，可以在原样品上进行的，应采用原样品检验，不可以在原样品上进行的，可采用备用样品检验。</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（2）复检结果为最终检验结果。</w:t>
      </w:r>
    </w:p>
    <w:p>
      <w:pPr>
        <w:spacing w:line="360" w:lineRule="auto"/>
        <w:ind w:firstLine="360" w:firstLineChars="200"/>
        <w:rPr>
          <w:rFonts w:ascii="宋体" w:hAnsi="宋体" w:cs="宋体"/>
          <w:sz w:val="18"/>
          <w:szCs w:val="18"/>
        </w:rPr>
      </w:pPr>
      <w:r>
        <w:rPr>
          <w:rFonts w:hint="eastAsia" w:ascii="宋体" w:hAnsi="宋体" w:cs="宋体"/>
          <w:sz w:val="18"/>
          <w:szCs w:val="18"/>
        </w:rPr>
        <w:t>（二）消防员照明灯具</w:t>
      </w:r>
    </w:p>
    <w:p>
      <w:pPr>
        <w:snapToGrid w:val="0"/>
        <w:spacing w:line="360" w:lineRule="auto"/>
        <w:ind w:firstLine="360" w:firstLineChars="200"/>
        <w:rPr>
          <w:rFonts w:ascii="宋体" w:hAnsi="宋体" w:cs="宋体"/>
          <w:sz w:val="18"/>
          <w:szCs w:val="18"/>
        </w:rPr>
      </w:pPr>
      <w:r>
        <w:rPr>
          <w:rFonts w:hint="eastAsia" w:ascii="宋体" w:hAnsi="宋体" w:cs="宋体"/>
          <w:sz w:val="18"/>
          <w:szCs w:val="18"/>
        </w:rPr>
        <w:t>1、检验依据</w:t>
      </w:r>
    </w:p>
    <w:p>
      <w:pPr>
        <w:snapToGrid w:val="0"/>
        <w:spacing w:line="360" w:lineRule="auto"/>
        <w:ind w:firstLine="360" w:firstLineChars="200"/>
        <w:rPr>
          <w:rFonts w:ascii="宋体" w:hAnsi="宋体" w:cs="宋体"/>
          <w:sz w:val="18"/>
          <w:szCs w:val="18"/>
        </w:rPr>
      </w:pPr>
      <w:r>
        <w:rPr>
          <w:rFonts w:hint="eastAsia" w:ascii="宋体" w:hAnsi="宋体" w:cs="宋体"/>
          <w:sz w:val="18"/>
          <w:szCs w:val="18"/>
        </w:rPr>
        <w:t>GB 30734-2014《消防员照明灯具》。</w:t>
      </w:r>
    </w:p>
    <w:p>
      <w:pPr>
        <w:snapToGrid w:val="0"/>
        <w:spacing w:line="360" w:lineRule="auto"/>
        <w:ind w:firstLine="360" w:firstLineChars="200"/>
        <w:rPr>
          <w:rFonts w:ascii="宋体" w:hAnsi="宋体" w:cs="宋体"/>
          <w:sz w:val="18"/>
          <w:szCs w:val="18"/>
        </w:rPr>
      </w:pPr>
      <w:r>
        <w:rPr>
          <w:rFonts w:hint="eastAsia" w:ascii="宋体" w:hAnsi="宋体" w:cs="宋体"/>
          <w:sz w:val="18"/>
          <w:szCs w:val="18"/>
        </w:rPr>
        <w:t>2、样品要求</w:t>
      </w:r>
    </w:p>
    <w:p>
      <w:pPr>
        <w:snapToGrid w:val="0"/>
        <w:spacing w:line="360" w:lineRule="auto"/>
        <w:ind w:firstLine="360" w:firstLineChars="200"/>
        <w:rPr>
          <w:rFonts w:ascii="宋体" w:hAnsi="宋体" w:cs="宋体"/>
          <w:sz w:val="18"/>
          <w:szCs w:val="18"/>
        </w:rPr>
      </w:pPr>
      <w:r>
        <w:rPr>
          <w:rFonts w:hint="eastAsia" w:ascii="宋体" w:hAnsi="宋体" w:cs="宋体"/>
          <w:sz w:val="18"/>
          <w:szCs w:val="18"/>
        </w:rPr>
        <w:t>从消防救援队伍随机抽取按照国家标准GB 30734-2014《消防员照明灯具》生产的相同型号规格的消防员照明灯具4台（其中，2台进行监督检验，2台备用）。</w:t>
      </w:r>
    </w:p>
    <w:p>
      <w:pPr>
        <w:snapToGrid w:val="0"/>
        <w:spacing w:line="360" w:lineRule="auto"/>
        <w:ind w:firstLine="360" w:firstLineChars="200"/>
        <w:rPr>
          <w:rFonts w:ascii="宋体" w:hAnsi="宋体" w:cs="宋体"/>
          <w:sz w:val="18"/>
          <w:szCs w:val="18"/>
        </w:rPr>
      </w:pPr>
      <w:r>
        <w:rPr>
          <w:rFonts w:hint="eastAsia" w:ascii="宋体" w:hAnsi="宋体" w:cs="宋体"/>
          <w:sz w:val="18"/>
          <w:szCs w:val="18"/>
        </w:rPr>
        <w:t>3、检验项目和判定原则</w:t>
      </w:r>
    </w:p>
    <w:p>
      <w:pPr>
        <w:snapToGrid w:val="0"/>
        <w:spacing w:line="360" w:lineRule="auto"/>
        <w:ind w:firstLine="360" w:firstLineChars="200"/>
        <w:rPr>
          <w:rFonts w:ascii="宋体" w:hAnsi="宋体" w:cs="宋体"/>
          <w:sz w:val="18"/>
          <w:szCs w:val="18"/>
        </w:rPr>
      </w:pPr>
      <w:r>
        <w:rPr>
          <w:rFonts w:hint="eastAsia" w:ascii="宋体" w:hAnsi="宋体" w:cs="宋体"/>
          <w:sz w:val="18"/>
          <w:szCs w:val="18"/>
        </w:rPr>
        <w:t>（1）检验项目：标志、抗跌落试验、绝缘电阻、耐压强度、振动试验、低温试验、外壳防护等级。</w:t>
      </w:r>
    </w:p>
    <w:p>
      <w:pPr>
        <w:snapToGrid w:val="0"/>
        <w:spacing w:line="360" w:lineRule="auto"/>
        <w:ind w:firstLine="360" w:firstLineChars="200"/>
        <w:rPr>
          <w:rFonts w:ascii="宋体" w:hAnsi="宋体" w:cs="宋体"/>
          <w:sz w:val="18"/>
          <w:szCs w:val="18"/>
        </w:rPr>
      </w:pPr>
      <w:r>
        <w:rPr>
          <w:rFonts w:hint="eastAsia" w:ascii="宋体" w:hAnsi="宋体" w:cs="宋体"/>
          <w:sz w:val="18"/>
          <w:szCs w:val="18"/>
        </w:rPr>
        <w:t>（2）判定原则：以上检验项目有任何一项不符合标准要求，即判为不合格，反之判定结论为“未发现不合格情形”。</w:t>
      </w:r>
    </w:p>
    <w:p>
      <w:pPr>
        <w:snapToGrid w:val="0"/>
        <w:spacing w:line="360" w:lineRule="auto"/>
        <w:ind w:firstLine="360" w:firstLineChars="200"/>
        <w:rPr>
          <w:rFonts w:ascii="宋体" w:hAnsi="宋体" w:cs="宋体"/>
          <w:sz w:val="18"/>
          <w:szCs w:val="18"/>
        </w:rPr>
      </w:pPr>
      <w:r>
        <w:rPr>
          <w:rFonts w:hint="eastAsia" w:ascii="宋体" w:hAnsi="宋体" w:cs="宋体"/>
          <w:sz w:val="18"/>
          <w:szCs w:val="18"/>
        </w:rPr>
        <w:t>4、异议处理及复检</w:t>
      </w:r>
    </w:p>
    <w:p>
      <w:pPr>
        <w:snapToGrid w:val="0"/>
        <w:spacing w:line="360" w:lineRule="auto"/>
        <w:ind w:firstLine="360" w:firstLineChars="200"/>
        <w:rPr>
          <w:rFonts w:ascii="宋体" w:hAnsi="宋体" w:cs="宋体"/>
          <w:sz w:val="18"/>
          <w:szCs w:val="18"/>
        </w:rPr>
      </w:pPr>
      <w:r>
        <w:rPr>
          <w:rFonts w:hint="eastAsia" w:ascii="宋体" w:hAnsi="宋体" w:cs="宋体"/>
          <w:sz w:val="18"/>
          <w:szCs w:val="18"/>
        </w:rPr>
        <w:t>（1）复检时，可以在原样品上进行的，应采用原样品检验，不可以在原样品上进行的，可采用备用样品检验。</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（2）复检结果为最终检验结果。</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（三）消防救生照明线</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1.检验依据</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GB 26783-2011《消防救生照明线》。</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2.样品要求</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从消防救援队伍随机抽取按照行业标准GB 26783-2011《消防救生照明线》生产的相同型号规格的消防救生照明线2套（1套进行监督检验，1套备用）。</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3.检验项目和判定原则</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 xml:space="preserve">（1）检验项目：标志、发光亮度、连续工作时间、闪烁频率、导向功能、绝缘电阻、低温试验、防水性能。 </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（2）判定原则：以上检验项目有任何一项不符合标准要求，即判为不合格，反之判定结论为“未发现不合格情形”。</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4.异议处理及复检</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（1）复检时，可以在原样品上进行的，应采用原样品检验，不可以在原样品上进行的，可采用备用样品检验。</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（2）复检结果为最终检验结果。</w:t>
      </w:r>
    </w:p>
    <w:p>
      <w:pPr>
        <w:spacing w:line="360" w:lineRule="auto"/>
        <w:ind w:firstLine="360" w:firstLineChars="200"/>
        <w:rPr>
          <w:rFonts w:ascii="宋体" w:hAnsi="宋体" w:cs="宋体"/>
          <w:sz w:val="18"/>
          <w:szCs w:val="18"/>
        </w:rPr>
      </w:pPr>
      <w:r>
        <w:rPr>
          <w:rFonts w:hint="eastAsia" w:ascii="宋体" w:hAnsi="宋体" w:cs="宋体"/>
          <w:sz w:val="18"/>
          <w:szCs w:val="18"/>
        </w:rPr>
        <w:t>（四）泡沫灭火剂</w:t>
      </w:r>
    </w:p>
    <w:p>
      <w:pPr>
        <w:spacing w:line="360" w:lineRule="auto"/>
        <w:ind w:firstLine="360" w:firstLineChars="200"/>
        <w:rPr>
          <w:rFonts w:ascii="宋体" w:hAnsi="宋体" w:cs="宋体"/>
          <w:sz w:val="18"/>
          <w:szCs w:val="18"/>
        </w:rPr>
      </w:pPr>
      <w:r>
        <w:rPr>
          <w:rFonts w:hint="eastAsia" w:ascii="宋体" w:hAnsi="宋体" w:cs="宋体"/>
          <w:sz w:val="18"/>
          <w:szCs w:val="18"/>
        </w:rPr>
        <w:t>1、检验依据</w:t>
      </w:r>
    </w:p>
    <w:p>
      <w:pPr>
        <w:spacing w:line="360" w:lineRule="auto"/>
        <w:ind w:firstLine="360" w:firstLineChars="200"/>
        <w:rPr>
          <w:rFonts w:ascii="宋体" w:hAnsi="宋体" w:cs="宋体"/>
          <w:sz w:val="18"/>
          <w:szCs w:val="18"/>
        </w:rPr>
      </w:pPr>
      <w:r>
        <w:rPr>
          <w:rFonts w:hint="eastAsia" w:ascii="宋体" w:hAnsi="宋体" w:cs="宋体"/>
          <w:sz w:val="18"/>
          <w:szCs w:val="18"/>
        </w:rPr>
        <w:t>GB 15308-2006《泡沫灭火剂》。</w:t>
      </w:r>
    </w:p>
    <w:p>
      <w:pPr>
        <w:spacing w:line="360" w:lineRule="auto"/>
        <w:ind w:firstLine="360" w:firstLineChars="200"/>
        <w:rPr>
          <w:rFonts w:ascii="宋体" w:hAnsi="宋体" w:cs="宋体"/>
          <w:sz w:val="18"/>
          <w:szCs w:val="18"/>
        </w:rPr>
      </w:pPr>
      <w:r>
        <w:rPr>
          <w:rFonts w:hint="eastAsia" w:ascii="宋体" w:hAnsi="宋体" w:cs="宋体"/>
          <w:sz w:val="18"/>
          <w:szCs w:val="18"/>
        </w:rPr>
        <w:t>2、样品要求</w:t>
      </w:r>
    </w:p>
    <w:p>
      <w:pPr>
        <w:spacing w:line="360" w:lineRule="auto"/>
        <w:ind w:firstLine="360" w:firstLineChars="200"/>
        <w:rPr>
          <w:rFonts w:ascii="宋体" w:hAnsi="宋体" w:cs="宋体"/>
          <w:sz w:val="18"/>
          <w:szCs w:val="18"/>
        </w:rPr>
      </w:pPr>
      <w:r>
        <w:rPr>
          <w:rFonts w:hint="eastAsia" w:ascii="宋体" w:hAnsi="宋体" w:cs="宋体"/>
          <w:sz w:val="18"/>
          <w:szCs w:val="18"/>
        </w:rPr>
        <w:t>样品应为水成膜泡沫灭火剂（AFFF）或抗醇型水成膜泡沫灭火剂（AFFF/AR）。检验用样品数量为25L，同时抽取（封）与检验用样品相同型号规格的备用样品25 L。如所抽样品是获得过有效认证证书的产品，须一并寄送认证证书复印件和有效型式试验合格报告复印件；如所抽样品未获得过有效的消防产品认证证书，须一并寄送有效的型式检验合格报告复印件。</w:t>
      </w:r>
    </w:p>
    <w:p>
      <w:pPr>
        <w:spacing w:line="360" w:lineRule="auto"/>
        <w:ind w:firstLine="360" w:firstLineChars="200"/>
        <w:rPr>
          <w:rFonts w:ascii="宋体" w:hAnsi="宋体" w:cs="宋体"/>
          <w:sz w:val="18"/>
          <w:szCs w:val="18"/>
        </w:rPr>
      </w:pPr>
      <w:r>
        <w:rPr>
          <w:rFonts w:hint="eastAsia" w:ascii="宋体" w:hAnsi="宋体" w:cs="宋体"/>
          <w:sz w:val="18"/>
          <w:szCs w:val="18"/>
        </w:rPr>
        <w:t>3、检验项目和判定原则</w:t>
      </w:r>
    </w:p>
    <w:p>
      <w:pPr>
        <w:spacing w:line="360" w:lineRule="auto"/>
        <w:ind w:firstLine="360" w:firstLineChars="200"/>
        <w:rPr>
          <w:rFonts w:ascii="宋体" w:hAnsi="宋体" w:cs="宋体"/>
          <w:sz w:val="18"/>
          <w:szCs w:val="18"/>
        </w:rPr>
      </w:pPr>
      <w:r>
        <w:rPr>
          <w:rFonts w:hint="eastAsia" w:ascii="宋体" w:hAnsi="宋体" w:cs="宋体"/>
          <w:sz w:val="18"/>
          <w:szCs w:val="18"/>
        </w:rPr>
        <w:t>（1）检验项目：凝固点、非水溶性液体燃料灭火性能（淡水），以上检验项目样品状态均为温度处理前。</w:t>
      </w:r>
    </w:p>
    <w:p>
      <w:pPr>
        <w:spacing w:line="360" w:lineRule="auto"/>
        <w:ind w:firstLine="360" w:firstLineChars="200"/>
        <w:rPr>
          <w:rFonts w:ascii="宋体" w:hAnsi="宋体" w:cs="宋体"/>
          <w:sz w:val="18"/>
          <w:szCs w:val="18"/>
        </w:rPr>
      </w:pPr>
      <w:r>
        <w:rPr>
          <w:rFonts w:hint="eastAsia" w:ascii="宋体" w:hAnsi="宋体" w:cs="宋体"/>
          <w:sz w:val="18"/>
          <w:szCs w:val="18"/>
        </w:rPr>
        <w:t>（2）判定原则：以上全部检验项目符合标准要求，即判定为合格。否则判定为不合格。</w:t>
      </w:r>
    </w:p>
    <w:p>
      <w:pPr>
        <w:spacing w:line="360" w:lineRule="auto"/>
        <w:ind w:firstLine="360" w:firstLineChars="200"/>
        <w:rPr>
          <w:rFonts w:ascii="宋体" w:hAnsi="宋体" w:cs="宋体"/>
          <w:sz w:val="18"/>
          <w:szCs w:val="18"/>
        </w:rPr>
      </w:pPr>
      <w:r>
        <w:rPr>
          <w:rFonts w:hint="eastAsia" w:ascii="宋体" w:hAnsi="宋体" w:cs="宋体"/>
          <w:sz w:val="18"/>
          <w:szCs w:val="18"/>
        </w:rPr>
        <w:t>4、异议处理及复检</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（1）复检时可采用备用样品检验。</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（2）复检结果为最终检验结果。</w:t>
      </w:r>
    </w:p>
    <w:p>
      <w:pPr>
        <w:pStyle w:val="53"/>
        <w:spacing w:line="360" w:lineRule="auto"/>
        <w:ind w:firstLine="360" w:firstLineChars="200"/>
        <w:rPr>
          <w:rFonts w:hint="eastAsia" w:ascii="宋体" w:hAnsi="宋体" w:cs="宋体"/>
          <w:color w:val="auto"/>
          <w:sz w:val="18"/>
          <w:szCs w:val="18"/>
        </w:rPr>
      </w:pPr>
      <w:r>
        <w:rPr>
          <w:rFonts w:hint="eastAsia" w:ascii="宋体" w:hAnsi="宋体" w:cs="宋体"/>
          <w:color w:val="auto"/>
          <w:sz w:val="18"/>
          <w:szCs w:val="18"/>
        </w:rPr>
        <w:t>（五）水系灭火剂</w:t>
      </w:r>
    </w:p>
    <w:p>
      <w:pPr>
        <w:pStyle w:val="53"/>
        <w:spacing w:line="360" w:lineRule="auto"/>
        <w:ind w:firstLine="360" w:firstLineChars="200"/>
        <w:rPr>
          <w:rFonts w:hint="eastAsia" w:ascii="宋体" w:hAnsi="宋体" w:cs="宋体"/>
          <w:color w:val="auto"/>
          <w:sz w:val="18"/>
          <w:szCs w:val="18"/>
        </w:rPr>
      </w:pPr>
      <w:r>
        <w:rPr>
          <w:rFonts w:hint="eastAsia" w:ascii="宋体" w:hAnsi="宋体" w:cs="宋体"/>
          <w:color w:val="auto"/>
          <w:sz w:val="18"/>
          <w:szCs w:val="18"/>
        </w:rPr>
        <w:t>1.检验依据</w:t>
      </w:r>
    </w:p>
    <w:p>
      <w:pPr>
        <w:pStyle w:val="53"/>
        <w:spacing w:line="360" w:lineRule="auto"/>
        <w:ind w:firstLine="360" w:firstLineChars="200"/>
        <w:rPr>
          <w:rFonts w:hint="eastAsia" w:ascii="宋体" w:hAnsi="宋体" w:cs="宋体"/>
          <w:color w:val="auto"/>
          <w:sz w:val="18"/>
          <w:szCs w:val="18"/>
        </w:rPr>
      </w:pPr>
      <w:r>
        <w:rPr>
          <w:rFonts w:hint="eastAsia" w:ascii="宋体" w:hAnsi="宋体" w:cs="宋体"/>
          <w:color w:val="auto"/>
          <w:sz w:val="18"/>
          <w:szCs w:val="18"/>
        </w:rPr>
        <w:t>GB 17835-2008《水系灭火剂》。</w:t>
      </w:r>
    </w:p>
    <w:p>
      <w:pPr>
        <w:pStyle w:val="53"/>
        <w:spacing w:line="360" w:lineRule="auto"/>
        <w:ind w:firstLine="360" w:firstLineChars="200"/>
        <w:rPr>
          <w:rFonts w:hint="eastAsia" w:ascii="宋体" w:hAnsi="宋体" w:cs="宋体"/>
          <w:color w:val="auto"/>
          <w:sz w:val="18"/>
          <w:szCs w:val="18"/>
        </w:rPr>
      </w:pPr>
      <w:r>
        <w:rPr>
          <w:rFonts w:hint="eastAsia" w:ascii="宋体" w:hAnsi="宋体" w:cs="宋体"/>
          <w:color w:val="auto"/>
          <w:sz w:val="18"/>
          <w:szCs w:val="18"/>
        </w:rPr>
        <w:t>2.样品要求</w:t>
      </w:r>
    </w:p>
    <w:p>
      <w:pPr>
        <w:pStyle w:val="53"/>
        <w:spacing w:line="360" w:lineRule="auto"/>
        <w:ind w:firstLine="360" w:firstLineChars="200"/>
        <w:rPr>
          <w:rFonts w:hint="eastAsia" w:ascii="宋体" w:hAnsi="宋体" w:cs="宋体"/>
          <w:color w:val="auto"/>
          <w:sz w:val="18"/>
          <w:szCs w:val="18"/>
        </w:rPr>
      </w:pPr>
      <w:r>
        <w:rPr>
          <w:rFonts w:hint="eastAsia" w:ascii="宋体" w:hAnsi="宋体" w:cs="宋体"/>
          <w:color w:val="auto"/>
          <w:sz w:val="18"/>
          <w:szCs w:val="18"/>
        </w:rPr>
        <w:t>检验用样品数量为15L（混合比为100%的样品数量为50L），同时抽取（封）与检验用样品相同型号规格的备用样品15L（混合比为100%的样品数量为50L）。如所抽样品是获得过有效的认证证书的产品，须一并寄送认证证书复印件和有效的型式试验合格报告复印件；如所抽样品未获得过有效的消防产品认证证书，须一并寄送有效的型式检验合格报告复印件。</w:t>
      </w:r>
    </w:p>
    <w:p>
      <w:pPr>
        <w:pStyle w:val="53"/>
        <w:spacing w:line="360" w:lineRule="auto"/>
        <w:ind w:firstLine="360" w:firstLineChars="200"/>
        <w:rPr>
          <w:rFonts w:hint="eastAsia" w:ascii="宋体" w:hAnsi="宋体" w:cs="宋体"/>
          <w:color w:val="auto"/>
          <w:sz w:val="18"/>
          <w:szCs w:val="18"/>
        </w:rPr>
      </w:pPr>
      <w:r>
        <w:rPr>
          <w:rFonts w:hint="eastAsia" w:ascii="宋体" w:hAnsi="宋体" w:cs="宋体"/>
          <w:color w:val="auto"/>
          <w:sz w:val="18"/>
          <w:szCs w:val="18"/>
        </w:rPr>
        <w:t>3.检验项目和判定原则</w:t>
      </w:r>
    </w:p>
    <w:p>
      <w:pPr>
        <w:pStyle w:val="53"/>
        <w:spacing w:line="360" w:lineRule="auto"/>
        <w:ind w:firstLine="360" w:firstLineChars="200"/>
        <w:rPr>
          <w:rFonts w:hint="eastAsia" w:ascii="宋体" w:hAnsi="宋体" w:cs="宋体"/>
          <w:color w:val="auto"/>
          <w:sz w:val="18"/>
          <w:szCs w:val="18"/>
        </w:rPr>
      </w:pPr>
      <w:r>
        <w:rPr>
          <w:rFonts w:hint="eastAsia" w:ascii="宋体" w:hAnsi="宋体" w:cs="宋体"/>
          <w:color w:val="auto"/>
          <w:sz w:val="18"/>
          <w:szCs w:val="18"/>
        </w:rPr>
        <w:t>（1）检验项目：凝固点、灭火性能，以上检验项目样品状态均为温度处理前。</w:t>
      </w:r>
    </w:p>
    <w:p>
      <w:pPr>
        <w:pStyle w:val="53"/>
        <w:spacing w:line="360" w:lineRule="auto"/>
        <w:ind w:firstLine="360" w:firstLineChars="200"/>
        <w:rPr>
          <w:rFonts w:hint="eastAsia" w:ascii="宋体" w:hAnsi="宋体" w:cs="宋体"/>
          <w:color w:val="auto"/>
          <w:sz w:val="18"/>
          <w:szCs w:val="18"/>
        </w:rPr>
      </w:pPr>
      <w:r>
        <w:rPr>
          <w:rFonts w:hint="eastAsia" w:ascii="宋体" w:hAnsi="宋体" w:cs="宋体"/>
          <w:color w:val="auto"/>
          <w:sz w:val="18"/>
          <w:szCs w:val="18"/>
        </w:rPr>
        <w:t>（2）判定原则：以上检验项目符合标准要求，即判定为合格。否则判定为不合格。</w:t>
      </w:r>
    </w:p>
    <w:p>
      <w:pPr>
        <w:pStyle w:val="53"/>
        <w:spacing w:line="360" w:lineRule="auto"/>
        <w:ind w:firstLine="360" w:firstLineChars="200"/>
        <w:rPr>
          <w:rFonts w:hint="eastAsia" w:ascii="宋体" w:hAnsi="宋体" w:cs="宋体"/>
          <w:color w:val="auto"/>
          <w:sz w:val="18"/>
          <w:szCs w:val="18"/>
        </w:rPr>
      </w:pPr>
      <w:r>
        <w:rPr>
          <w:rFonts w:hint="eastAsia" w:ascii="宋体" w:hAnsi="宋体" w:cs="宋体"/>
          <w:color w:val="auto"/>
          <w:sz w:val="18"/>
          <w:szCs w:val="18"/>
        </w:rPr>
        <w:t>4.异议处理及复检</w:t>
      </w:r>
    </w:p>
    <w:p>
      <w:pPr>
        <w:pStyle w:val="53"/>
        <w:spacing w:line="360" w:lineRule="auto"/>
        <w:ind w:firstLine="360" w:firstLineChars="200"/>
        <w:rPr>
          <w:rFonts w:hint="eastAsia" w:ascii="宋体" w:hAnsi="宋体" w:cs="宋体"/>
          <w:color w:val="auto"/>
          <w:sz w:val="18"/>
          <w:szCs w:val="18"/>
        </w:rPr>
      </w:pPr>
      <w:r>
        <w:rPr>
          <w:rFonts w:hint="eastAsia" w:ascii="宋体" w:hAnsi="宋体" w:cs="宋体"/>
          <w:color w:val="auto"/>
          <w:sz w:val="18"/>
          <w:szCs w:val="18"/>
        </w:rPr>
        <w:t>（1）复检时可采用备用样品检验。</w:t>
      </w:r>
    </w:p>
    <w:p>
      <w:pPr>
        <w:pStyle w:val="53"/>
        <w:spacing w:line="360" w:lineRule="auto"/>
        <w:ind w:firstLine="360" w:firstLineChars="200"/>
        <w:rPr>
          <w:rFonts w:hint="eastAsia" w:ascii="宋体" w:hAnsi="宋体" w:cs="宋体"/>
          <w:color w:val="auto"/>
          <w:sz w:val="18"/>
          <w:szCs w:val="18"/>
        </w:rPr>
      </w:pPr>
      <w:r>
        <w:rPr>
          <w:rFonts w:hint="eastAsia" w:ascii="宋体" w:hAnsi="宋体" w:cs="宋体"/>
          <w:color w:val="auto"/>
          <w:sz w:val="18"/>
          <w:szCs w:val="18"/>
        </w:rPr>
        <w:t>（2）复检结果为最终检验结果。</w:t>
      </w:r>
    </w:p>
    <w:p>
      <w:pPr>
        <w:pStyle w:val="53"/>
        <w:spacing w:line="360" w:lineRule="auto"/>
        <w:ind w:firstLine="360" w:firstLineChars="200"/>
        <w:rPr>
          <w:rFonts w:hint="eastAsia" w:ascii="宋体" w:hAnsi="宋体" w:cs="宋体"/>
          <w:color w:val="auto"/>
          <w:sz w:val="18"/>
          <w:szCs w:val="18"/>
        </w:rPr>
      </w:pP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二、建筑消防设施产品</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（六）手提式干粉灭火器</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1、检验依据</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GB 4351.1-2005《手提式灭火器 第1部分：性能和结构要求》。</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2、样品要求</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从社会单位随机抽取按照国家标准GB 4351.1-2005《手提式灭火器 第1部分：性能和结构要求》生产的相同型号规格的手提式干粉灭火器4具（其中，2具进行监督检验，另2具备用）。所抽样品应是获得“3C”认证证书的产品。</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3、检验项目和判定原则</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（1）检验项目：水压试验、爆破压力、爆破口情况、容积膨胀量、壁厚测量、干粉灭火剂含量检验（磷酸二氢铵含量或碳酸氢钠含量）。</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（2）判定原则：以上检验项目有任何一项不符合标准要求，即判为不合格，反之判定结论为“未发现不合格情形”。</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4、异议处理及复检</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（1）复检时，可以在原样品上进行的，应采用原样品检验，不可以在原样品上进行的，可采用备用样品检验。</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（2）复检结果为最终检验结果。</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（七）手提式水基型灭火器</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1、检验依据</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GB 4351.1-2005《手提式灭火器 第1部分：性能和结构要求》。</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2、样品要求</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从社会单位随机抽取按照国家标准GB 4351.1-2005《手提式灭火器 第1部分：性能和结构要求》生产的相同型号规格的手提式水基型灭火器4具（其中，2具进行监督检验，另2具备用）；如产品具有电绝缘性能，则抽取8具（其中，4具进行监督检验，另4具备用）。所抽样品应是获得“3C”认证证书的产品。</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3、检验项目和判定原则</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（1）检验项目：水压试验、爆破压力、爆破口情况、容积膨胀量、壁厚测量、灭火剂性能（PH值、表面张力）（适用时）、电绝缘性能（适用时）。</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（2）判定原则：以上检验项目有任何一项不符合标准要求，即判为不合格，反之判定结论为“未发现不合格情形”。</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4、异议处理及复检</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（1）复检时，可以在原样品上进行的，应采用原样品检验，不可以在原样品上进行的，可采用备用样品检验。</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 复检结果为最终检验结果。</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（八）手提式二氧化碳灭火器</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1.检验依据</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GB 4351.1-2005《手提式灭火器 第1部分：性能和结构要求》，GB 4351.2-2005《手提式灭火器 第2部分：手提式二氧化碳灭火器钢质无缝瓶体的要求》。</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2.样品要求</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从社会单位随机抽取按照国家标准GB 4351.1-2005《手提式灭火器 第1部分：性能和结构要求》、GB 4351.2-2005《手提式灭火器 第2部分：手提式二氧化碳灭火器钢质无缝瓶体的要求》生产的相同型号规格的手提式二氧化碳灭火器4具（2具进行监督检验，另2具备用）。所抽样品应是获得“3C”认证证书的产品。</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3.检验项目和判定原则</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（1）检验项目：筒（瓶）体水压试验、筒体（瓶体）爆破试验、筒体（瓶体）壁厚测量、20℃喷射性能、灭火剂充装量。</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（2）判定原则：以上检验项目有任何一项不符合标准要求，即判为不合格，反之判定结论为“未发现不合格情形”。</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4.异议处理及复检</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（1）复检时，可以在原样品上进行的，应采用原样品检验，不可以在原样品上进行的，可采用备用样品检验。</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（2）复检结果为最终检验结果。</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（九）非隔热型防火玻璃</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1、检验依据</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GB 15763.1-2009《建筑用安全玻璃第1部分：防火玻璃》</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2、样品要求</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从社会单位随机抽取按照国家标准GB  15763.1-2009《建筑用安全玻璃第1部分：防火玻璃》生产的防火玻璃、防火窗2组（其中，1组进行监督检验，另1组备用，样品数量中每组包含一下部分：1）***mm×***mm×2樘（用于耐火试验，安装好金属框架，***代表框架尺寸）；2）300mm×300mm×12片；3）610mm×610mm×12片；4）300mm×76mm×6片）。</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3、检验项目和判定原则</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（1）检验项目：外观质量、耐火性能、弯曲度、可见光透射比、耐热性能、耐寒性能、耐紫外线辐照性、抗冲击性能、碎片状态。</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（2）判定原则：以上检验项目有任何一项不符合标准要求，即判为不合格，反之判定结论为“未发现不合格情形”。</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4、异议处理及复检</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（1）复检时，可以在原样品上进行的，应采用原样品检验，不可以在原样品上进行的，可采用备用样品检验。</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（2）复检结果为最终检验结果。</w:t>
      </w:r>
    </w:p>
    <w:p>
      <w:pPr>
        <w:adjustRightInd w:val="0"/>
        <w:snapToGrid w:val="0"/>
        <w:spacing w:line="360" w:lineRule="auto"/>
        <w:ind w:firstLine="360" w:firstLineChars="200"/>
        <w:rPr>
          <w:rFonts w:hint="eastAsia" w:ascii="宋体" w:hAnsi="宋体" w:eastAsia="宋体" w:cs="宋体"/>
          <w:sz w:val="18"/>
          <w:szCs w:val="18"/>
          <w:highlight w:val="none"/>
          <w:lang w:eastAsia="zh-CN"/>
        </w:rPr>
      </w:pPr>
      <w:r>
        <w:rPr>
          <w:rFonts w:hint="eastAsia" w:ascii="宋体" w:hAnsi="宋体" w:cs="宋体"/>
          <w:sz w:val="18"/>
          <w:szCs w:val="18"/>
          <w:highlight w:val="none"/>
        </w:rPr>
        <w:t>（十）</w:t>
      </w:r>
      <w:r>
        <w:rPr>
          <w:rFonts w:hint="eastAsia" w:ascii="宋体" w:hAnsi="宋体" w:cs="宋体"/>
          <w:sz w:val="18"/>
          <w:szCs w:val="18"/>
          <w:highlight w:val="none"/>
          <w:lang w:val="en-US" w:eastAsia="zh-CN"/>
        </w:rPr>
        <w:t>防火门</w:t>
      </w:r>
    </w:p>
    <w:p>
      <w:pPr>
        <w:adjustRightInd w:val="0"/>
        <w:snapToGrid w:val="0"/>
        <w:spacing w:line="360" w:lineRule="auto"/>
        <w:ind w:firstLine="360" w:firstLineChars="200"/>
        <w:rPr>
          <w:rFonts w:ascii="宋体" w:hAnsi="宋体" w:cs="宋体"/>
          <w:sz w:val="18"/>
          <w:szCs w:val="18"/>
          <w:highlight w:val="none"/>
        </w:rPr>
      </w:pPr>
      <w:r>
        <w:rPr>
          <w:rFonts w:hint="eastAsia" w:ascii="宋体" w:hAnsi="宋体" w:cs="宋体"/>
          <w:sz w:val="18"/>
          <w:szCs w:val="18"/>
          <w:highlight w:val="none"/>
        </w:rPr>
        <w:t>1、检验依据</w:t>
      </w:r>
    </w:p>
    <w:p>
      <w:pPr>
        <w:adjustRightInd w:val="0"/>
        <w:snapToGrid w:val="0"/>
        <w:spacing w:line="360" w:lineRule="auto"/>
        <w:ind w:firstLine="360" w:firstLineChars="200"/>
        <w:rPr>
          <w:rFonts w:ascii="宋体" w:hAnsi="宋体" w:cs="宋体"/>
          <w:sz w:val="18"/>
          <w:szCs w:val="18"/>
          <w:highlight w:val="none"/>
        </w:rPr>
      </w:pPr>
      <w:r>
        <w:rPr>
          <w:rFonts w:hint="eastAsia" w:ascii="宋体" w:hAnsi="宋体" w:cs="宋体"/>
          <w:sz w:val="18"/>
          <w:szCs w:val="18"/>
          <w:highlight w:val="none"/>
        </w:rPr>
        <w:t>GB 1</w:t>
      </w:r>
      <w:r>
        <w:rPr>
          <w:rFonts w:hint="eastAsia" w:ascii="宋体" w:hAnsi="宋体" w:cs="宋体"/>
          <w:sz w:val="18"/>
          <w:szCs w:val="18"/>
          <w:highlight w:val="none"/>
          <w:lang w:val="en-US" w:eastAsia="zh-CN"/>
        </w:rPr>
        <w:t>2955</w:t>
      </w:r>
      <w:r>
        <w:rPr>
          <w:rFonts w:hint="eastAsia" w:ascii="宋体" w:hAnsi="宋体" w:cs="宋体"/>
          <w:sz w:val="18"/>
          <w:szCs w:val="18"/>
          <w:highlight w:val="none"/>
        </w:rPr>
        <w:t>-2008《防火</w:t>
      </w:r>
      <w:r>
        <w:rPr>
          <w:rFonts w:hint="eastAsia" w:ascii="宋体" w:hAnsi="宋体" w:cs="宋体"/>
          <w:sz w:val="18"/>
          <w:szCs w:val="18"/>
          <w:highlight w:val="none"/>
          <w:lang w:val="en-US" w:eastAsia="zh-CN"/>
        </w:rPr>
        <w:t>门</w:t>
      </w:r>
      <w:r>
        <w:rPr>
          <w:rFonts w:hint="eastAsia" w:ascii="宋体" w:hAnsi="宋体" w:cs="宋体"/>
          <w:sz w:val="18"/>
          <w:szCs w:val="18"/>
          <w:highlight w:val="none"/>
        </w:rPr>
        <w:t>》</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2、样品要求</w:t>
      </w:r>
    </w:p>
    <w:p>
      <w:pPr>
        <w:keepNext w:val="0"/>
        <w:keepLines w:val="0"/>
        <w:pageBreakBefore w:val="0"/>
        <w:widowControl/>
        <w:kinsoku/>
        <w:wordWrap/>
        <w:overflowPunct/>
        <w:topLinePunct w:val="0"/>
        <w:autoSpaceDE/>
        <w:autoSpaceDN/>
        <w:bidi w:val="0"/>
        <w:adjustRightInd w:val="0"/>
        <w:snapToGrid w:val="0"/>
        <w:spacing w:line="360" w:lineRule="auto"/>
        <w:ind w:firstLine="360" w:firstLineChars="200"/>
        <w:textAlignment w:val="auto"/>
        <w:outlineLvl w:val="9"/>
        <w:rPr>
          <w:rFonts w:hint="eastAsia" w:ascii="宋体" w:hAnsi="宋体" w:eastAsia="宋体" w:cs="宋体"/>
          <w:color w:val="000000"/>
          <w:sz w:val="18"/>
          <w:szCs w:val="18"/>
          <w:lang w:val="en-US" w:eastAsia="zh-CN"/>
        </w:rPr>
      </w:pPr>
      <w:r>
        <w:rPr>
          <w:rFonts w:hint="eastAsia" w:ascii="宋体" w:hAnsi="宋体" w:cs="宋体"/>
          <w:sz w:val="18"/>
          <w:szCs w:val="18"/>
        </w:rPr>
        <w:t>从社会单位随机抽取按照国家标准GB 1</w:t>
      </w:r>
      <w:r>
        <w:rPr>
          <w:rFonts w:hint="eastAsia" w:ascii="宋体" w:hAnsi="宋体" w:cs="宋体"/>
          <w:sz w:val="18"/>
          <w:szCs w:val="18"/>
          <w:lang w:val="en-US" w:eastAsia="zh-CN"/>
        </w:rPr>
        <w:t>2955</w:t>
      </w:r>
      <w:r>
        <w:rPr>
          <w:rFonts w:hint="eastAsia" w:ascii="宋体" w:hAnsi="宋体" w:cs="宋体"/>
          <w:sz w:val="18"/>
          <w:szCs w:val="18"/>
        </w:rPr>
        <w:t>-2008《防火</w:t>
      </w:r>
      <w:r>
        <w:rPr>
          <w:rFonts w:hint="eastAsia" w:ascii="宋体" w:hAnsi="宋体" w:cs="宋体"/>
          <w:sz w:val="18"/>
          <w:szCs w:val="18"/>
          <w:lang w:val="en-US" w:eastAsia="zh-CN"/>
        </w:rPr>
        <w:t>门</w:t>
      </w:r>
      <w:r>
        <w:rPr>
          <w:rFonts w:hint="eastAsia" w:ascii="宋体" w:hAnsi="宋体" w:cs="宋体"/>
          <w:sz w:val="18"/>
          <w:szCs w:val="18"/>
        </w:rPr>
        <w:t>》生产的防火</w:t>
      </w:r>
      <w:r>
        <w:rPr>
          <w:rFonts w:hint="eastAsia" w:ascii="宋体" w:hAnsi="宋体" w:cs="宋体"/>
          <w:sz w:val="18"/>
          <w:szCs w:val="18"/>
          <w:lang w:val="en-US" w:eastAsia="zh-CN"/>
        </w:rPr>
        <w:t>门</w:t>
      </w:r>
      <w:r>
        <w:rPr>
          <w:rFonts w:hint="eastAsia" w:ascii="宋体" w:hAnsi="宋体" w:cs="宋体"/>
          <w:sz w:val="18"/>
          <w:szCs w:val="18"/>
        </w:rPr>
        <w:t>（其中，</w:t>
      </w:r>
      <w:r>
        <w:rPr>
          <w:rFonts w:hint="eastAsia" w:ascii="宋体" w:hAnsi="宋体" w:cs="宋体"/>
          <w:sz w:val="18"/>
          <w:szCs w:val="18"/>
          <w:lang w:val="en-US" w:eastAsia="zh-CN"/>
        </w:rPr>
        <w:t>1</w:t>
      </w:r>
      <w:r>
        <w:rPr>
          <w:rFonts w:hint="eastAsia" w:ascii="宋体" w:hAnsi="宋体" w:cs="宋体"/>
          <w:sz w:val="18"/>
          <w:szCs w:val="18"/>
        </w:rPr>
        <w:t>扇进行监督检验，另</w:t>
      </w:r>
      <w:r>
        <w:rPr>
          <w:rFonts w:hint="eastAsia" w:ascii="宋体" w:hAnsi="宋体" w:cs="宋体"/>
          <w:sz w:val="18"/>
          <w:szCs w:val="18"/>
          <w:lang w:val="en-US" w:eastAsia="zh-CN"/>
        </w:rPr>
        <w:t>1</w:t>
      </w:r>
      <w:r>
        <w:rPr>
          <w:rFonts w:hint="eastAsia" w:ascii="宋体" w:hAnsi="宋体" w:cs="宋体"/>
          <w:sz w:val="18"/>
          <w:szCs w:val="18"/>
        </w:rPr>
        <w:t>扇备用，</w:t>
      </w:r>
      <w:r>
        <w:rPr>
          <w:rFonts w:hint="eastAsia" w:ascii="宋体" w:hAnsi="宋体" w:eastAsia="宋体" w:cs="宋体"/>
          <w:color w:val="000000"/>
          <w:sz w:val="18"/>
          <w:szCs w:val="18"/>
          <w:lang w:val="en-US" w:eastAsia="zh-CN"/>
        </w:rPr>
        <w:t>安装门框，五金完好齐全</w:t>
      </w:r>
      <w:r>
        <w:rPr>
          <w:rFonts w:hint="eastAsia" w:ascii="宋体" w:hAnsi="宋体" w:eastAsia="宋体" w:cs="宋体"/>
          <w:sz w:val="18"/>
          <w:szCs w:val="18"/>
          <w:highlight w:val="none"/>
          <w:lang w:val="en-US" w:eastAsia="zh-CN"/>
        </w:rPr>
        <w:t>，</w:t>
      </w:r>
      <w:r>
        <w:rPr>
          <w:rFonts w:hint="eastAsia" w:ascii="宋体" w:hAnsi="宋体" w:eastAsia="宋体" w:cs="宋体"/>
          <w:color w:val="000000"/>
          <w:sz w:val="18"/>
          <w:szCs w:val="18"/>
          <w:lang w:val="en-US" w:eastAsia="zh-CN"/>
        </w:rPr>
        <w:t>门扇标注背火面和受火面。</w:t>
      </w:r>
    </w:p>
    <w:p>
      <w:pPr>
        <w:adjustRightInd w:val="0"/>
        <w:snapToGrid w:val="0"/>
        <w:spacing w:line="360" w:lineRule="auto"/>
        <w:ind w:firstLine="360" w:firstLineChars="200"/>
        <w:rPr>
          <w:rFonts w:ascii="宋体" w:hAnsi="宋体" w:cs="宋体"/>
          <w:sz w:val="18"/>
          <w:szCs w:val="18"/>
          <w:highlight w:val="none"/>
        </w:rPr>
      </w:pPr>
      <w:r>
        <w:rPr>
          <w:rFonts w:hint="eastAsia" w:ascii="宋体" w:hAnsi="宋体" w:cs="宋体"/>
          <w:sz w:val="18"/>
          <w:szCs w:val="18"/>
          <w:highlight w:val="none"/>
        </w:rPr>
        <w:t>3、检验项目和判定原则</w:t>
      </w:r>
    </w:p>
    <w:p>
      <w:pPr>
        <w:adjustRightInd w:val="0"/>
        <w:snapToGrid w:val="0"/>
        <w:spacing w:line="360" w:lineRule="auto"/>
        <w:ind w:firstLine="360" w:firstLineChars="200"/>
        <w:rPr>
          <w:rFonts w:ascii="宋体" w:hAnsi="宋体" w:cs="宋体"/>
          <w:sz w:val="18"/>
          <w:szCs w:val="18"/>
          <w:highlight w:val="none"/>
        </w:rPr>
      </w:pPr>
      <w:r>
        <w:rPr>
          <w:rFonts w:hint="eastAsia" w:ascii="宋体" w:hAnsi="宋体" w:cs="宋体"/>
          <w:sz w:val="18"/>
          <w:szCs w:val="18"/>
          <w:highlight w:val="none"/>
        </w:rPr>
        <w:t>（1）检验项目：</w:t>
      </w:r>
      <w:r>
        <w:rPr>
          <w:rFonts w:hint="eastAsia" w:ascii="宋体" w:hAnsi="宋体" w:cs="宋体"/>
          <w:sz w:val="18"/>
          <w:szCs w:val="18"/>
          <w:highlight w:val="none"/>
        </w:rPr>
        <w:t>启闭灵活性、</w:t>
      </w:r>
      <w:r>
        <w:rPr>
          <w:rFonts w:hint="eastAsia" w:ascii="宋体" w:hAnsi="宋体" w:eastAsia="宋体" w:cs="宋体"/>
          <w:snapToGrid/>
          <w:color w:val="auto"/>
          <w:sz w:val="18"/>
          <w:szCs w:val="18"/>
          <w:highlight w:val="none"/>
        </w:rPr>
        <w:t>门扇开启力</w:t>
      </w:r>
      <w:r>
        <w:rPr>
          <w:rFonts w:hint="eastAsia" w:ascii="宋体" w:hAnsi="宋体" w:eastAsia="宋体" w:cs="宋体"/>
          <w:snapToGrid/>
          <w:color w:val="auto"/>
          <w:sz w:val="18"/>
          <w:szCs w:val="18"/>
          <w:highlight w:val="none"/>
          <w:lang w:eastAsia="zh-CN"/>
        </w:rPr>
        <w:t>、</w:t>
      </w:r>
      <w:r>
        <w:rPr>
          <w:rFonts w:hint="eastAsia" w:ascii="宋体" w:hAnsi="宋体" w:cs="宋体"/>
          <w:sz w:val="18"/>
          <w:szCs w:val="18"/>
          <w:highlight w:val="none"/>
        </w:rPr>
        <w:t>可靠性、耐火性能、防火锁的耐火性能、防火合页（铰链）的耐火性能</w:t>
      </w:r>
      <w:r>
        <w:rPr>
          <w:rFonts w:hint="eastAsia" w:ascii="宋体" w:hAnsi="宋体" w:cs="宋体"/>
          <w:sz w:val="18"/>
          <w:szCs w:val="18"/>
          <w:highlight w:val="none"/>
        </w:rPr>
        <w:t>。</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（2）判定原则：以上检验项目有任何一项不符合标准要求，即判为不合格，反之判定结论为“未发现不合格情形”。</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4、异议处理及复检</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（1）复检时，可以在原样品上进行的，应采用原样品检验，不可以在原样品上进行的，可采用备用样品检验。</w:t>
      </w:r>
    </w:p>
    <w:p>
      <w:pPr>
        <w:adjustRightInd w:val="0"/>
        <w:snapToGrid w:val="0"/>
        <w:spacing w:line="360" w:lineRule="auto"/>
        <w:ind w:firstLine="360" w:firstLineChars="200"/>
        <w:rPr>
          <w:rFonts w:ascii="宋体" w:hAnsi="宋体" w:cs="宋体"/>
          <w:sz w:val="18"/>
          <w:szCs w:val="18"/>
          <w:highlight w:val="yellow"/>
        </w:rPr>
      </w:pPr>
      <w:r>
        <w:rPr>
          <w:rFonts w:hint="eastAsia" w:ascii="宋体" w:hAnsi="宋体" w:cs="宋体"/>
          <w:sz w:val="18"/>
          <w:szCs w:val="18"/>
        </w:rPr>
        <w:t>（2）复检结果为最终检验结果。</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（十一）过滤式消防自救呼吸器</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1.检验依据</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GB 21976.7-2012《建筑火灾逃生避难器材第7部分：过滤式消防自救呼吸器》。</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2.样品要求</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从社会单位随机抽取按照国家标准GB 21976.7-2012《建筑火灾逃生避难器材第7部分：过滤式消防自救呼吸器》生产的相同型号规格的过滤式消防自救呼吸器8具（其中，4具进行监督检验，另4具备用）。所抽样品应是获得“3C”认证证书的产品。</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3.检验项目和判定原则</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（1）检验项目：结构、材料阻燃性能、一氧化碳防护性能、高浓度一氧化碳时呼吸器的机械结构完整性、连接强度。</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（2）判定原则：以上检验项目有任何一项不符合标准要求，即判为不合格，反之判定结论为“未发现不合格情形”。</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4.异议处理及复检</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（1）复检时，可以在原样品上进行的，应采用原样品检验，不可以在原样品上进行的，可采用备用样品检验。</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（2）复检结果为最终检验结果。</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（十二）消防应急照明灯具</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1、检验依据</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GB 17945-2010《消防应急照明和疏散指示系统》。</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2、样品要求</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从社会单位随机抽取按照国家标准GB 17945-2010《消防应急照明和疏散指示系统》生产的自带电源非集中控制型消防应急照明灯具3台（其中，2台进行监督检验，另1台备用）。所抽样品应是获得“3C”认证证书的产品。</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3、检验项目和判定原则</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（1）检验项目：基本功能试验、充放电试验、恒定湿热试验。</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（2）判定原则：以上检验项目有任何一项不符合标准要求，即判为不合格，反之判定结论为“未发现不合格情形”。</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4、异议处理及复检</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（1）复检时，可以在原样品上进行的，应采用原样品检验，不可以在原样品上进行的，可采用备用样品检验。</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（2）复检结果为最终检验结果。</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（十三）消防应急标志灯具</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1、检验依据</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GB 17945-2010《消防应急照明和疏散指示系统》。</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2、样品要求</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从社会单位随机抽取按照国家标准GB  17945-2010《消防应急照明和疏散指示系统》生产的自带电源非集中控制型消防应急标志灯具3台（其中，2台进行监督检验，另1台备用）。所抽样品应是获得“3C”认证证书的产品。</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3、检验项目和判定原则</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（1）检验项目：基本功能试验、充放电试验、恒定湿热试验。</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（2）判定原则：以上检验项目有任何一项不符合标准要求，即判为不合格，反之判定结论为“未发现不合格情形”。</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4、异议处理及复检</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（1）复检时，可以在原样品上进行的，应采用原样品检验，不可以在原样品上进行的，可采用备用样品检验。</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（2）复检结果为最终检验结果。</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（十四）有衬里消防水带</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1.检验依据</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GB 6246-2011《消防水带》。</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2.样品要求</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从社会单位随机抽取按照国家标准GB 6246-2011《消防水带》生产的相同型号规格的消防水带2条（其中，1条进行监督检验，1条备用），样品须带有两端接口。</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3.检验项目和判定原则</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（1）检验项目：试验压力下状况、爆破压力、延伸率、膨胀率、附着强度。</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（2）判定原则：以上检验项目中有任何一项不符合标准要求，即判为不合格，反之判定结论为“未发现不合格情形”。</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4.异议处理及复检</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（1）复检时，可以在原样品上进行的，应采用原样品检验，不可以在原样品上进行的，可采用备用样品检验。</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（2）复检结果为最终检验结果。</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（十五）洒水喷头</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1.检验依据</w:t>
      </w:r>
    </w:p>
    <w:p>
      <w:pPr>
        <w:adjustRightInd w:val="0"/>
        <w:snapToGrid w:val="0"/>
        <w:spacing w:line="360" w:lineRule="auto"/>
        <w:ind w:firstLine="360" w:firstLineChars="200"/>
        <w:rPr>
          <w:rFonts w:hint="eastAsia" w:ascii="宋体" w:hAnsi="宋体" w:cs="宋体"/>
          <w:sz w:val="18"/>
          <w:szCs w:val="18"/>
        </w:rPr>
      </w:pPr>
      <w:r>
        <w:rPr>
          <w:rFonts w:hint="eastAsia" w:ascii="宋体" w:hAnsi="宋体" w:cs="宋体"/>
          <w:sz w:val="18"/>
          <w:szCs w:val="18"/>
        </w:rPr>
        <w:t>GB 5135.1-2019《自动喷水灭火系统第1部分:洒水喷头》。</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2.样品要求</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从社会单位随机抽取按照国家标准生产的相同型号规格的洒水喷头20只（10只进行监督检验，另10只备用）。</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3.检验项目和判定原则</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（1）检验项目</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按GB 5135.1-2019生产的产品，检验项目为：整体要求、外观与标志、流量系数、静态动作温度（注：本项目仅对液浴试验结果进行判定，判定依据按本方案“判定原则”执行）。</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（2）判定原则</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以上检验项目中有任何一项不符合标准要求，即判为不合格，反之判定结论为“未发现不合格情形”。</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4.异议处理及复检</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（1）复检时，可以在原样品上进行的，应采用原样品检验，不可以在原样品上进行的，可采用备用样品检验。</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（2）复检结果为最终检验结果。</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 xml:space="preserve">（十六）灭火毯  </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1.检验依据</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XF 1205-2014《灭火毯》。</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2.样品要求</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从社会单位随机抽取按照行业标准XF 1205-2014《灭火毯》生产的相同型号规格的灭火毯8条（其中，4条进行监督检验，另4条备用）。</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3.检验项目和判定原则</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（1）检验项目：断裂强力、手持件与包边阻燃性能、绝缘性能。</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（2）判定原则：以上检验项目有任何一项不符合标准要求，即判为不合格，反之判定结论为“未发现不合格情形”。</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4.异议处理及复检</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（1）复检时，可以在原样品上进行的，应采用原样品检验，不可以在原样品上进行的，可采用备用样品检验。</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（2）复检结果为最终检验结果。</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（十七）排烟阀</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1.检验依据</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GB 15930-2007《建筑通风和排烟系统用防火阀门》。</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2.样品要求</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从社会单位随机抽取按照国家标准GB 15930-2007《建筑通风和排烟系统用防火阀门》生产的相同型号规格的排烟阀2台（1台进行监督检验，1台备用）。样品应结构完整，配件齐全，表面平整，无破损、扭曲、变形。</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3.检验项目和判定原则</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（1）检验项目：环境温度下的漏风量。</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（2）判定原则：排烟阀的环境温度下的漏风量应符合GB 15930-2007中6.11所规定的要求，未达到规定要求即判定为“不合格”，反之判定结论为“未发现不合格情形”。</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4.异议处理及复检</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（1）复检时，采用备用样品检验。</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（2）复检结果为最终检验结果。</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（十八）防火阀</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1.检验依据</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GB 15930-2007《建筑通风和排烟系统用防火阀门》。</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2.样品要求</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从社会单位随机抽取按照国家标准GB 15930-2007《建筑通风和排烟系统用防火阀门》生产的相同型号规格的防火阀2台（1台进行监督检验，1台备用）。样品应结构完整，配件齐全，表面平整，无破损、扭曲、变形。</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3.检验项目和判定原则</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（1）检验项目：耐火性能。</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（2）判定原则：防火阀的耐火性能应符合GB 15930-2007中6.12所规定的要求，未达到规定要求即判定为“不合格”，反之判定结论为“未发现不合格情形”。</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4.异议处理及复检</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（1）复检时，采用备用样品检验。</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（2）复检结果为最终检验结果。</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（十九）排烟防火阀</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1.检验依据</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GB 15930-2007《建筑通风和排烟系统用防火阀门》。</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2.样品要求</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从社会单位随机抽取按照国家标准GB  15930-2007《建筑通风和排烟系统用防火阀门》生产的相同型号规格的排烟防火阀2台（1台进行监督检验，1台备用）。样品应结构完整，配件齐全，表面平整，无破损、扭曲、变形。</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3.检验项目和判定原则</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（1）检验项目：耐火性能。</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（2）判定原则：排烟防火阀的耐火性能应符合GB  15930-2007中6.12所规定的要求，未达到规定要求即判定为“不合格”，反之判定结论为“未发现不合格情形”。</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4.异议处理及复检</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（1）复检时，采用备用样品检验。</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（2）复检结果为最终检验结果。</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（二十）逃生缓降器</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1.检验依据</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GB 21976.2-2012《建筑火灾避难逃生器材 第2部分：逃生缓降器》。</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2.样品要求</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从社会单位随机抽取按照国家标准GB 21976.2-2012《建筑火灾逃生避难器材第2部分：逃生缓降器》生产的相同型号规格的逃生缓降器2套（1套进行监督检验，另1套备用）。所抽样品应是获得“3C”认证证书的产品。</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3.检验项目和判定原则</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（1）检验项目：不同负荷下的下降速度、抗跌落性能</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（2）判定原则：以上检验项目有任何一项不符合标准要求，即判为不合格，反之判定结论为“未发现不合格情形”。</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4.异议处理及复检</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（1）复检时，可以在原样品上进行的，应采用原样品检验，不可以在原样品上进行的，可采用备用样品检验。</w:t>
      </w:r>
    </w:p>
    <w:p>
      <w:pPr>
        <w:adjustRightInd w:val="0"/>
        <w:snapToGrid w:val="0"/>
        <w:spacing w:line="360" w:lineRule="auto"/>
        <w:ind w:firstLine="360" w:firstLineChars="200"/>
        <w:rPr>
          <w:rFonts w:ascii="宋体" w:hAnsi="宋体" w:cs="宋体"/>
          <w:sz w:val="18"/>
          <w:szCs w:val="18"/>
        </w:rPr>
      </w:pPr>
      <w:r>
        <w:rPr>
          <w:rFonts w:hint="eastAsia" w:ascii="宋体" w:hAnsi="宋体" w:cs="宋体"/>
          <w:sz w:val="18"/>
          <w:szCs w:val="18"/>
        </w:rPr>
        <w:t>（2）复检结果为最终检验结果。</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3.</w:t>
      </w:r>
      <w:r>
        <w:rPr>
          <w:rFonts w:hint="eastAsia" w:ascii="宋体" w:hAnsi="宋体"/>
          <w:szCs w:val="21"/>
        </w:rPr>
        <w:t xml:space="preserve"> ★</w:t>
      </w:r>
      <w:r>
        <w:rPr>
          <w:rFonts w:hint="eastAsia" w:ascii="宋体" w:hAnsi="宋体" w:cs="仿宋_GB2312"/>
          <w:szCs w:val="21"/>
        </w:rPr>
        <w:t>现场检查与判定。对建设工程中使用的消防产品进行监督抽查时，参评人要按照《消防产品监督管理规定》查验消防产品质量合格证明文件、出厂合格证的真实性、合法性。同时，要严格按照《消防产品现场检查判定规则》（XF 588-2012）规定进行现场检查判定，并填写《消防产品监督检查记录》。现场检查判定为不合格的，应当出具《消防产品现场检查判定不合格通知书》，并依法作出处理。</w:t>
      </w:r>
      <w:r>
        <w:rPr>
          <w:rFonts w:hint="eastAsia" w:ascii="宋体" w:hAnsi="宋体" w:cs="仿宋_GB2312"/>
          <w:b/>
          <w:szCs w:val="21"/>
        </w:rPr>
        <w:t>（参评时提供承诺函，格式自拟）</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4.样品抽取。对现场检查难以判定产品质量是否合格或当事人对现场检查结果有异议的消防产品，要及时按照法定程序抽取样品。</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5. 样品确认。抽封样品必须经产品标称生产企业和建设单位的主要负责人在抽样单上签字确认并加盖公章后，方可送检。如标称生产企业确认有困难的，应当另附生产企业出具的确认样品的证明文件，或产品身份证标识照片及此标识在中国消防产品信息网上所查询到流向信息截图照片，并在抽样单上注明制作。如遇到标称生产企业不予配合的情况，应及时报总队技术处处理。</w:t>
      </w:r>
    </w:p>
    <w:p>
      <w:pPr>
        <w:adjustRightInd w:val="0"/>
        <w:snapToGrid w:val="0"/>
        <w:spacing w:line="360" w:lineRule="auto"/>
        <w:ind w:firstLine="420" w:firstLineChars="200"/>
        <w:rPr>
          <w:rFonts w:ascii="宋体" w:hAnsi="宋体" w:cs="仿宋_GB2312"/>
          <w:szCs w:val="21"/>
        </w:rPr>
      </w:pPr>
      <w:r>
        <w:rPr>
          <w:rFonts w:hint="eastAsia" w:ascii="宋体" w:hAnsi="宋体" w:cs="仿宋_GB2312"/>
          <w:szCs w:val="21"/>
        </w:rPr>
        <w:t>5.承检方要按照委托方要求做好样品复检和复查工作。</w:t>
      </w:r>
    </w:p>
    <w:p>
      <w:pPr>
        <w:spacing w:line="360" w:lineRule="auto"/>
        <w:ind w:firstLine="420" w:firstLineChars="200"/>
        <w:outlineLvl w:val="0"/>
        <w:rPr>
          <w:rFonts w:ascii="宋体" w:hAnsi="宋体" w:cs="仿宋_GB2312"/>
          <w:szCs w:val="21"/>
        </w:rPr>
      </w:pPr>
      <w:bookmarkStart w:id="5" w:name="_Toc42868519"/>
      <w:r>
        <w:rPr>
          <w:rFonts w:hint="eastAsia" w:ascii="宋体" w:hAnsi="宋体" w:cs="仿宋_GB2312"/>
          <w:szCs w:val="21"/>
        </w:rPr>
        <w:t>6.承检方由于虚假、错误检验数据和结论或者抽检过程程序错误、缺失等原因而给被抽查单位造成损失的，或者给社会带来不良影响的，承检方除赔偿经济损失并承担相应法律责任外，还将被列入负面清单。</w:t>
      </w:r>
      <w:bookmarkEnd w:id="5"/>
    </w:p>
    <w:p>
      <w:pPr>
        <w:spacing w:line="360" w:lineRule="auto"/>
        <w:ind w:firstLine="421" w:firstLineChars="200"/>
        <w:jc w:val="left"/>
        <w:rPr>
          <w:rFonts w:ascii="宋体" w:hAnsi="宋体" w:cs="仿宋_GB2312"/>
          <w:b/>
          <w:bCs/>
          <w:szCs w:val="21"/>
        </w:rPr>
      </w:pPr>
      <w:r>
        <w:rPr>
          <w:rFonts w:hint="eastAsia" w:ascii="宋体" w:hAnsi="宋体" w:cs="仿宋_GB2312"/>
          <w:b/>
          <w:bCs/>
          <w:szCs w:val="21"/>
        </w:rPr>
        <w:t>五、抽样工作和结果处理按照</w:t>
      </w:r>
      <w:r>
        <w:rPr>
          <w:rFonts w:hint="eastAsia" w:ascii="宋体" w:hAnsi="宋体" w:cs="仿宋_GB2312"/>
          <w:b/>
          <w:bCs/>
          <w:szCs w:val="21"/>
          <w:lang w:val="zh-CN"/>
        </w:rPr>
        <w:t>国家消防救援局和广东省消防救援总队相关工作</w:t>
      </w:r>
      <w:r>
        <w:rPr>
          <w:rFonts w:hint="eastAsia" w:ascii="宋体" w:hAnsi="宋体" w:cs="仿宋_GB2312"/>
          <w:b/>
          <w:bCs/>
          <w:szCs w:val="21"/>
        </w:rPr>
        <w:t>通知和有关法律法规要求实施。</w:t>
      </w:r>
    </w:p>
    <w:p>
      <w:pPr>
        <w:spacing w:line="360" w:lineRule="auto"/>
        <w:ind w:firstLine="421" w:firstLineChars="200"/>
        <w:rPr>
          <w:rFonts w:ascii="宋体" w:hAnsi="宋体" w:cs="仿宋_GB2312"/>
          <w:szCs w:val="21"/>
        </w:rPr>
      </w:pPr>
      <w:r>
        <w:rPr>
          <w:rFonts w:hint="eastAsia" w:ascii="宋体" w:hAnsi="宋体" w:cs="仿宋_GB2312"/>
          <w:b/>
          <w:szCs w:val="21"/>
        </w:rPr>
        <w:t>六、应急工作的实施</w:t>
      </w:r>
    </w:p>
    <w:p>
      <w:pPr>
        <w:spacing w:line="360" w:lineRule="auto"/>
        <w:ind w:firstLine="420" w:firstLineChars="200"/>
        <w:outlineLvl w:val="0"/>
        <w:rPr>
          <w:rFonts w:ascii="宋体" w:hAnsi="宋体" w:cs="仿宋_GB2312"/>
          <w:szCs w:val="21"/>
        </w:rPr>
      </w:pPr>
      <w:bookmarkStart w:id="6" w:name="_Toc42868520"/>
      <w:r>
        <w:rPr>
          <w:rFonts w:hint="eastAsia" w:ascii="宋体" w:hAnsi="宋体" w:cs="仿宋_GB2312"/>
          <w:szCs w:val="21"/>
        </w:rPr>
        <w:t>根据委托方需求，在出现中标产品出现突发事件或其它应急情况时，由双方协商处置方案，承检方应积极配合（在工作时间内0.5小时内响应，在非工作时间内1小时内响应）委托方开展相关工作。</w:t>
      </w:r>
      <w:bookmarkEnd w:id="6"/>
    </w:p>
    <w:p>
      <w:pPr>
        <w:spacing w:line="360" w:lineRule="auto"/>
        <w:ind w:firstLine="421" w:firstLineChars="200"/>
        <w:rPr>
          <w:rFonts w:ascii="宋体" w:hAnsi="宋体" w:cs="仿宋_GB2312"/>
          <w:b/>
          <w:szCs w:val="21"/>
        </w:rPr>
      </w:pPr>
      <w:r>
        <w:rPr>
          <w:rFonts w:hint="eastAsia" w:ascii="宋体" w:hAnsi="宋体" w:cs="仿宋_GB2312"/>
          <w:b/>
          <w:szCs w:val="21"/>
        </w:rPr>
        <w:t>七、其他说明</w:t>
      </w:r>
    </w:p>
    <w:p>
      <w:pPr>
        <w:spacing w:line="360" w:lineRule="auto"/>
        <w:ind w:firstLine="420" w:firstLineChars="200"/>
        <w:outlineLvl w:val="0"/>
        <w:rPr>
          <w:rFonts w:ascii="宋体" w:hAnsi="宋体" w:cs="仿宋_GB2312"/>
          <w:szCs w:val="21"/>
        </w:rPr>
      </w:pPr>
      <w:bookmarkStart w:id="7" w:name="_Toc42868521"/>
      <w:r>
        <w:rPr>
          <w:rFonts w:hint="eastAsia" w:ascii="宋体" w:hAnsi="宋体" w:cs="仿宋_GB2312"/>
          <w:szCs w:val="21"/>
        </w:rPr>
        <w:t>1.购样费及邮寄费由承检方先行垫支，抽查工作完成后由委托方按合同要求支付。</w:t>
      </w:r>
      <w:bookmarkEnd w:id="7"/>
    </w:p>
    <w:p>
      <w:pPr>
        <w:spacing w:line="360" w:lineRule="auto"/>
        <w:ind w:firstLine="420" w:firstLineChars="200"/>
        <w:outlineLvl w:val="0"/>
        <w:rPr>
          <w:rFonts w:ascii="宋体" w:hAnsi="宋体" w:cs="仿宋_GB2312"/>
          <w:szCs w:val="21"/>
        </w:rPr>
      </w:pPr>
      <w:bookmarkStart w:id="8" w:name="_Toc42868522"/>
      <w:r>
        <w:rPr>
          <w:rFonts w:hint="eastAsia" w:ascii="宋体" w:hAnsi="宋体" w:cs="仿宋_GB2312"/>
          <w:szCs w:val="21"/>
        </w:rPr>
        <w:t>2.参评人不得将检验任务外包或分包给其他检测机构检验，一经发现，即做废标处理。</w:t>
      </w:r>
      <w:bookmarkEnd w:id="8"/>
    </w:p>
    <w:p>
      <w:pPr>
        <w:spacing w:line="360" w:lineRule="auto"/>
        <w:ind w:firstLine="420" w:firstLineChars="200"/>
        <w:outlineLvl w:val="0"/>
        <w:rPr>
          <w:rFonts w:ascii="宋体" w:hAnsi="宋体" w:cs="仿宋_GB2312"/>
          <w:szCs w:val="21"/>
        </w:rPr>
      </w:pPr>
      <w:bookmarkStart w:id="9" w:name="_Toc42868523"/>
      <w:r>
        <w:rPr>
          <w:rFonts w:hint="eastAsia" w:ascii="宋体" w:hAnsi="宋体" w:cs="仿宋_GB2312"/>
          <w:szCs w:val="21"/>
        </w:rPr>
        <w:t>3.中标人承检的检验任务必须由其参评文件中载明的实验室负责检验并提供项目实施方案，否则视为违约，立即取消其合同和中标资格。</w:t>
      </w:r>
      <w:bookmarkEnd w:id="9"/>
    </w:p>
    <w:p>
      <w:pPr>
        <w:autoSpaceDE w:val="0"/>
        <w:autoSpaceDN w:val="0"/>
        <w:spacing w:line="360" w:lineRule="auto"/>
        <w:ind w:firstLine="420" w:firstLineChars="200"/>
        <w:rPr>
          <w:rFonts w:ascii="宋体" w:hAnsi="宋体"/>
          <w:szCs w:val="21"/>
        </w:rPr>
      </w:pPr>
      <w:r>
        <w:rPr>
          <w:rFonts w:hint="eastAsia" w:ascii="宋体" w:hAnsi="宋体" w:cs="仿宋_GB2312"/>
          <w:szCs w:val="21"/>
        </w:rPr>
        <w:t>4.承检方必须如实提供参评所需证明材料，不得弄虚作假，一经发现，立即取消中标资格，并追究法律责任。</w:t>
      </w:r>
    </w:p>
    <w:p>
      <w:pPr>
        <w:autoSpaceDE w:val="0"/>
        <w:autoSpaceDN w:val="0"/>
        <w:spacing w:line="360" w:lineRule="auto"/>
        <w:ind w:firstLine="420" w:firstLineChars="200"/>
        <w:rPr>
          <w:rFonts w:ascii="宋体" w:hAnsi="宋体"/>
          <w:szCs w:val="21"/>
        </w:rPr>
      </w:pPr>
      <w:r>
        <w:rPr>
          <w:rFonts w:hint="eastAsia" w:ascii="宋体" w:hAnsi="宋体"/>
          <w:szCs w:val="21"/>
        </w:rPr>
        <w:t>5.</w:t>
      </w:r>
      <w:r>
        <w:rPr>
          <w:rFonts w:hint="eastAsia"/>
        </w:rPr>
        <w:t xml:space="preserve"> 验收标准及要求</w:t>
      </w:r>
    </w:p>
    <w:p>
      <w:pPr>
        <w:autoSpaceDE w:val="0"/>
        <w:autoSpaceDN w:val="0"/>
        <w:spacing w:line="360" w:lineRule="auto"/>
        <w:ind w:firstLine="420" w:firstLineChars="200"/>
        <w:rPr>
          <w:rFonts w:hint="eastAsia" w:ascii="宋体" w:hAnsi="宋体"/>
          <w:szCs w:val="21"/>
        </w:rPr>
      </w:pPr>
      <w:r>
        <w:rPr>
          <w:rFonts w:hint="eastAsia"/>
        </w:rPr>
        <w:t>检验工作完成后，委托方组织专家组对中标人提供的所有材料进行验收（包括不限于检验报告、质量总结、绩效分析等内容）。</w:t>
      </w:r>
      <w:r>
        <w:rPr>
          <w:rFonts w:hint="eastAsia" w:ascii="宋体" w:hAnsi="宋体"/>
          <w:szCs w:val="21"/>
        </w:rPr>
        <w:t>经验收合格后，认定完全履行合同完毕。</w:t>
      </w:r>
    </w:p>
    <w:p>
      <w:pPr>
        <w:keepNext/>
        <w:keepLines/>
        <w:adjustRightInd w:val="0"/>
        <w:spacing w:line="360" w:lineRule="auto"/>
        <w:jc w:val="center"/>
        <w:textAlignment w:val="baseline"/>
        <w:outlineLvl w:val="1"/>
        <w:rPr>
          <w:rFonts w:ascii="宋体" w:hAnsi="宋体"/>
          <w:b/>
          <w:sz w:val="32"/>
          <w:szCs w:val="32"/>
        </w:rPr>
      </w:pPr>
      <w:r>
        <w:rPr>
          <w:rFonts w:hint="eastAsia" w:ascii="宋体" w:hAnsi="宋体"/>
          <w:szCs w:val="21"/>
        </w:rPr>
        <w:br w:type="page"/>
      </w:r>
      <w:r>
        <w:rPr>
          <w:rFonts w:hint="eastAsia" w:ascii="宋体" w:hAnsi="宋体"/>
          <w:b/>
          <w:sz w:val="32"/>
          <w:szCs w:val="32"/>
        </w:rPr>
        <w:t>第三章  评审办法</w:t>
      </w:r>
    </w:p>
    <w:p>
      <w:pPr>
        <w:widowControl/>
        <w:snapToGrid w:val="0"/>
        <w:spacing w:line="594" w:lineRule="exact"/>
        <w:ind w:firstLine="420" w:firstLineChars="200"/>
        <w:jc w:val="left"/>
        <w:outlineLvl w:val="9"/>
        <w:rPr>
          <w:rFonts w:hint="eastAsia" w:ascii="宋体" w:hAnsi="宋体" w:cs="宋体"/>
          <w:b/>
          <w:bCs/>
          <w:kern w:val="0"/>
          <w:szCs w:val="21"/>
          <w:highlight w:val="none"/>
        </w:rPr>
      </w:pPr>
      <w:r>
        <w:rPr>
          <w:rFonts w:hint="eastAsia" w:ascii="宋体" w:hAnsi="宋体" w:cs="宋体"/>
          <w:kern w:val="0"/>
          <w:szCs w:val="21"/>
        </w:rPr>
        <w:t>根据《广东省消防救援总队关于印发&lt;广东省消防救援总队采购管理暂行规定（试行）&gt;等九项规定的通知》（粤消〔2022〕59号）的评审工作程序和要求</w:t>
      </w:r>
      <w:r>
        <w:rPr>
          <w:rFonts w:hint="eastAsia" w:ascii="宋体" w:hAnsi="宋体" w:cs="宋体"/>
          <w:kern w:val="0"/>
          <w:szCs w:val="21"/>
          <w:lang w:val="en-US" w:eastAsia="zh-CN"/>
        </w:rPr>
        <w:t>规定</w:t>
      </w:r>
      <w:r>
        <w:rPr>
          <w:rFonts w:hint="eastAsia" w:ascii="宋体" w:hAnsi="宋体" w:cs="宋体"/>
          <w:kern w:val="0"/>
          <w:szCs w:val="21"/>
        </w:rPr>
        <w:t>，</w:t>
      </w:r>
      <w:r>
        <w:rPr>
          <w:rFonts w:hint="eastAsia" w:ascii="宋体" w:hAnsi="宋体" w:cs="宋体"/>
          <w:kern w:val="0"/>
          <w:szCs w:val="21"/>
          <w:highlight w:val="none"/>
          <w:lang w:val="en-US" w:eastAsia="zh-CN"/>
        </w:rPr>
        <w:t>本次</w:t>
      </w:r>
      <w:r>
        <w:rPr>
          <w:rFonts w:hint="eastAsia" w:ascii="宋体" w:hAnsi="宋体" w:eastAsia="宋体" w:cs="宋体"/>
          <w:b w:val="0"/>
          <w:bCs w:val="0"/>
          <w:kern w:val="0"/>
          <w:sz w:val="21"/>
          <w:szCs w:val="21"/>
          <w:highlight w:val="none"/>
          <w:lang w:val="en-US" w:eastAsia="zh-CN"/>
        </w:rPr>
        <w:t>2024年度消防产品专项监督抽查检验服务项目</w:t>
      </w:r>
      <w:r>
        <w:rPr>
          <w:rFonts w:hint="eastAsia" w:ascii="宋体" w:hAnsi="宋体" w:cs="宋体"/>
          <w:b w:val="0"/>
          <w:bCs w:val="0"/>
          <w:kern w:val="0"/>
          <w:sz w:val="21"/>
          <w:szCs w:val="21"/>
          <w:highlight w:val="none"/>
          <w:lang w:val="en-US" w:eastAsia="zh-CN"/>
        </w:rPr>
        <w:t>的</w:t>
      </w:r>
      <w:r>
        <w:rPr>
          <w:rFonts w:hint="eastAsia" w:ascii="宋体" w:hAnsi="宋体" w:eastAsia="宋体" w:cs="宋体"/>
          <w:b w:val="0"/>
          <w:bCs w:val="0"/>
          <w:kern w:val="0"/>
          <w:sz w:val="21"/>
          <w:szCs w:val="21"/>
          <w:highlight w:val="none"/>
          <w:lang w:val="en-US" w:eastAsia="zh-CN"/>
        </w:rPr>
        <w:t>采购事宜</w:t>
      </w:r>
      <w:r>
        <w:rPr>
          <w:rFonts w:hint="eastAsia" w:ascii="宋体" w:hAnsi="宋体" w:cs="宋体"/>
          <w:b w:val="0"/>
          <w:bCs w:val="0"/>
          <w:kern w:val="0"/>
          <w:sz w:val="21"/>
          <w:szCs w:val="21"/>
          <w:highlight w:val="none"/>
          <w:lang w:val="en-US" w:eastAsia="zh-CN"/>
        </w:rPr>
        <w:t>由广东消防救援总队采购办负责组织实施，广东消防救援总队就执行本次</w:t>
      </w:r>
      <w:r>
        <w:rPr>
          <w:rFonts w:hint="eastAsia" w:ascii="宋体" w:hAnsi="宋体" w:cs="宋体"/>
          <w:kern w:val="0"/>
          <w:szCs w:val="21"/>
          <w:highlight w:val="none"/>
        </w:rPr>
        <w:t>评审办法</w:t>
      </w:r>
      <w:r>
        <w:rPr>
          <w:rFonts w:hint="eastAsia" w:ascii="宋体" w:hAnsi="宋体" w:cs="宋体"/>
          <w:kern w:val="0"/>
          <w:szCs w:val="21"/>
          <w:highlight w:val="none"/>
          <w:lang w:val="en-US" w:eastAsia="zh-CN"/>
        </w:rPr>
        <w:t>作出</w:t>
      </w:r>
      <w:r>
        <w:rPr>
          <w:rFonts w:hint="eastAsia" w:ascii="宋体" w:hAnsi="宋体" w:cs="宋体"/>
          <w:kern w:val="0"/>
          <w:szCs w:val="21"/>
          <w:highlight w:val="none"/>
        </w:rPr>
        <w:t>如下</w:t>
      </w:r>
      <w:r>
        <w:rPr>
          <w:rFonts w:hint="eastAsia" w:ascii="宋体" w:hAnsi="宋体" w:cs="宋体"/>
          <w:kern w:val="0"/>
          <w:szCs w:val="21"/>
          <w:highlight w:val="none"/>
          <w:lang w:val="en-US" w:eastAsia="zh-CN"/>
        </w:rPr>
        <w:t>说明</w:t>
      </w:r>
      <w:r>
        <w:rPr>
          <w:rFonts w:hint="eastAsia" w:ascii="宋体" w:hAnsi="宋体" w:cs="宋体"/>
          <w:kern w:val="0"/>
          <w:szCs w:val="21"/>
          <w:highlight w:val="none"/>
        </w:rPr>
        <w:t>：</w:t>
      </w:r>
    </w:p>
    <w:p>
      <w:pPr>
        <w:widowControl/>
        <w:spacing w:line="360" w:lineRule="auto"/>
        <w:ind w:firstLine="421" w:firstLineChars="200"/>
        <w:jc w:val="left"/>
        <w:rPr>
          <w:rFonts w:ascii="宋体" w:hAnsi="宋体" w:cs="宋体"/>
          <w:b/>
          <w:bCs/>
          <w:kern w:val="0"/>
          <w:szCs w:val="21"/>
        </w:rPr>
      </w:pPr>
      <w:r>
        <w:rPr>
          <w:rFonts w:hint="eastAsia" w:ascii="宋体" w:hAnsi="宋体" w:cs="宋体"/>
          <w:b/>
          <w:bCs/>
          <w:kern w:val="0"/>
          <w:szCs w:val="21"/>
        </w:rPr>
        <w:t>一、评审与定评</w:t>
      </w:r>
    </w:p>
    <w:p>
      <w:pPr>
        <w:widowControl/>
        <w:numPr>
          <w:ilvl w:val="0"/>
          <w:numId w:val="3"/>
        </w:numPr>
        <w:tabs>
          <w:tab w:val="left" w:pos="720"/>
        </w:tabs>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当通过资格、符合性审查的</w:t>
      </w:r>
      <w:r>
        <w:rPr>
          <w:rFonts w:hint="eastAsia" w:ascii="宋体" w:hAnsi="宋体" w:cs="宋体"/>
          <w:kern w:val="28"/>
          <w:szCs w:val="21"/>
        </w:rPr>
        <w:t>参评</w:t>
      </w:r>
      <w:r>
        <w:rPr>
          <w:rFonts w:hint="eastAsia" w:ascii="宋体" w:hAnsi="宋体" w:cs="宋体"/>
          <w:kern w:val="0"/>
          <w:szCs w:val="21"/>
        </w:rPr>
        <w:t>人不少于三家时，按照评审程序的规定和依据评分标准、计算方法，各评委单独封闭对每个</w:t>
      </w:r>
      <w:r>
        <w:rPr>
          <w:rFonts w:hint="eastAsia" w:ascii="宋体" w:hAnsi="宋体" w:cs="宋体"/>
          <w:kern w:val="28"/>
          <w:szCs w:val="21"/>
        </w:rPr>
        <w:t>参评</w:t>
      </w:r>
      <w:r>
        <w:rPr>
          <w:rFonts w:hint="eastAsia" w:ascii="宋体" w:hAnsi="宋体" w:cs="宋体"/>
          <w:kern w:val="0"/>
          <w:szCs w:val="21"/>
        </w:rPr>
        <w:t>人进行评审和比较。</w:t>
      </w:r>
    </w:p>
    <w:p>
      <w:pPr>
        <w:widowControl/>
        <w:numPr>
          <w:ilvl w:val="0"/>
          <w:numId w:val="3"/>
        </w:numPr>
        <w:tabs>
          <w:tab w:val="left" w:pos="720"/>
        </w:tabs>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成交人资格的确定，由评审小组推荐，并由采购人确认。</w:t>
      </w:r>
    </w:p>
    <w:p>
      <w:pPr>
        <w:widowControl/>
        <w:numPr>
          <w:ilvl w:val="0"/>
          <w:numId w:val="3"/>
        </w:numPr>
        <w:tabs>
          <w:tab w:val="left" w:pos="720"/>
        </w:tabs>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比较与评价。评审小组</w:t>
      </w:r>
      <w:r>
        <w:rPr>
          <w:rFonts w:hint="eastAsia" w:ascii="宋体" w:hAnsi="宋体"/>
          <w:szCs w:val="21"/>
        </w:rPr>
        <w:t>按遴选文件中规定的评审方法和标准，对资格审查和符合性审查合格的</w:t>
      </w:r>
      <w:r>
        <w:rPr>
          <w:rFonts w:hint="eastAsia" w:ascii="宋体" w:hAnsi="宋体" w:cs="宋体"/>
          <w:kern w:val="28"/>
          <w:szCs w:val="21"/>
        </w:rPr>
        <w:t>参评</w:t>
      </w:r>
      <w:r>
        <w:rPr>
          <w:rFonts w:hint="eastAsia" w:ascii="宋体" w:hAnsi="宋体"/>
          <w:szCs w:val="21"/>
        </w:rPr>
        <w:t>文件进行商务和技术评估，综合比较与评价。技术、商务、价格部分分值分配如下</w:t>
      </w:r>
      <w:r>
        <w:rPr>
          <w:rFonts w:hint="eastAsia" w:ascii="宋体" w:hAnsi="宋体" w:cs="宋体"/>
          <w:kern w:val="0"/>
          <w:szCs w:val="21"/>
        </w:rPr>
        <w:t>：</w:t>
      </w:r>
    </w:p>
    <w:tbl>
      <w:tblPr>
        <w:tblStyle w:val="25"/>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985"/>
        <w:gridCol w:w="1895"/>
        <w:gridCol w:w="191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54" w:type="dxa"/>
            <w:shd w:val="clear" w:color="auto" w:fill="EAEAE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kern w:val="0"/>
                <w:szCs w:val="21"/>
              </w:rPr>
            </w:pPr>
            <w:r>
              <w:rPr>
                <w:rFonts w:hint="eastAsia" w:ascii="宋体" w:hAnsi="宋体" w:cs="宋体"/>
                <w:b/>
                <w:kern w:val="0"/>
                <w:szCs w:val="21"/>
              </w:rPr>
              <w:t>评分项目</w:t>
            </w:r>
          </w:p>
        </w:tc>
        <w:tc>
          <w:tcPr>
            <w:tcW w:w="1985" w:type="dxa"/>
            <w:shd w:val="clear" w:color="auto" w:fill="EAEAE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kern w:val="0"/>
                <w:szCs w:val="21"/>
              </w:rPr>
            </w:pPr>
            <w:r>
              <w:rPr>
                <w:rFonts w:hint="eastAsia" w:ascii="宋体" w:hAnsi="宋体" w:cs="宋体"/>
                <w:b/>
                <w:kern w:val="0"/>
                <w:szCs w:val="21"/>
              </w:rPr>
              <w:t>技术评分</w:t>
            </w:r>
          </w:p>
        </w:tc>
        <w:tc>
          <w:tcPr>
            <w:tcW w:w="1895" w:type="dxa"/>
            <w:shd w:val="clear" w:color="auto" w:fill="EAEAEA"/>
            <w:noWrap w:val="0"/>
            <w:vAlign w:val="center"/>
          </w:tcPr>
          <w:p>
            <w:pPr>
              <w:keepNext w:val="0"/>
              <w:keepLines w:val="0"/>
              <w:suppressLineNumbers w:val="0"/>
              <w:autoSpaceDE w:val="0"/>
              <w:autoSpaceDN w:val="0"/>
              <w:adjustRightInd w:val="0"/>
              <w:spacing w:before="0" w:beforeAutospacing="0" w:after="0" w:afterAutospacing="0"/>
              <w:ind w:left="0" w:leftChars="-51" w:right="0" w:hanging="107" w:hangingChars="51"/>
              <w:jc w:val="center"/>
              <w:rPr>
                <w:rFonts w:hint="default" w:ascii="宋体" w:hAnsi="宋体" w:cs="宋体"/>
                <w:b/>
                <w:kern w:val="0"/>
                <w:szCs w:val="21"/>
              </w:rPr>
            </w:pPr>
            <w:r>
              <w:rPr>
                <w:rFonts w:hint="eastAsia" w:ascii="宋体" w:hAnsi="宋体" w:cs="宋体"/>
                <w:b/>
                <w:kern w:val="0"/>
                <w:szCs w:val="21"/>
              </w:rPr>
              <w:t>商务评分</w:t>
            </w:r>
          </w:p>
        </w:tc>
        <w:tc>
          <w:tcPr>
            <w:tcW w:w="1912" w:type="dxa"/>
            <w:shd w:val="clear" w:color="auto" w:fill="EAEAEA"/>
            <w:noWrap w:val="0"/>
            <w:vAlign w:val="center"/>
          </w:tcPr>
          <w:p>
            <w:pPr>
              <w:keepNext w:val="0"/>
              <w:keepLines w:val="0"/>
              <w:suppressLineNumbers w:val="0"/>
              <w:autoSpaceDE w:val="0"/>
              <w:autoSpaceDN w:val="0"/>
              <w:adjustRightInd w:val="0"/>
              <w:spacing w:before="0" w:beforeAutospacing="0" w:after="0" w:afterAutospacing="0"/>
              <w:ind w:left="0" w:leftChars="-51" w:right="0" w:hanging="107" w:hangingChars="51"/>
              <w:jc w:val="center"/>
              <w:rPr>
                <w:rFonts w:hint="default" w:ascii="宋体" w:hAnsi="宋体" w:cs="宋体"/>
                <w:b/>
                <w:kern w:val="0"/>
                <w:szCs w:val="21"/>
              </w:rPr>
            </w:pPr>
            <w:r>
              <w:rPr>
                <w:rFonts w:hint="eastAsia" w:ascii="宋体" w:hAnsi="宋体" w:cs="宋体"/>
                <w:b/>
                <w:kern w:val="0"/>
                <w:szCs w:val="21"/>
              </w:rPr>
              <w:t>价格评分</w:t>
            </w:r>
          </w:p>
        </w:tc>
        <w:tc>
          <w:tcPr>
            <w:tcW w:w="1328" w:type="dxa"/>
            <w:shd w:val="clear" w:color="auto" w:fill="EAEAEA"/>
            <w:noWrap w:val="0"/>
            <w:vAlign w:val="center"/>
          </w:tcPr>
          <w:p>
            <w:pPr>
              <w:keepNext w:val="0"/>
              <w:keepLines w:val="0"/>
              <w:suppressLineNumbers w:val="0"/>
              <w:autoSpaceDE w:val="0"/>
              <w:autoSpaceDN w:val="0"/>
              <w:adjustRightInd w:val="0"/>
              <w:spacing w:before="0" w:beforeAutospacing="0" w:after="0" w:afterAutospacing="0"/>
              <w:ind w:left="0" w:leftChars="-51" w:right="0" w:hanging="107" w:hangingChars="51"/>
              <w:jc w:val="center"/>
              <w:rPr>
                <w:rFonts w:hint="default" w:ascii="宋体" w:hAnsi="宋体" w:cs="宋体"/>
                <w:b/>
                <w:kern w:val="0"/>
                <w:szCs w:val="21"/>
              </w:rPr>
            </w:pPr>
            <w:r>
              <w:rPr>
                <w:rFonts w:hint="eastAsia" w:ascii="宋体" w:hAnsi="宋体" w:cs="宋体"/>
                <w:b/>
                <w:kern w:val="0"/>
                <w:szCs w:val="21"/>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5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分值</w:t>
            </w:r>
          </w:p>
        </w:tc>
        <w:tc>
          <w:tcPr>
            <w:tcW w:w="1985"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40分</w:t>
            </w:r>
          </w:p>
        </w:tc>
        <w:tc>
          <w:tcPr>
            <w:tcW w:w="1895" w:type="dxa"/>
            <w:noWrap w:val="0"/>
            <w:vAlign w:val="center"/>
          </w:tcPr>
          <w:p>
            <w:pPr>
              <w:keepNext w:val="0"/>
              <w:keepLines w:val="0"/>
              <w:suppressLineNumbers w:val="0"/>
              <w:autoSpaceDE w:val="0"/>
              <w:autoSpaceDN w:val="0"/>
              <w:adjustRightInd w:val="0"/>
              <w:spacing w:before="0" w:beforeAutospacing="0" w:after="0" w:afterAutospacing="0"/>
              <w:ind w:left="0" w:leftChars="-51" w:right="0" w:hanging="107" w:hangingChars="51"/>
              <w:jc w:val="center"/>
              <w:rPr>
                <w:rFonts w:hint="default" w:ascii="宋体" w:hAnsi="宋体" w:cs="宋体"/>
                <w:kern w:val="0"/>
                <w:szCs w:val="21"/>
              </w:rPr>
            </w:pPr>
            <w:r>
              <w:rPr>
                <w:rFonts w:hint="eastAsia" w:ascii="宋体" w:hAnsi="宋体" w:cs="宋体"/>
                <w:kern w:val="0"/>
                <w:szCs w:val="21"/>
              </w:rPr>
              <w:t>30分</w:t>
            </w:r>
          </w:p>
        </w:tc>
        <w:tc>
          <w:tcPr>
            <w:tcW w:w="1912" w:type="dxa"/>
            <w:noWrap w:val="0"/>
            <w:vAlign w:val="center"/>
          </w:tcPr>
          <w:p>
            <w:pPr>
              <w:keepNext w:val="0"/>
              <w:keepLines w:val="0"/>
              <w:suppressLineNumbers w:val="0"/>
              <w:autoSpaceDE w:val="0"/>
              <w:autoSpaceDN w:val="0"/>
              <w:adjustRightInd w:val="0"/>
              <w:spacing w:before="0" w:beforeAutospacing="0" w:after="0" w:afterAutospacing="0"/>
              <w:ind w:left="0" w:leftChars="-51" w:right="0" w:hanging="107" w:hangingChars="51"/>
              <w:jc w:val="center"/>
              <w:rPr>
                <w:rFonts w:hint="default" w:ascii="宋体" w:hAnsi="宋体" w:cs="宋体"/>
                <w:kern w:val="0"/>
                <w:szCs w:val="21"/>
              </w:rPr>
            </w:pPr>
            <w:r>
              <w:rPr>
                <w:rFonts w:hint="eastAsia" w:ascii="宋体" w:hAnsi="宋体" w:cs="宋体"/>
                <w:kern w:val="0"/>
                <w:szCs w:val="21"/>
              </w:rPr>
              <w:t>3</w:t>
            </w:r>
            <w:r>
              <w:rPr>
                <w:rFonts w:hint="default" w:ascii="宋体" w:hAnsi="宋体" w:cs="宋体"/>
                <w:kern w:val="0"/>
                <w:szCs w:val="21"/>
              </w:rPr>
              <w:t>0</w:t>
            </w:r>
            <w:r>
              <w:rPr>
                <w:rFonts w:hint="eastAsia" w:ascii="宋体" w:hAnsi="宋体" w:cs="宋体"/>
                <w:kern w:val="0"/>
                <w:szCs w:val="21"/>
              </w:rPr>
              <w:t>分</w:t>
            </w:r>
          </w:p>
        </w:tc>
        <w:tc>
          <w:tcPr>
            <w:tcW w:w="1328" w:type="dxa"/>
            <w:noWrap w:val="0"/>
            <w:vAlign w:val="center"/>
          </w:tcPr>
          <w:p>
            <w:pPr>
              <w:keepNext w:val="0"/>
              <w:keepLines w:val="0"/>
              <w:suppressLineNumbers w:val="0"/>
              <w:autoSpaceDE w:val="0"/>
              <w:autoSpaceDN w:val="0"/>
              <w:adjustRightInd w:val="0"/>
              <w:spacing w:before="0" w:beforeAutospacing="0" w:after="0" w:afterAutospacing="0"/>
              <w:ind w:left="0" w:leftChars="-51" w:right="0" w:hanging="107" w:hangingChars="51"/>
              <w:jc w:val="center"/>
              <w:rPr>
                <w:rFonts w:hint="default" w:ascii="宋体" w:hAnsi="宋体" w:cs="宋体"/>
                <w:kern w:val="0"/>
                <w:szCs w:val="21"/>
              </w:rPr>
            </w:pPr>
            <w:r>
              <w:rPr>
                <w:rFonts w:hint="eastAsia" w:ascii="宋体" w:hAnsi="宋体" w:cs="宋体"/>
                <w:kern w:val="0"/>
                <w:szCs w:val="21"/>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5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权重</w:t>
            </w:r>
          </w:p>
        </w:tc>
        <w:tc>
          <w:tcPr>
            <w:tcW w:w="1985"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40%</w:t>
            </w:r>
          </w:p>
        </w:tc>
        <w:tc>
          <w:tcPr>
            <w:tcW w:w="1895"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3</w:t>
            </w:r>
            <w:r>
              <w:rPr>
                <w:rFonts w:hint="default" w:ascii="宋体" w:hAnsi="宋体" w:cs="宋体"/>
                <w:kern w:val="0"/>
                <w:szCs w:val="21"/>
              </w:rPr>
              <w:t>0</w:t>
            </w:r>
            <w:r>
              <w:rPr>
                <w:rFonts w:hint="eastAsia" w:ascii="宋体" w:hAnsi="宋体" w:cs="宋体"/>
                <w:kern w:val="0"/>
                <w:szCs w:val="21"/>
              </w:rPr>
              <w:t>%</w:t>
            </w:r>
          </w:p>
        </w:tc>
        <w:tc>
          <w:tcPr>
            <w:tcW w:w="1912"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3</w:t>
            </w:r>
            <w:r>
              <w:rPr>
                <w:rFonts w:hint="default" w:ascii="宋体" w:hAnsi="宋体" w:cs="宋体"/>
                <w:kern w:val="0"/>
                <w:szCs w:val="21"/>
              </w:rPr>
              <w:t>0</w:t>
            </w:r>
            <w:r>
              <w:rPr>
                <w:rFonts w:hint="eastAsia" w:ascii="宋体" w:hAnsi="宋体" w:cs="宋体"/>
                <w:kern w:val="0"/>
                <w:szCs w:val="21"/>
              </w:rPr>
              <w:t>%</w:t>
            </w:r>
          </w:p>
        </w:tc>
        <w:tc>
          <w:tcPr>
            <w:tcW w:w="1328"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kern w:val="0"/>
                <w:szCs w:val="21"/>
              </w:rPr>
            </w:pPr>
            <w:bookmarkStart w:id="10" w:name="_Toc215655096"/>
            <w:bookmarkStart w:id="11" w:name="_Toc225564544"/>
            <w:r>
              <w:rPr>
                <w:rFonts w:hint="eastAsia" w:ascii="宋体" w:hAnsi="宋体" w:cs="宋体"/>
                <w:kern w:val="0"/>
                <w:szCs w:val="21"/>
              </w:rPr>
              <w:t>100</w:t>
            </w:r>
            <w:bookmarkEnd w:id="10"/>
            <w:bookmarkEnd w:id="11"/>
            <w:r>
              <w:rPr>
                <w:rFonts w:hint="eastAsia" w:ascii="宋体" w:hAnsi="宋体" w:cs="宋体"/>
                <w:kern w:val="0"/>
                <w:szCs w:val="21"/>
              </w:rPr>
              <w:t>%</w:t>
            </w:r>
          </w:p>
        </w:tc>
      </w:tr>
    </w:tbl>
    <w:p>
      <w:pPr>
        <w:widowControl/>
        <w:numPr>
          <w:ilvl w:val="0"/>
          <w:numId w:val="3"/>
        </w:numPr>
        <w:tabs>
          <w:tab w:val="left" w:pos="720"/>
        </w:tabs>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技术评分</w:t>
      </w:r>
    </w:p>
    <w:p>
      <w:pPr>
        <w:widowControl/>
        <w:numPr>
          <w:ilvl w:val="0"/>
          <w:numId w:val="4"/>
        </w:numPr>
        <w:tabs>
          <w:tab w:val="left" w:pos="720"/>
        </w:tabs>
        <w:snapToGrid w:val="0"/>
        <w:spacing w:line="360" w:lineRule="auto"/>
        <w:jc w:val="left"/>
        <w:rPr>
          <w:rFonts w:ascii="宋体" w:hAnsi="宋体" w:cs="宋体"/>
          <w:kern w:val="0"/>
          <w:szCs w:val="21"/>
        </w:rPr>
      </w:pPr>
      <w:r>
        <w:rPr>
          <w:rFonts w:hint="eastAsia" w:ascii="宋体" w:hAnsi="宋体" w:cs="宋体"/>
          <w:kern w:val="0"/>
          <w:szCs w:val="21"/>
        </w:rPr>
        <w:t>由评审小组对所有</w:t>
      </w:r>
      <w:r>
        <w:rPr>
          <w:rFonts w:hint="eastAsia" w:ascii="宋体" w:hAnsi="宋体" w:cs="宋体"/>
          <w:kern w:val="28"/>
          <w:szCs w:val="21"/>
        </w:rPr>
        <w:t>参评</w:t>
      </w:r>
      <w:r>
        <w:rPr>
          <w:rFonts w:hint="eastAsia" w:ascii="宋体" w:hAnsi="宋体" w:cs="宋体"/>
          <w:kern w:val="0"/>
          <w:szCs w:val="21"/>
        </w:rPr>
        <w:t>文件的技术部分的响应进行审核和分析；</w:t>
      </w:r>
    </w:p>
    <w:p>
      <w:pPr>
        <w:widowControl/>
        <w:numPr>
          <w:ilvl w:val="0"/>
          <w:numId w:val="4"/>
        </w:numPr>
        <w:tabs>
          <w:tab w:val="left" w:pos="720"/>
        </w:tabs>
        <w:snapToGrid w:val="0"/>
        <w:spacing w:line="360" w:lineRule="auto"/>
        <w:jc w:val="left"/>
        <w:rPr>
          <w:rFonts w:ascii="宋体" w:hAnsi="宋体" w:cs="宋体"/>
          <w:kern w:val="0"/>
          <w:szCs w:val="21"/>
        </w:rPr>
      </w:pPr>
      <w:r>
        <w:rPr>
          <w:rFonts w:hint="eastAsia" w:ascii="宋体" w:hAnsi="宋体" w:cs="宋体"/>
          <w:kern w:val="0"/>
          <w:szCs w:val="21"/>
        </w:rPr>
        <w:t>评委独立进行评分，填写“技术评分表”；</w:t>
      </w:r>
    </w:p>
    <w:p>
      <w:pPr>
        <w:widowControl/>
        <w:numPr>
          <w:ilvl w:val="0"/>
          <w:numId w:val="4"/>
        </w:numPr>
        <w:tabs>
          <w:tab w:val="left" w:pos="720"/>
        </w:tabs>
        <w:snapToGrid w:val="0"/>
        <w:spacing w:line="360" w:lineRule="auto"/>
        <w:jc w:val="left"/>
        <w:rPr>
          <w:rFonts w:ascii="宋体" w:hAnsi="宋体" w:cs="宋体"/>
          <w:kern w:val="0"/>
          <w:szCs w:val="21"/>
        </w:rPr>
      </w:pPr>
      <w:r>
        <w:rPr>
          <w:rFonts w:hint="eastAsia" w:ascii="宋体" w:hAnsi="宋体" w:cs="宋体"/>
          <w:kern w:val="0"/>
          <w:szCs w:val="21"/>
        </w:rPr>
        <w:t>评分标准：按“技术评分表”中的分值进行评分；</w:t>
      </w:r>
    </w:p>
    <w:p>
      <w:pPr>
        <w:widowControl/>
        <w:numPr>
          <w:ilvl w:val="0"/>
          <w:numId w:val="4"/>
        </w:numPr>
        <w:tabs>
          <w:tab w:val="left" w:pos="720"/>
        </w:tabs>
        <w:snapToGrid w:val="0"/>
        <w:spacing w:line="360" w:lineRule="auto"/>
        <w:jc w:val="left"/>
        <w:rPr>
          <w:rFonts w:ascii="宋体" w:hAnsi="宋体" w:cs="宋体"/>
          <w:kern w:val="0"/>
          <w:szCs w:val="21"/>
        </w:rPr>
      </w:pPr>
      <w:r>
        <w:rPr>
          <w:rFonts w:hint="eastAsia" w:ascii="宋体" w:hAnsi="宋体" w:cs="宋体"/>
          <w:kern w:val="0"/>
          <w:szCs w:val="21"/>
        </w:rPr>
        <w:t>将每一个评委的评分汇集，取算术平均值（精确到小数点后两位）为该</w:t>
      </w:r>
      <w:r>
        <w:rPr>
          <w:rFonts w:hint="eastAsia" w:ascii="宋体" w:hAnsi="宋体" w:cs="宋体"/>
          <w:kern w:val="28"/>
          <w:szCs w:val="21"/>
        </w:rPr>
        <w:t>参评</w:t>
      </w:r>
      <w:r>
        <w:rPr>
          <w:rFonts w:hint="eastAsia" w:ascii="宋体" w:hAnsi="宋体" w:cs="宋体"/>
          <w:kern w:val="0"/>
          <w:szCs w:val="21"/>
        </w:rPr>
        <w:t>人的技术得分。</w:t>
      </w:r>
    </w:p>
    <w:p>
      <w:pPr>
        <w:widowControl/>
        <w:numPr>
          <w:ilvl w:val="0"/>
          <w:numId w:val="3"/>
        </w:numPr>
        <w:tabs>
          <w:tab w:val="left" w:pos="720"/>
        </w:tabs>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商务评分</w:t>
      </w:r>
    </w:p>
    <w:p>
      <w:pPr>
        <w:widowControl/>
        <w:numPr>
          <w:ilvl w:val="0"/>
          <w:numId w:val="5"/>
        </w:numPr>
        <w:tabs>
          <w:tab w:val="left" w:pos="720"/>
        </w:tabs>
        <w:snapToGrid w:val="0"/>
        <w:spacing w:line="360" w:lineRule="auto"/>
        <w:jc w:val="left"/>
        <w:rPr>
          <w:rFonts w:ascii="宋体" w:hAnsi="宋体" w:cs="宋体"/>
          <w:kern w:val="0"/>
          <w:szCs w:val="21"/>
        </w:rPr>
      </w:pPr>
      <w:r>
        <w:rPr>
          <w:rFonts w:hint="eastAsia" w:ascii="宋体" w:hAnsi="宋体" w:cs="宋体"/>
          <w:kern w:val="0"/>
          <w:szCs w:val="21"/>
        </w:rPr>
        <w:t>由评审小组对所有参评文件的商务部分的响应进行审核和分析；</w:t>
      </w:r>
    </w:p>
    <w:p>
      <w:pPr>
        <w:widowControl/>
        <w:numPr>
          <w:ilvl w:val="0"/>
          <w:numId w:val="5"/>
        </w:numPr>
        <w:tabs>
          <w:tab w:val="left" w:pos="720"/>
        </w:tabs>
        <w:snapToGrid w:val="0"/>
        <w:spacing w:line="360" w:lineRule="auto"/>
        <w:jc w:val="left"/>
        <w:rPr>
          <w:rFonts w:ascii="宋体" w:hAnsi="宋体" w:cs="宋体"/>
          <w:kern w:val="0"/>
          <w:szCs w:val="21"/>
        </w:rPr>
      </w:pPr>
      <w:r>
        <w:rPr>
          <w:rFonts w:hint="eastAsia" w:ascii="宋体" w:hAnsi="宋体" w:cs="宋体"/>
          <w:kern w:val="0"/>
          <w:szCs w:val="21"/>
        </w:rPr>
        <w:t>评委独立进行评分，填写“商务评分表”；</w:t>
      </w:r>
    </w:p>
    <w:p>
      <w:pPr>
        <w:widowControl/>
        <w:numPr>
          <w:ilvl w:val="0"/>
          <w:numId w:val="5"/>
        </w:numPr>
        <w:tabs>
          <w:tab w:val="left" w:pos="720"/>
        </w:tabs>
        <w:snapToGrid w:val="0"/>
        <w:spacing w:line="360" w:lineRule="auto"/>
        <w:jc w:val="left"/>
        <w:rPr>
          <w:rFonts w:ascii="宋体" w:hAnsi="宋体" w:cs="宋体"/>
          <w:kern w:val="0"/>
          <w:szCs w:val="21"/>
        </w:rPr>
      </w:pPr>
      <w:r>
        <w:rPr>
          <w:rFonts w:hint="eastAsia" w:ascii="宋体" w:hAnsi="宋体" w:cs="宋体"/>
          <w:kern w:val="0"/>
          <w:szCs w:val="21"/>
        </w:rPr>
        <w:t>评分标准：按“商务评分表”中的分值进行评分；</w:t>
      </w:r>
    </w:p>
    <w:p>
      <w:pPr>
        <w:widowControl/>
        <w:numPr>
          <w:ilvl w:val="0"/>
          <w:numId w:val="5"/>
        </w:numPr>
        <w:tabs>
          <w:tab w:val="left" w:pos="720"/>
        </w:tabs>
        <w:snapToGrid w:val="0"/>
        <w:spacing w:line="360" w:lineRule="auto"/>
        <w:jc w:val="left"/>
        <w:rPr>
          <w:rFonts w:ascii="宋体" w:hAnsi="宋体" w:cs="宋体"/>
          <w:kern w:val="0"/>
          <w:szCs w:val="21"/>
        </w:rPr>
      </w:pPr>
      <w:r>
        <w:rPr>
          <w:rFonts w:hint="eastAsia" w:ascii="宋体" w:hAnsi="宋体" w:cs="宋体"/>
          <w:kern w:val="0"/>
          <w:szCs w:val="21"/>
        </w:rPr>
        <w:t>将每一个评委的评分汇集，取算术平均值（精确到小数点后两位）为该参评人的商务得分。</w:t>
      </w:r>
    </w:p>
    <w:p>
      <w:pPr>
        <w:widowControl/>
        <w:numPr>
          <w:ilvl w:val="0"/>
          <w:numId w:val="3"/>
        </w:numPr>
        <w:tabs>
          <w:tab w:val="left" w:pos="720"/>
        </w:tabs>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价格评分</w:t>
      </w:r>
    </w:p>
    <w:p>
      <w:pPr>
        <w:widowControl/>
        <w:numPr>
          <w:ilvl w:val="0"/>
          <w:numId w:val="6"/>
        </w:numPr>
        <w:tabs>
          <w:tab w:val="left" w:pos="720"/>
        </w:tabs>
        <w:snapToGrid w:val="0"/>
        <w:spacing w:line="360" w:lineRule="auto"/>
        <w:jc w:val="left"/>
        <w:rPr>
          <w:rFonts w:ascii="宋体" w:hAnsi="宋体" w:cs="宋体"/>
          <w:kern w:val="0"/>
          <w:szCs w:val="21"/>
        </w:rPr>
      </w:pPr>
      <w:r>
        <w:rPr>
          <w:rFonts w:hint="eastAsia" w:ascii="宋体" w:hAnsi="宋体" w:cs="宋体"/>
          <w:kern w:val="0"/>
          <w:szCs w:val="21"/>
        </w:rPr>
        <w:t>由评审小组对所有参评文件的价格部分的响应进行审核和分析。</w:t>
      </w:r>
    </w:p>
    <w:p>
      <w:pPr>
        <w:widowControl/>
        <w:numPr>
          <w:ilvl w:val="0"/>
          <w:numId w:val="6"/>
        </w:numPr>
        <w:tabs>
          <w:tab w:val="left" w:pos="720"/>
        </w:tabs>
        <w:snapToGrid w:val="0"/>
        <w:spacing w:line="360" w:lineRule="auto"/>
        <w:jc w:val="left"/>
        <w:rPr>
          <w:rFonts w:ascii="宋体" w:hAnsi="宋体" w:cs="宋体"/>
          <w:kern w:val="0"/>
          <w:szCs w:val="21"/>
        </w:rPr>
      </w:pPr>
      <w:r>
        <w:rPr>
          <w:rFonts w:hint="eastAsia" w:ascii="宋体" w:hAnsi="宋体" w:cs="宋体"/>
          <w:kern w:val="0"/>
          <w:szCs w:val="21"/>
        </w:rPr>
        <w:t>基准价格分：以有效参评人中报价最低的参评报价为基准价，定其基准价格分为满分。</w:t>
      </w:r>
    </w:p>
    <w:p>
      <w:pPr>
        <w:widowControl/>
        <w:numPr>
          <w:ilvl w:val="0"/>
          <w:numId w:val="6"/>
        </w:numPr>
        <w:tabs>
          <w:tab w:val="left" w:pos="720"/>
        </w:tabs>
        <w:snapToGrid w:val="0"/>
        <w:spacing w:line="360" w:lineRule="auto"/>
        <w:jc w:val="left"/>
        <w:rPr>
          <w:rFonts w:ascii="宋体" w:hAnsi="宋体" w:cs="宋体"/>
          <w:kern w:val="0"/>
          <w:szCs w:val="21"/>
        </w:rPr>
      </w:pPr>
      <w:r>
        <w:rPr>
          <w:rFonts w:hint="eastAsia" w:ascii="宋体" w:hAnsi="宋体" w:cs="宋体"/>
          <w:kern w:val="0"/>
          <w:szCs w:val="21"/>
        </w:rPr>
        <w:t>参评人的价格得分=评审基准价÷参评报价×价格分值（精确到小数点后两位）。由此算出每个参评人的“价格得分”。</w:t>
      </w:r>
    </w:p>
    <w:p>
      <w:pPr>
        <w:widowControl/>
        <w:numPr>
          <w:ilvl w:val="0"/>
          <w:numId w:val="6"/>
        </w:numPr>
        <w:tabs>
          <w:tab w:val="left" w:pos="720"/>
        </w:tabs>
        <w:snapToGrid w:val="0"/>
        <w:spacing w:line="360" w:lineRule="auto"/>
        <w:jc w:val="left"/>
        <w:rPr>
          <w:rFonts w:ascii="宋体" w:hAnsi="宋体" w:cs="宋体"/>
          <w:kern w:val="0"/>
          <w:szCs w:val="21"/>
        </w:rPr>
      </w:pPr>
      <w:r>
        <w:rPr>
          <w:rFonts w:hint="eastAsia" w:ascii="宋体" w:hAnsi="宋体" w:cs="宋体"/>
          <w:kern w:val="0"/>
          <w:szCs w:val="21"/>
        </w:rPr>
        <w:t>评委检查每个参评人的价格评分计算情况，确认“价格得分”。</w:t>
      </w:r>
    </w:p>
    <w:p>
      <w:pPr>
        <w:widowControl/>
        <w:spacing w:line="360" w:lineRule="auto"/>
        <w:ind w:firstLine="421" w:firstLineChars="200"/>
        <w:jc w:val="left"/>
        <w:rPr>
          <w:rFonts w:ascii="宋体" w:hAnsi="宋体" w:cs="宋体"/>
          <w:kern w:val="0"/>
          <w:szCs w:val="21"/>
        </w:rPr>
      </w:pPr>
      <w:r>
        <w:rPr>
          <w:rFonts w:hint="eastAsia" w:ascii="宋体" w:hAnsi="宋体" w:cs="宋体"/>
          <w:b/>
          <w:bCs/>
          <w:kern w:val="0"/>
          <w:szCs w:val="21"/>
        </w:rPr>
        <w:t>二、</w:t>
      </w:r>
      <w:bookmarkStart w:id="12" w:name="_Toc484827211"/>
      <w:r>
        <w:rPr>
          <w:rFonts w:hint="eastAsia" w:ascii="宋体" w:hAnsi="宋体" w:cs="宋体"/>
          <w:b/>
          <w:bCs/>
          <w:kern w:val="0"/>
          <w:szCs w:val="21"/>
        </w:rPr>
        <w:t>综合得分的计算</w:t>
      </w:r>
      <w:bookmarkEnd w:id="12"/>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本项目的评审方法采用综合评分法，综合评分法评审步骤：先进行资格、符合性审查，再进行技术、商务及价格的详细评审。只有通过资格、符合性审查的</w:t>
      </w:r>
      <w:r>
        <w:rPr>
          <w:rFonts w:hint="eastAsia" w:ascii="宋体" w:hAnsi="宋体" w:cs="宋体"/>
          <w:kern w:val="28"/>
          <w:szCs w:val="21"/>
        </w:rPr>
        <w:t>参评</w:t>
      </w:r>
      <w:r>
        <w:rPr>
          <w:rFonts w:hint="eastAsia" w:ascii="宋体" w:hAnsi="宋体" w:cs="宋体"/>
          <w:kern w:val="0"/>
          <w:szCs w:val="21"/>
        </w:rPr>
        <w:t>人才能进入详细的评审。</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综合得分（精确到小数点后两位）=</w:t>
      </w:r>
      <w:bookmarkStart w:id="13" w:name="ScoreFormula"/>
      <w:r>
        <w:rPr>
          <w:rFonts w:hint="eastAsia" w:ascii="宋体" w:hAnsi="宋体" w:cs="Arial"/>
          <w:szCs w:val="21"/>
        </w:rPr>
        <w:t>技术得分+商务得分+价格得分</w:t>
      </w:r>
      <w:bookmarkEnd w:id="13"/>
      <w:r>
        <w:rPr>
          <w:rFonts w:hint="eastAsia" w:ascii="宋体" w:hAnsi="宋体" w:cs="Arial"/>
          <w:szCs w:val="21"/>
        </w:rPr>
        <w:t>。</w:t>
      </w:r>
      <w:r>
        <w:rPr>
          <w:rFonts w:hint="eastAsia" w:ascii="宋体" w:hAnsi="宋体"/>
          <w:bCs/>
          <w:szCs w:val="21"/>
        </w:rPr>
        <w:t>综合得分相同的，名次按技术评分由高到低顺序排列；综合得分相同且技术评分相同的，名次按商务评分由高到低顺序排列；综合得分相同、技术评分和商务评分均相同的，名次由评审价由低到高顺序排列。综合得分相同、技术评分、商务评分和评审价均相同的评审小组抽签确定。法律法规有明确规定的，以法律法规规定为准。</w:t>
      </w:r>
    </w:p>
    <w:p>
      <w:pPr>
        <w:widowControl/>
        <w:spacing w:line="360" w:lineRule="auto"/>
        <w:ind w:firstLine="421" w:firstLineChars="200"/>
        <w:jc w:val="left"/>
        <w:rPr>
          <w:rFonts w:ascii="宋体" w:hAnsi="宋体" w:cs="宋体"/>
          <w:b/>
          <w:bCs/>
          <w:kern w:val="0"/>
          <w:szCs w:val="21"/>
        </w:rPr>
      </w:pPr>
      <w:r>
        <w:rPr>
          <w:rFonts w:hint="eastAsia" w:ascii="宋体" w:hAnsi="宋体" w:cs="宋体"/>
          <w:b/>
          <w:bCs/>
          <w:kern w:val="0"/>
          <w:szCs w:val="21"/>
        </w:rPr>
        <w:t>三、确定成交人</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采购人将根据评审结果，确定成交人，同时向成交人发出书面《成交通知书》。</w:t>
      </w:r>
    </w:p>
    <w:p>
      <w:pPr>
        <w:adjustRightInd w:val="0"/>
        <w:snapToGrid w:val="0"/>
        <w:spacing w:line="360" w:lineRule="auto"/>
        <w:ind w:firstLine="421" w:firstLineChars="200"/>
        <w:rPr>
          <w:rFonts w:ascii="宋体" w:hAnsi="宋体" w:cs="Arial"/>
          <w:b/>
          <w:szCs w:val="21"/>
        </w:rPr>
      </w:pPr>
      <w:r>
        <w:rPr>
          <w:rFonts w:hint="eastAsia" w:ascii="宋体" w:hAnsi="宋体" w:cs="Arial"/>
          <w:b/>
          <w:szCs w:val="21"/>
        </w:rPr>
        <w:t>注：本评审办法入围</w:t>
      </w:r>
      <w:r>
        <w:rPr>
          <w:rFonts w:hint="eastAsia" w:ascii="宋体" w:hAnsi="宋体" w:cs="宋体"/>
          <w:b/>
          <w:kern w:val="28"/>
          <w:szCs w:val="21"/>
        </w:rPr>
        <w:t>参评</w:t>
      </w:r>
      <w:r>
        <w:rPr>
          <w:rFonts w:hint="eastAsia" w:ascii="宋体" w:hAnsi="宋体" w:cs="Arial"/>
          <w:b/>
          <w:szCs w:val="21"/>
        </w:rPr>
        <w:t>人指所有通过资格、符合性审查的</w:t>
      </w:r>
      <w:r>
        <w:rPr>
          <w:rFonts w:hint="eastAsia" w:ascii="宋体" w:hAnsi="宋体" w:cs="宋体"/>
          <w:b/>
          <w:kern w:val="28"/>
          <w:szCs w:val="21"/>
        </w:rPr>
        <w:t>参评</w:t>
      </w:r>
      <w:r>
        <w:rPr>
          <w:rFonts w:hint="eastAsia" w:ascii="宋体" w:hAnsi="宋体" w:cs="Arial"/>
          <w:b/>
          <w:szCs w:val="21"/>
        </w:rPr>
        <w:t>人。</w:t>
      </w:r>
    </w:p>
    <w:tbl>
      <w:tblPr>
        <w:tblStyle w:val="25"/>
        <w:tblW w:w="5000" w:type="pct"/>
        <w:tblCellSpacing w:w="15" w:type="dxa"/>
        <w:tblInd w:w="0" w:type="dxa"/>
        <w:tblLayout w:type="autofit"/>
        <w:tblCellMar>
          <w:top w:w="15" w:type="dxa"/>
          <w:left w:w="15" w:type="dxa"/>
          <w:bottom w:w="15" w:type="dxa"/>
          <w:right w:w="15" w:type="dxa"/>
        </w:tblCellMar>
      </w:tblPr>
      <w:tblGrid>
        <w:gridCol w:w="8396"/>
      </w:tblGrid>
      <w:tr>
        <w:tblPrEx>
          <w:tblCellMar>
            <w:top w:w="15" w:type="dxa"/>
            <w:left w:w="15" w:type="dxa"/>
            <w:bottom w:w="15" w:type="dxa"/>
            <w:right w:w="15" w:type="dxa"/>
          </w:tblCellMar>
        </w:tblPrEx>
        <w:trPr>
          <w:tblCellSpacing w:w="15" w:type="dxa"/>
        </w:trPr>
        <w:tc>
          <w:tcPr>
            <w:tcW w:w="0" w:type="auto"/>
            <w:noWrap w:val="0"/>
            <w:vAlign w:val="center"/>
          </w:tcPr>
          <w:p>
            <w:pPr>
              <w:pStyle w:val="7"/>
              <w:keepNext w:val="0"/>
              <w:keepLines w:val="0"/>
              <w:suppressLineNumbers w:val="0"/>
              <w:ind w:left="0" w:right="0"/>
              <w:jc w:val="center"/>
              <w:rPr>
                <w:rFonts w:hint="default"/>
                <w:sz w:val="36"/>
                <w:szCs w:val="36"/>
              </w:rPr>
            </w:pPr>
            <w:r>
              <w:rPr>
                <w:rFonts w:hint="default"/>
              </w:rPr>
              <w:br w:type="page"/>
            </w:r>
            <w:r>
              <w:rPr>
                <w:rStyle w:val="28"/>
                <w:rFonts w:hint="default"/>
                <w:sz w:val="36"/>
                <w:szCs w:val="36"/>
              </w:rPr>
              <w:t>资格</w:t>
            </w:r>
            <w:r>
              <w:rPr>
                <w:rStyle w:val="28"/>
                <w:rFonts w:hint="eastAsia"/>
                <w:sz w:val="36"/>
                <w:szCs w:val="36"/>
              </w:rPr>
              <w:t>性</w:t>
            </w:r>
            <w:r>
              <w:rPr>
                <w:rStyle w:val="28"/>
                <w:rFonts w:hint="default"/>
                <w:sz w:val="36"/>
                <w:szCs w:val="36"/>
              </w:rPr>
              <w:t>审查表</w:t>
            </w:r>
          </w:p>
        </w:tc>
      </w:tr>
    </w:tbl>
    <w:p>
      <w:pPr>
        <w:rPr>
          <w:vanish/>
        </w:rPr>
      </w:pPr>
    </w:p>
    <w:tbl>
      <w:tblPr>
        <w:tblStyle w:val="25"/>
        <w:tblW w:w="5000" w:type="pct"/>
        <w:tblCellSpacing w:w="15" w:type="dxa"/>
        <w:tblInd w:w="0" w:type="dxa"/>
        <w:tblLayout w:type="autofit"/>
        <w:tblCellMar>
          <w:top w:w="15" w:type="dxa"/>
          <w:left w:w="15" w:type="dxa"/>
          <w:bottom w:w="15" w:type="dxa"/>
          <w:right w:w="15" w:type="dxa"/>
        </w:tblCellMar>
      </w:tblPr>
      <w:tblGrid>
        <w:gridCol w:w="4301"/>
        <w:gridCol w:w="4095"/>
      </w:tblGrid>
      <w:tr>
        <w:tblPrEx>
          <w:tblCellMar>
            <w:top w:w="15" w:type="dxa"/>
            <w:left w:w="15" w:type="dxa"/>
            <w:bottom w:w="15" w:type="dxa"/>
            <w:right w:w="15" w:type="dxa"/>
          </w:tblCellMar>
        </w:tblPrEx>
        <w:trPr>
          <w:tblCellSpacing w:w="15" w:type="dxa"/>
        </w:trPr>
        <w:tc>
          <w:tcPr>
            <w:tcW w:w="0" w:type="auto"/>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项目名称：</w:t>
            </w:r>
          </w:p>
        </w:tc>
        <w:tc>
          <w:tcPr>
            <w:tcW w:w="4050" w:type="dxa"/>
            <w:noWrap w:val="0"/>
            <w:vAlign w:val="center"/>
          </w:tcPr>
          <w:p>
            <w:pPr>
              <w:keepNext w:val="0"/>
              <w:keepLines w:val="0"/>
              <w:suppressLineNumbers w:val="0"/>
              <w:spacing w:before="0" w:beforeAutospacing="0" w:after="0" w:afterAutospacing="0"/>
              <w:ind w:left="0" w:right="0" w:firstLine="420" w:firstLineChars="200"/>
              <w:rPr>
                <w:rFonts w:hint="default" w:ascii="宋体" w:hAnsi="宋体" w:cs="宋体"/>
                <w:sz w:val="24"/>
                <w:szCs w:val="20"/>
              </w:rPr>
            </w:pPr>
            <w:r>
              <w:rPr>
                <w:rFonts w:hint="eastAsia"/>
                <w:szCs w:val="20"/>
              </w:rPr>
              <w:t>评选编号</w:t>
            </w:r>
            <w:r>
              <w:rPr>
                <w:rFonts w:hint="default"/>
                <w:szCs w:val="20"/>
              </w:rPr>
              <w:t>:</w:t>
            </w:r>
          </w:p>
        </w:tc>
      </w:tr>
    </w:tbl>
    <w:p>
      <w:pPr>
        <w:rPr>
          <w:vanish/>
        </w:rPr>
      </w:pPr>
    </w:p>
    <w:tbl>
      <w:tblPr>
        <w:tblStyle w:val="25"/>
        <w:tblW w:w="5000"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4529"/>
        <w:gridCol w:w="1359"/>
        <w:gridCol w:w="1359"/>
        <w:gridCol w:w="1359"/>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31" w:type="pct"/>
            <w:tcBorders>
              <w:top w:val="outset" w:color="111111" w:sz="6" w:space="0"/>
              <w:left w:val="outset" w:color="111111" w:sz="6" w:space="0"/>
              <w:bottom w:val="outset" w:color="111111" w:sz="6" w:space="0"/>
              <w:right w:val="outset" w:color="111111" w:sz="6" w:space="0"/>
            </w:tcBorders>
            <w:noWrap/>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要求</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供应商1</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供应商2</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供应商3</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1.投标供应商应具备《中华人民共和国政府采购法》第二十二条规定的条件，提供下列材料： 具有独立承担民事责任的能力：是在中华人民共和国境内注册的法人或其他组织或自然人，投标时提交有效的营业执照（或事业法人登记证或社会团体登记证或民办非企业单位登记证或身份证等相关证明）副本复印件。（如国家另有规定的，则从其规定。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2.具有良好的商业信誉和健全的财务会计制度：提供202</w:t>
            </w:r>
            <w:r>
              <w:rPr>
                <w:rFonts w:hint="eastAsia" w:ascii="Arial" w:hAnsi="Arial" w:cs="Arial"/>
                <w:szCs w:val="20"/>
              </w:rPr>
              <w:t>2</w:t>
            </w:r>
            <w:r>
              <w:rPr>
                <w:rFonts w:hint="default" w:ascii="Arial" w:hAnsi="Arial" w:cs="Arial"/>
                <w:szCs w:val="20"/>
              </w:rPr>
              <w:t>年度财务状况报告或基本开户行出具的资信证明，或最近一期财务报表（适用在上一年度或本财务年度成立的法人或其他组织），或人民银行出具的个人信用报告（适用于自然人）。</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3.有依法缴纳税收和社会保障资金的良好记录：提供投标截止日前</w:t>
            </w:r>
            <w:r>
              <w:rPr>
                <w:rFonts w:hint="eastAsia" w:ascii="Arial" w:hAnsi="Arial" w:cs="Arial"/>
                <w:szCs w:val="20"/>
              </w:rPr>
              <w:t>1年</w:t>
            </w:r>
            <w:r>
              <w:rPr>
                <w:rFonts w:hint="default" w:ascii="Arial" w:hAnsi="Arial" w:cs="Arial"/>
                <w:szCs w:val="20"/>
              </w:rPr>
              <w:t>内</w:t>
            </w:r>
            <w:r>
              <w:rPr>
                <w:rFonts w:hint="eastAsia" w:ascii="Arial" w:hAnsi="Arial" w:cs="Arial"/>
                <w:szCs w:val="20"/>
              </w:rPr>
              <w:t>连续3</w:t>
            </w:r>
            <w:r>
              <w:rPr>
                <w:rFonts w:hint="default" w:ascii="Arial" w:hAnsi="Arial" w:cs="Arial"/>
                <w:szCs w:val="20"/>
              </w:rPr>
              <w:t>个月依法缴纳税收和社会保障资金的相关材料。如依法免税或不需要缴纳社会保障资金的，提供相应证明材料。</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4.具有履行合同所必须的设备和专业技术能力：按投标文件格式填报设备及专业技术能力情况或提供《供应商资格声明函》。</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5.参加采购活动前三年内，在经营活动中没有重大违法记录：提供《供应商资格声明函》。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6.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7.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提供《供应商资格声明函》。</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Cs w:val="20"/>
              </w:rPr>
              <w:t>8</w:t>
            </w:r>
            <w:r>
              <w:rPr>
                <w:rFonts w:hint="default" w:ascii="Arial" w:hAnsi="Arial" w:cs="Arial"/>
                <w:szCs w:val="20"/>
              </w:rPr>
              <w:t>.供应商已按</w:t>
            </w:r>
            <w:r>
              <w:rPr>
                <w:rFonts w:hint="eastAsia" w:ascii="Arial" w:hAnsi="Arial" w:cs="Arial"/>
                <w:szCs w:val="20"/>
              </w:rPr>
              <w:t>评选</w:t>
            </w:r>
            <w:r>
              <w:rPr>
                <w:rFonts w:hint="default" w:ascii="Arial" w:hAnsi="Arial" w:cs="Arial"/>
                <w:szCs w:val="20"/>
              </w:rPr>
              <w:t>公告及</w:t>
            </w:r>
            <w:r>
              <w:rPr>
                <w:rFonts w:hint="eastAsia" w:ascii="Arial" w:hAnsi="Arial" w:cs="Arial"/>
                <w:szCs w:val="20"/>
              </w:rPr>
              <w:t>评选</w:t>
            </w:r>
            <w:r>
              <w:rPr>
                <w:rFonts w:hint="default" w:ascii="Arial" w:hAnsi="Arial" w:cs="Arial"/>
                <w:szCs w:val="20"/>
              </w:rPr>
              <w:t>文件的规定获取了招标文件。（提供《供应商资格声明函》）</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Cs w:val="20"/>
              </w:rPr>
              <w:t>9</w:t>
            </w:r>
            <w:r>
              <w:rPr>
                <w:rFonts w:hint="default" w:ascii="Arial" w:hAnsi="Arial" w:cs="Arial"/>
                <w:szCs w:val="20"/>
              </w:rPr>
              <w:t>.本项目不接受联合体投标。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不通过原因</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无</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无</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无</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37" w:hRule="atLeast"/>
        </w:trPr>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结论</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78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bl>
    <w:p>
      <w:pPr>
        <w:pStyle w:val="7"/>
      </w:pPr>
      <w:r>
        <w:rPr>
          <w:rFonts w:hint="eastAsia"/>
        </w:rPr>
        <w:t>专家签名：</w:t>
      </w:r>
    </w:p>
    <w:tbl>
      <w:tblPr>
        <w:tblStyle w:val="25"/>
        <w:tblW w:w="5000" w:type="pct"/>
        <w:tblCellSpacing w:w="15" w:type="dxa"/>
        <w:tblInd w:w="0" w:type="dxa"/>
        <w:tblLayout w:type="autofit"/>
        <w:tblCellMar>
          <w:top w:w="15" w:type="dxa"/>
          <w:left w:w="15" w:type="dxa"/>
          <w:bottom w:w="15" w:type="dxa"/>
          <w:right w:w="15" w:type="dxa"/>
        </w:tblCellMar>
      </w:tblPr>
      <w:tblGrid>
        <w:gridCol w:w="8396"/>
      </w:tblGrid>
      <w:tr>
        <w:tblPrEx>
          <w:tblCellMar>
            <w:top w:w="15" w:type="dxa"/>
            <w:left w:w="15" w:type="dxa"/>
            <w:bottom w:w="15" w:type="dxa"/>
            <w:right w:w="15" w:type="dxa"/>
          </w:tblCellMar>
        </w:tblPrEx>
        <w:trPr>
          <w:trHeight w:val="564" w:hRule="atLeast"/>
          <w:tblCellSpacing w:w="15" w:type="dxa"/>
        </w:trPr>
        <w:tc>
          <w:tcPr>
            <w:tcW w:w="0" w:type="auto"/>
            <w:noWrap w:val="0"/>
            <w:vAlign w:val="center"/>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Fonts w:hint="default" w:ascii="仿宋_GB2312" w:hAnsi="仿宋_GB2312" w:eastAsia="仿宋_GB2312" w:cs="仿宋_GB2312"/>
                <w:sz w:val="28"/>
                <w:szCs w:val="28"/>
              </w:rPr>
              <w:br w:type="page"/>
            </w:r>
            <w:r>
              <w:rPr>
                <w:rStyle w:val="28"/>
                <w:rFonts w:hint="default"/>
                <w:sz w:val="36"/>
                <w:szCs w:val="36"/>
              </w:rPr>
              <w:t>符合性审查表</w:t>
            </w:r>
          </w:p>
        </w:tc>
      </w:tr>
    </w:tbl>
    <w:p>
      <w:pPr>
        <w:rPr>
          <w:vanish/>
        </w:rPr>
      </w:pPr>
    </w:p>
    <w:tbl>
      <w:tblPr>
        <w:tblStyle w:val="25"/>
        <w:tblW w:w="4933" w:type="pct"/>
        <w:tblCellSpacing w:w="15" w:type="dxa"/>
        <w:tblInd w:w="0" w:type="dxa"/>
        <w:tblLayout w:type="autofit"/>
        <w:tblCellMar>
          <w:top w:w="15" w:type="dxa"/>
          <w:left w:w="15" w:type="dxa"/>
          <w:bottom w:w="15" w:type="dxa"/>
          <w:right w:w="15" w:type="dxa"/>
        </w:tblCellMar>
      </w:tblPr>
      <w:tblGrid>
        <w:gridCol w:w="4423"/>
        <w:gridCol w:w="3860"/>
      </w:tblGrid>
      <w:tr>
        <w:tblPrEx>
          <w:tblCellMar>
            <w:top w:w="15" w:type="dxa"/>
            <w:left w:w="15" w:type="dxa"/>
            <w:bottom w:w="15" w:type="dxa"/>
            <w:right w:w="15" w:type="dxa"/>
          </w:tblCellMar>
        </w:tblPrEx>
        <w:trPr>
          <w:trHeight w:val="222" w:hRule="atLeast"/>
          <w:tblCellSpacing w:w="15" w:type="dxa"/>
        </w:trPr>
        <w:tc>
          <w:tcPr>
            <w:tcW w:w="0" w:type="auto"/>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项目名称：</w:t>
            </w:r>
          </w:p>
        </w:tc>
        <w:tc>
          <w:tcPr>
            <w:tcW w:w="0" w:type="auto"/>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eastAsia"/>
                <w:szCs w:val="20"/>
              </w:rPr>
              <w:t>评选编号</w:t>
            </w:r>
            <w:r>
              <w:rPr>
                <w:rFonts w:hint="default"/>
                <w:szCs w:val="20"/>
              </w:rPr>
              <w:t>:</w:t>
            </w:r>
          </w:p>
        </w:tc>
      </w:tr>
    </w:tbl>
    <w:p>
      <w:pPr>
        <w:rPr>
          <w:vanish/>
        </w:rPr>
      </w:pPr>
    </w:p>
    <w:tbl>
      <w:tblPr>
        <w:tblStyle w:val="25"/>
        <w:tblW w:w="4969"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57" w:type="dxa"/>
          <w:bottom w:w="57" w:type="dxa"/>
          <w:right w:w="57" w:type="dxa"/>
        </w:tblCellMar>
      </w:tblPr>
      <w:tblGrid>
        <w:gridCol w:w="5161"/>
        <w:gridCol w:w="1060"/>
        <w:gridCol w:w="1092"/>
        <w:gridCol w:w="105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rPr>
          <w:trHeight w:val="558" w:hRule="atLeast"/>
        </w:trPr>
        <w:tc>
          <w:tcPr>
            <w:tcW w:w="3082" w:type="pct"/>
            <w:tcBorders>
              <w:top w:val="outset" w:color="111111" w:sz="6" w:space="0"/>
              <w:left w:val="outset" w:color="111111" w:sz="6" w:space="0"/>
              <w:bottom w:val="outset" w:color="111111" w:sz="6" w:space="0"/>
              <w:right w:val="outset" w:color="111111" w:sz="6" w:space="0"/>
            </w:tcBorders>
            <w:noWrap/>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要求</w:t>
            </w:r>
          </w:p>
        </w:tc>
        <w:tc>
          <w:tcPr>
            <w:tcW w:w="63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供应商1</w:t>
            </w:r>
          </w:p>
        </w:tc>
        <w:tc>
          <w:tcPr>
            <w:tcW w:w="65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供应商2</w:t>
            </w:r>
          </w:p>
        </w:tc>
        <w:tc>
          <w:tcPr>
            <w:tcW w:w="63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供应商3</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rPr>
          <w:trHeight w:val="633" w:hRule="atLeast"/>
        </w:trPr>
        <w:tc>
          <w:tcPr>
            <w:tcW w:w="308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1.投标函：已按规定格式编制及盖章、签署，投标有效期满足招标文件要求。</w:t>
            </w:r>
          </w:p>
        </w:tc>
        <w:tc>
          <w:tcPr>
            <w:tcW w:w="63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5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3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rPr>
          <w:trHeight w:val="603" w:hRule="atLeast"/>
        </w:trPr>
        <w:tc>
          <w:tcPr>
            <w:tcW w:w="308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2.法定代表人证明书及授权委托书（如适用）：已经盖章、签署，有效期涵盖投标有效期。</w:t>
            </w:r>
          </w:p>
        </w:tc>
        <w:tc>
          <w:tcPr>
            <w:tcW w:w="63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5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3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rPr>
          <w:trHeight w:val="618" w:hRule="atLeast"/>
        </w:trPr>
        <w:tc>
          <w:tcPr>
            <w:tcW w:w="308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3.投标文件内容、签署、盖章：投标文件内容完整，无重大错漏，并已按招标文件要求盖章、签署。</w:t>
            </w:r>
          </w:p>
        </w:tc>
        <w:tc>
          <w:tcPr>
            <w:tcW w:w="63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5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3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c>
          <w:tcPr>
            <w:tcW w:w="308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4.满足招标文件实质性要求：已满足招标文件实质性要求（含带</w:t>
            </w:r>
            <w:r>
              <w:rPr>
                <w:rFonts w:hint="eastAsia" w:ascii="宋体" w:hAnsi="宋体" w:cs="宋体"/>
                <w:szCs w:val="20"/>
              </w:rPr>
              <w:t>★</w:t>
            </w:r>
            <w:r>
              <w:rPr>
                <w:rFonts w:hint="default" w:ascii="Arial" w:hAnsi="Arial" w:cs="Arial"/>
                <w:szCs w:val="20"/>
              </w:rPr>
              <w:t>号的条款和指标）。</w:t>
            </w:r>
          </w:p>
        </w:tc>
        <w:tc>
          <w:tcPr>
            <w:tcW w:w="63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5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3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c>
          <w:tcPr>
            <w:tcW w:w="308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5.投标方案：如招标文件不接受备选方案时，</w:t>
            </w:r>
            <w:r>
              <w:rPr>
                <w:rFonts w:hint="eastAsia" w:ascii="Arial" w:hAnsi="Arial" w:cs="Arial"/>
                <w:szCs w:val="20"/>
              </w:rPr>
              <w:t>供应商</w:t>
            </w:r>
            <w:r>
              <w:rPr>
                <w:rFonts w:hint="default" w:ascii="Arial" w:hAnsi="Arial" w:cs="Arial"/>
                <w:szCs w:val="20"/>
              </w:rPr>
              <w:t>提供的投标方案及报价方案固定；如招标文件接受备选方案的，提交多于一个方案时已明确主选方案。</w:t>
            </w:r>
          </w:p>
        </w:tc>
        <w:tc>
          <w:tcPr>
            <w:tcW w:w="63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5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3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c>
          <w:tcPr>
            <w:tcW w:w="308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6.投标保证金（如适用）：已按招标文件要求交纳足额投标保证金，符合招标文件规定。</w:t>
            </w:r>
          </w:p>
        </w:tc>
        <w:tc>
          <w:tcPr>
            <w:tcW w:w="63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5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3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308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7.投标报价：1.投标报价（含单项报价，如有要求）确定且未超过招标文件中相应的预算金额或者最高限价。 2.投标报价中对投标标的的主体、关键内容无漏项、缺项。 3.如有，对</w:t>
            </w:r>
            <w:r>
              <w:rPr>
                <w:rFonts w:hint="eastAsia" w:ascii="Arial" w:hAnsi="Arial" w:cs="Arial"/>
                <w:szCs w:val="20"/>
              </w:rPr>
              <w:t>评选小组</w:t>
            </w:r>
            <w:r>
              <w:rPr>
                <w:rFonts w:hint="default" w:ascii="Arial" w:hAnsi="Arial" w:cs="Arial"/>
                <w:szCs w:val="20"/>
              </w:rPr>
              <w:t>按照招标文件规定修正后的投标报价，</w:t>
            </w:r>
            <w:r>
              <w:rPr>
                <w:rFonts w:hint="eastAsia" w:ascii="Arial" w:hAnsi="Arial" w:cs="Arial"/>
                <w:szCs w:val="20"/>
              </w:rPr>
              <w:t>供应商</w:t>
            </w:r>
            <w:r>
              <w:rPr>
                <w:rFonts w:hint="default" w:ascii="Arial" w:hAnsi="Arial" w:cs="Arial"/>
                <w:szCs w:val="20"/>
              </w:rPr>
              <w:t>按规定书面确认。 4.如</w:t>
            </w:r>
            <w:r>
              <w:rPr>
                <w:rFonts w:hint="eastAsia" w:ascii="Arial" w:hAnsi="Arial" w:cs="Arial"/>
                <w:szCs w:val="20"/>
              </w:rPr>
              <w:t>评选小组</w:t>
            </w:r>
            <w:r>
              <w:rPr>
                <w:rFonts w:hint="default" w:ascii="Arial" w:hAnsi="Arial" w:cs="Arial"/>
                <w:szCs w:val="20"/>
              </w:rPr>
              <w:t>认为</w:t>
            </w:r>
            <w:r>
              <w:rPr>
                <w:rFonts w:hint="eastAsia" w:ascii="Arial" w:hAnsi="Arial" w:cs="Arial"/>
                <w:szCs w:val="20"/>
              </w:rPr>
              <w:t>供应商</w:t>
            </w:r>
            <w:r>
              <w:rPr>
                <w:rFonts w:hint="default" w:ascii="Arial" w:hAnsi="Arial" w:cs="Arial"/>
                <w:szCs w:val="20"/>
              </w:rPr>
              <w:t>的报价明显低于其他通过符合性审查</w:t>
            </w:r>
            <w:r>
              <w:rPr>
                <w:rFonts w:hint="eastAsia" w:ascii="Arial" w:hAnsi="Arial" w:cs="Arial"/>
                <w:szCs w:val="20"/>
              </w:rPr>
              <w:t>供应商</w:t>
            </w:r>
            <w:r>
              <w:rPr>
                <w:rFonts w:hint="default" w:ascii="Arial" w:hAnsi="Arial" w:cs="Arial"/>
                <w:szCs w:val="20"/>
              </w:rPr>
              <w:t>的报价，有可能影响项目质量或者不能诚信履约的，将要求其在</w:t>
            </w:r>
            <w:r>
              <w:rPr>
                <w:rFonts w:hint="eastAsia" w:ascii="Arial" w:hAnsi="Arial" w:cs="Arial"/>
                <w:szCs w:val="20"/>
              </w:rPr>
              <w:t>评审</w:t>
            </w:r>
            <w:r>
              <w:rPr>
                <w:rFonts w:hint="default" w:ascii="Arial" w:hAnsi="Arial" w:cs="Arial"/>
                <w:szCs w:val="20"/>
              </w:rPr>
              <w:t>现场合理的时间内提供书面说明，必要时提交相关证明材料。</w:t>
            </w:r>
            <w:r>
              <w:rPr>
                <w:rFonts w:hint="eastAsia" w:ascii="Arial" w:hAnsi="Arial" w:cs="Arial"/>
                <w:szCs w:val="20"/>
              </w:rPr>
              <w:t>供应商</w:t>
            </w:r>
            <w:r>
              <w:rPr>
                <w:rFonts w:hint="default" w:ascii="Arial" w:hAnsi="Arial" w:cs="Arial"/>
                <w:szCs w:val="20"/>
              </w:rPr>
              <w:t>能证明其报价合理性。</w:t>
            </w:r>
          </w:p>
        </w:tc>
        <w:tc>
          <w:tcPr>
            <w:tcW w:w="63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5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3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rPr>
          <w:trHeight w:val="483" w:hRule="atLeast"/>
        </w:trPr>
        <w:tc>
          <w:tcPr>
            <w:tcW w:w="308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8.附加条件：投标文件未含有采购人不能接受的附加条件。</w:t>
            </w:r>
          </w:p>
        </w:tc>
        <w:tc>
          <w:tcPr>
            <w:tcW w:w="63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5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3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rPr>
          <w:trHeight w:val="603" w:hRule="atLeast"/>
        </w:trPr>
        <w:tc>
          <w:tcPr>
            <w:tcW w:w="308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9.串通投标：未出现招标文件所列的视为串通投标的情形。</w:t>
            </w:r>
          </w:p>
        </w:tc>
        <w:tc>
          <w:tcPr>
            <w:tcW w:w="63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5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3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rPr>
          <w:trHeight w:val="865" w:hRule="atLeast"/>
        </w:trPr>
        <w:tc>
          <w:tcPr>
            <w:tcW w:w="308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10.无效情形：1.未发现存在招标文件中规定的其它无效条款情形。 2.未发现存在法律、法规、规章规定的投标无效情形。</w:t>
            </w:r>
          </w:p>
        </w:tc>
        <w:tc>
          <w:tcPr>
            <w:tcW w:w="63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5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3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c>
          <w:tcPr>
            <w:tcW w:w="308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结论</w:t>
            </w:r>
          </w:p>
        </w:tc>
        <w:tc>
          <w:tcPr>
            <w:tcW w:w="63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52"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63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bl>
    <w:p>
      <w:pPr>
        <w:pStyle w:val="7"/>
        <w:rPr>
          <w:szCs w:val="21"/>
        </w:rPr>
      </w:pPr>
      <w:r>
        <w:rPr>
          <w:rFonts w:hint="eastAsia"/>
          <w:szCs w:val="21"/>
        </w:rPr>
        <w:t>专家签名：</w:t>
      </w:r>
    </w:p>
    <w:tbl>
      <w:tblPr>
        <w:tblStyle w:val="25"/>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907"/>
        <w:gridCol w:w="555"/>
        <w:gridCol w:w="446"/>
        <w:gridCol w:w="3920"/>
        <w:gridCol w:w="922"/>
        <w:gridCol w:w="945"/>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blHeader/>
          <w:jc w:val="center"/>
        </w:trPr>
        <w:tc>
          <w:tcPr>
            <w:tcW w:w="503" w:type="dxa"/>
            <w:noWrap w:val="0"/>
            <w:vAlign w:val="center"/>
          </w:tcPr>
          <w:p>
            <w:pPr>
              <w:keepNext w:val="0"/>
              <w:keepLines w:val="0"/>
              <w:widowControl/>
              <w:suppressLineNumbers w:val="0"/>
              <w:tabs>
                <w:tab w:val="left" w:pos="567"/>
              </w:tabs>
              <w:spacing w:before="0" w:beforeAutospacing="0" w:after="156" w:afterLines="50" w:afterAutospacing="0" w:line="360" w:lineRule="auto"/>
              <w:ind w:left="0" w:right="0"/>
              <w:jc w:val="center"/>
              <w:rPr>
                <w:rFonts w:hint="default"/>
                <w:b/>
                <w:bCs/>
                <w:sz w:val="24"/>
                <w:szCs w:val="20"/>
              </w:rPr>
            </w:pPr>
            <w:r>
              <w:rPr>
                <w:rFonts w:hint="default" w:ascii="宋体" w:hAnsi="宋体" w:cs="宋体"/>
                <w:kern w:val="0"/>
                <w:sz w:val="24"/>
                <w:szCs w:val="20"/>
              </w:rPr>
              <w:br w:type="page"/>
            </w:r>
            <w:bookmarkStart w:id="14" w:name="GradeForm1_sGradeType"/>
            <w:r>
              <w:rPr>
                <w:rFonts w:hint="eastAsia" w:ascii="宋体" w:hAnsi="宋体"/>
                <w:b/>
                <w:bCs/>
                <w:sz w:val="28"/>
                <w:szCs w:val="20"/>
              </w:rPr>
              <w:t>项目评分表</w:t>
            </w:r>
            <w:r>
              <w:rPr>
                <w:rFonts w:hint="eastAsia"/>
                <w:b/>
                <w:bCs/>
                <w:sz w:val="24"/>
                <w:szCs w:val="20"/>
              </w:rPr>
              <w:t>类别</w:t>
            </w:r>
          </w:p>
        </w:tc>
        <w:tc>
          <w:tcPr>
            <w:tcW w:w="907" w:type="dxa"/>
            <w:noWrap w:val="0"/>
            <w:vAlign w:val="center"/>
          </w:tcPr>
          <w:p>
            <w:pPr>
              <w:keepNext w:val="0"/>
              <w:keepLines w:val="0"/>
              <w:widowControl/>
              <w:suppressLineNumbers w:val="0"/>
              <w:tabs>
                <w:tab w:val="left" w:pos="567"/>
              </w:tabs>
              <w:spacing w:before="0" w:beforeAutospacing="0" w:after="156" w:afterLines="50" w:afterAutospacing="0" w:line="360" w:lineRule="auto"/>
              <w:ind w:left="0" w:right="0"/>
              <w:jc w:val="center"/>
              <w:rPr>
                <w:rFonts w:hint="default"/>
                <w:b/>
                <w:bCs/>
                <w:sz w:val="24"/>
                <w:szCs w:val="20"/>
              </w:rPr>
            </w:pPr>
            <w:r>
              <w:rPr>
                <w:rFonts w:hint="eastAsia"/>
                <w:b/>
                <w:bCs/>
                <w:sz w:val="24"/>
                <w:szCs w:val="20"/>
              </w:rPr>
              <w:t>评分项目</w:t>
            </w:r>
          </w:p>
        </w:tc>
        <w:tc>
          <w:tcPr>
            <w:tcW w:w="555" w:type="dxa"/>
            <w:noWrap w:val="0"/>
            <w:vAlign w:val="center"/>
          </w:tcPr>
          <w:p>
            <w:pPr>
              <w:keepNext w:val="0"/>
              <w:keepLines w:val="0"/>
              <w:widowControl/>
              <w:suppressLineNumbers w:val="0"/>
              <w:tabs>
                <w:tab w:val="left" w:pos="567"/>
              </w:tabs>
              <w:spacing w:before="0" w:beforeAutospacing="0" w:after="156" w:afterLines="50" w:afterAutospacing="0" w:line="360" w:lineRule="auto"/>
              <w:ind w:left="0" w:right="0"/>
              <w:jc w:val="center"/>
              <w:rPr>
                <w:rFonts w:hint="default"/>
                <w:b/>
                <w:bCs/>
                <w:sz w:val="24"/>
                <w:szCs w:val="20"/>
              </w:rPr>
            </w:pPr>
            <w:r>
              <w:rPr>
                <w:rFonts w:hint="eastAsia"/>
                <w:b/>
                <w:bCs/>
                <w:sz w:val="24"/>
                <w:szCs w:val="20"/>
              </w:rPr>
              <w:t>权重</w:t>
            </w:r>
          </w:p>
        </w:tc>
        <w:tc>
          <w:tcPr>
            <w:tcW w:w="446" w:type="dxa"/>
            <w:noWrap w:val="0"/>
            <w:vAlign w:val="center"/>
          </w:tcPr>
          <w:p>
            <w:pPr>
              <w:keepNext w:val="0"/>
              <w:keepLines w:val="0"/>
              <w:widowControl/>
              <w:suppressLineNumbers w:val="0"/>
              <w:tabs>
                <w:tab w:val="left" w:pos="567"/>
              </w:tabs>
              <w:spacing w:before="0" w:beforeAutospacing="0" w:after="156" w:afterLines="50" w:afterAutospacing="0" w:line="360" w:lineRule="auto"/>
              <w:ind w:left="0" w:right="0"/>
              <w:jc w:val="center"/>
              <w:rPr>
                <w:rFonts w:hint="default"/>
                <w:b/>
                <w:bCs/>
                <w:sz w:val="24"/>
                <w:szCs w:val="20"/>
              </w:rPr>
            </w:pPr>
            <w:r>
              <w:rPr>
                <w:rFonts w:hint="eastAsia"/>
                <w:b/>
                <w:bCs/>
                <w:sz w:val="24"/>
                <w:szCs w:val="20"/>
              </w:rPr>
              <w:t>分值</w:t>
            </w:r>
          </w:p>
        </w:tc>
        <w:tc>
          <w:tcPr>
            <w:tcW w:w="3920" w:type="dxa"/>
            <w:noWrap w:val="0"/>
            <w:vAlign w:val="center"/>
          </w:tcPr>
          <w:p>
            <w:pPr>
              <w:keepNext w:val="0"/>
              <w:keepLines w:val="0"/>
              <w:widowControl/>
              <w:suppressLineNumbers w:val="0"/>
              <w:tabs>
                <w:tab w:val="left" w:pos="567"/>
              </w:tabs>
              <w:spacing w:before="0" w:beforeAutospacing="0" w:after="156" w:afterLines="50" w:afterAutospacing="0" w:line="360" w:lineRule="auto"/>
              <w:ind w:left="0" w:right="0"/>
              <w:jc w:val="center"/>
              <w:rPr>
                <w:rFonts w:hint="default"/>
                <w:b/>
                <w:bCs/>
                <w:sz w:val="24"/>
                <w:szCs w:val="20"/>
              </w:rPr>
            </w:pPr>
            <w:r>
              <w:rPr>
                <w:rFonts w:hint="eastAsia"/>
                <w:b/>
                <w:bCs/>
                <w:sz w:val="24"/>
                <w:szCs w:val="20"/>
              </w:rPr>
              <w:t>评分参考及范围</w:t>
            </w:r>
          </w:p>
        </w:tc>
        <w:tc>
          <w:tcPr>
            <w:tcW w:w="922" w:type="dxa"/>
            <w:noWrap w:val="0"/>
            <w:vAlign w:val="center"/>
          </w:tcPr>
          <w:p>
            <w:pPr>
              <w:keepNext w:val="0"/>
              <w:keepLines w:val="0"/>
              <w:widowControl/>
              <w:suppressLineNumbers w:val="0"/>
              <w:tabs>
                <w:tab w:val="left" w:pos="567"/>
              </w:tabs>
              <w:spacing w:before="0" w:beforeAutospacing="0" w:after="156" w:afterLines="50" w:afterAutospacing="0" w:line="360" w:lineRule="auto"/>
              <w:ind w:left="0" w:right="0"/>
              <w:jc w:val="center"/>
              <w:rPr>
                <w:rFonts w:hint="default" w:eastAsia="Times New Roman"/>
                <w:szCs w:val="20"/>
                <w:lang w:eastAsia="zh-Hans"/>
              </w:rPr>
            </w:pPr>
            <w:r>
              <w:rPr>
                <w:rFonts w:hint="eastAsia"/>
                <w:szCs w:val="20"/>
              </w:rPr>
              <w:t>供应商1</w:t>
            </w:r>
            <w:r>
              <w:rPr>
                <w:rFonts w:hint="eastAsia" w:ascii="宋体" w:hAnsi="宋体" w:cs="宋体"/>
                <w:b/>
                <w:szCs w:val="21"/>
                <w:lang w:eastAsia="zh-Hans"/>
              </w:rPr>
              <w:t>得分</w:t>
            </w:r>
          </w:p>
        </w:tc>
        <w:tc>
          <w:tcPr>
            <w:tcW w:w="945" w:type="dxa"/>
            <w:noWrap w:val="0"/>
            <w:vAlign w:val="center"/>
          </w:tcPr>
          <w:p>
            <w:pPr>
              <w:keepNext w:val="0"/>
              <w:keepLines w:val="0"/>
              <w:widowControl/>
              <w:suppressLineNumbers w:val="0"/>
              <w:tabs>
                <w:tab w:val="left" w:pos="567"/>
              </w:tabs>
              <w:spacing w:before="0" w:beforeAutospacing="0" w:after="156" w:afterLines="50" w:afterAutospacing="0" w:line="360" w:lineRule="auto"/>
              <w:ind w:left="0" w:right="0"/>
              <w:jc w:val="center"/>
              <w:rPr>
                <w:rFonts w:hint="default" w:eastAsia="Times New Roman"/>
                <w:szCs w:val="20"/>
                <w:lang w:eastAsia="zh-Hans"/>
              </w:rPr>
            </w:pPr>
            <w:r>
              <w:rPr>
                <w:rFonts w:hint="eastAsia"/>
                <w:szCs w:val="20"/>
              </w:rPr>
              <w:t>供应商2</w:t>
            </w:r>
            <w:r>
              <w:rPr>
                <w:rFonts w:hint="eastAsia" w:ascii="宋体" w:hAnsi="宋体" w:cs="宋体"/>
                <w:b/>
                <w:szCs w:val="21"/>
                <w:lang w:eastAsia="zh-Hans"/>
              </w:rPr>
              <w:t>得分</w:t>
            </w:r>
          </w:p>
        </w:tc>
        <w:tc>
          <w:tcPr>
            <w:tcW w:w="860" w:type="dxa"/>
            <w:noWrap w:val="0"/>
            <w:vAlign w:val="center"/>
          </w:tcPr>
          <w:p>
            <w:pPr>
              <w:keepNext w:val="0"/>
              <w:keepLines w:val="0"/>
              <w:widowControl/>
              <w:suppressLineNumbers w:val="0"/>
              <w:tabs>
                <w:tab w:val="left" w:pos="567"/>
              </w:tabs>
              <w:spacing w:before="0" w:beforeAutospacing="0" w:after="156" w:afterLines="50" w:afterAutospacing="0" w:line="360" w:lineRule="auto"/>
              <w:ind w:left="0" w:right="0"/>
              <w:jc w:val="center"/>
              <w:rPr>
                <w:rFonts w:hint="default" w:eastAsia="Times New Roman"/>
                <w:szCs w:val="20"/>
                <w:lang w:eastAsia="zh-Hans"/>
              </w:rPr>
            </w:pPr>
            <w:r>
              <w:rPr>
                <w:rFonts w:hint="eastAsia"/>
                <w:szCs w:val="20"/>
              </w:rPr>
              <w:t>供应商3</w:t>
            </w:r>
            <w:r>
              <w:rPr>
                <w:rFonts w:hint="eastAsia" w:ascii="宋体" w:hAnsi="宋体" w:cs="宋体"/>
                <w:b/>
                <w:szCs w:val="21"/>
                <w:lang w:eastAsia="zh-Hans"/>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503" w:type="dxa"/>
            <w:noWrap w:val="0"/>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价格</w:t>
            </w:r>
          </w:p>
          <w:p>
            <w:pPr>
              <w:keepNext w:val="0"/>
              <w:keepLines w:val="0"/>
              <w:suppressLineNumbers w:val="0"/>
              <w:spacing w:before="0" w:beforeAutospacing="0" w:after="0" w:afterAutospacing="0"/>
              <w:ind w:left="0" w:right="0"/>
              <w:jc w:val="center"/>
              <w:rPr>
                <w:rFonts w:hint="default"/>
                <w:szCs w:val="21"/>
              </w:rPr>
            </w:pPr>
            <w:r>
              <w:rPr>
                <w:rFonts w:hint="eastAsia"/>
                <w:szCs w:val="21"/>
              </w:rPr>
              <w:t>评分</w:t>
            </w:r>
          </w:p>
        </w:tc>
        <w:tc>
          <w:tcPr>
            <w:tcW w:w="907"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szCs w:val="21"/>
                <w:lang w:eastAsia="zh-Hans"/>
              </w:rPr>
              <w:t>参评</w:t>
            </w:r>
            <w:r>
              <w:rPr>
                <w:rFonts w:hint="eastAsia"/>
                <w:szCs w:val="21"/>
              </w:rPr>
              <w:t>总价</w:t>
            </w:r>
          </w:p>
        </w:tc>
        <w:tc>
          <w:tcPr>
            <w:tcW w:w="555"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szCs w:val="21"/>
              </w:rPr>
              <w:t>30%</w:t>
            </w:r>
          </w:p>
        </w:tc>
        <w:tc>
          <w:tcPr>
            <w:tcW w:w="446"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szCs w:val="21"/>
              </w:rPr>
              <w:t>30分</w:t>
            </w:r>
          </w:p>
        </w:tc>
        <w:tc>
          <w:tcPr>
            <w:tcW w:w="3920"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szCs w:val="21"/>
              </w:rPr>
              <w:t>报价得分=（最低报价/参评价格）*分值</w:t>
            </w:r>
          </w:p>
        </w:tc>
        <w:tc>
          <w:tcPr>
            <w:tcW w:w="922" w:type="dxa"/>
            <w:noWrap w:val="0"/>
            <w:vAlign w:val="top"/>
          </w:tcPr>
          <w:p>
            <w:pPr>
              <w:keepNext w:val="0"/>
              <w:keepLines w:val="0"/>
              <w:suppressLineNumbers w:val="0"/>
              <w:spacing w:before="0" w:beforeAutospacing="0" w:after="0" w:afterAutospacing="0"/>
              <w:ind w:left="0" w:right="0"/>
              <w:rPr>
                <w:rFonts w:hint="default"/>
                <w:szCs w:val="21"/>
                <w:u w:val="single"/>
              </w:rPr>
            </w:pPr>
          </w:p>
          <w:p>
            <w:pPr>
              <w:keepNext w:val="0"/>
              <w:keepLines w:val="0"/>
              <w:suppressLineNumbers w:val="0"/>
              <w:spacing w:before="0" w:beforeAutospacing="0" w:after="0" w:afterAutospacing="0"/>
              <w:ind w:left="0" w:right="0"/>
              <w:rPr>
                <w:rFonts w:hint="default"/>
                <w:szCs w:val="21"/>
                <w:u w:val="single"/>
              </w:rPr>
            </w:pPr>
            <w:r>
              <w:rPr>
                <w:rFonts w:hint="eastAsia"/>
                <w:szCs w:val="21"/>
                <w:u w:val="thick"/>
              </w:rPr>
              <w:t xml:space="preserve">报价：        </w:t>
            </w:r>
          </w:p>
        </w:tc>
        <w:tc>
          <w:tcPr>
            <w:tcW w:w="945" w:type="dxa"/>
            <w:noWrap w:val="0"/>
            <w:vAlign w:val="top"/>
          </w:tcPr>
          <w:p>
            <w:pPr>
              <w:keepNext w:val="0"/>
              <w:keepLines w:val="0"/>
              <w:suppressLineNumbers w:val="0"/>
              <w:spacing w:before="0" w:beforeAutospacing="0" w:after="0" w:afterAutospacing="0"/>
              <w:ind w:left="0" w:right="0"/>
              <w:rPr>
                <w:rFonts w:hint="default"/>
                <w:szCs w:val="21"/>
                <w:u w:val="single"/>
              </w:rPr>
            </w:pPr>
          </w:p>
          <w:p>
            <w:pPr>
              <w:keepNext w:val="0"/>
              <w:keepLines w:val="0"/>
              <w:suppressLineNumbers w:val="0"/>
              <w:spacing w:before="0" w:beforeAutospacing="0" w:after="0" w:afterAutospacing="0"/>
              <w:ind w:left="0" w:right="0"/>
              <w:rPr>
                <w:rFonts w:hint="default"/>
                <w:szCs w:val="21"/>
              </w:rPr>
            </w:pPr>
            <w:r>
              <w:rPr>
                <w:rFonts w:hint="eastAsia"/>
                <w:szCs w:val="21"/>
                <w:u w:val="thick"/>
              </w:rPr>
              <w:t xml:space="preserve">报价：       </w:t>
            </w:r>
          </w:p>
        </w:tc>
        <w:tc>
          <w:tcPr>
            <w:tcW w:w="860" w:type="dxa"/>
            <w:noWrap w:val="0"/>
            <w:vAlign w:val="top"/>
          </w:tcPr>
          <w:p>
            <w:pPr>
              <w:keepNext w:val="0"/>
              <w:keepLines w:val="0"/>
              <w:suppressLineNumbers w:val="0"/>
              <w:spacing w:before="0" w:beforeAutospacing="0" w:after="0" w:afterAutospacing="0"/>
              <w:ind w:left="0" w:right="0"/>
              <w:rPr>
                <w:rFonts w:hint="default"/>
                <w:szCs w:val="21"/>
                <w:u w:val="single"/>
              </w:rPr>
            </w:pPr>
          </w:p>
          <w:p>
            <w:pPr>
              <w:keepNext w:val="0"/>
              <w:keepLines w:val="0"/>
              <w:suppressLineNumbers w:val="0"/>
              <w:spacing w:before="0" w:beforeAutospacing="0" w:after="0" w:afterAutospacing="0"/>
              <w:ind w:left="0" w:right="0"/>
              <w:rPr>
                <w:rFonts w:hint="default"/>
                <w:szCs w:val="21"/>
              </w:rPr>
            </w:pPr>
            <w:r>
              <w:rPr>
                <w:rFonts w:hint="eastAsia"/>
                <w:szCs w:val="21"/>
                <w:u w:val="thick"/>
              </w:rPr>
              <w:t xml:space="preserve">报价：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03" w:type="dxa"/>
            <w:vMerge w:val="restart"/>
            <w:noWrap w:val="0"/>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技术评分</w:t>
            </w:r>
          </w:p>
        </w:tc>
        <w:tc>
          <w:tcPr>
            <w:tcW w:w="907" w:type="dxa"/>
            <w:noWrap w:val="0"/>
            <w:vAlign w:val="center"/>
          </w:tcPr>
          <w:p>
            <w:pPr>
              <w:keepNext w:val="0"/>
              <w:keepLines w:val="0"/>
              <w:suppressLineNumbers w:val="0"/>
              <w:spacing w:before="0" w:beforeAutospacing="0" w:after="0" w:afterAutospacing="0"/>
              <w:ind w:left="0" w:right="0"/>
              <w:rPr>
                <w:rFonts w:hint="default"/>
                <w:color w:val="000000"/>
                <w:szCs w:val="21"/>
                <w:lang w:eastAsia="zh-Hans"/>
              </w:rPr>
            </w:pPr>
            <w:r>
              <w:rPr>
                <w:rFonts w:hint="eastAsia"/>
                <w:color w:val="000000"/>
                <w:szCs w:val="21"/>
                <w:lang w:eastAsia="zh-Hans"/>
              </w:rPr>
              <w:t>合同条款响应</w:t>
            </w:r>
          </w:p>
        </w:tc>
        <w:tc>
          <w:tcPr>
            <w:tcW w:w="555"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ascii="宋体" w:hAnsi="宋体"/>
                <w:szCs w:val="21"/>
              </w:rPr>
              <w:t>6</w:t>
            </w:r>
            <w:r>
              <w:rPr>
                <w:rFonts w:hint="eastAsia"/>
                <w:szCs w:val="21"/>
              </w:rPr>
              <w:t>%</w:t>
            </w:r>
          </w:p>
        </w:tc>
        <w:tc>
          <w:tcPr>
            <w:tcW w:w="446" w:type="dxa"/>
            <w:noWrap w:val="0"/>
            <w:vAlign w:val="center"/>
          </w:tcPr>
          <w:p>
            <w:pPr>
              <w:keepNext w:val="0"/>
              <w:keepLines w:val="0"/>
              <w:suppressLineNumbers w:val="0"/>
              <w:spacing w:before="100" w:beforeAutospacing="1" w:after="100" w:afterAutospacing="1" w:line="360" w:lineRule="auto"/>
              <w:ind w:left="0" w:right="0"/>
              <w:jc w:val="center"/>
              <w:rPr>
                <w:rFonts w:hint="default" w:ascii="宋体" w:hAnsi="宋体"/>
                <w:szCs w:val="21"/>
              </w:rPr>
            </w:pPr>
            <w:r>
              <w:rPr>
                <w:rFonts w:hint="eastAsia" w:ascii="宋体" w:hAnsi="宋体"/>
                <w:szCs w:val="21"/>
              </w:rPr>
              <w:t>6</w:t>
            </w:r>
            <w:r>
              <w:rPr>
                <w:rFonts w:hint="eastAsia"/>
                <w:szCs w:val="21"/>
              </w:rPr>
              <w:t>分</w:t>
            </w:r>
          </w:p>
        </w:tc>
        <w:tc>
          <w:tcPr>
            <w:tcW w:w="3920" w:type="dxa"/>
            <w:noWrap w:val="0"/>
            <w:vAlign w:val="center"/>
          </w:tcPr>
          <w:p>
            <w:pPr>
              <w:keepNext w:val="0"/>
              <w:keepLines w:val="0"/>
              <w:suppressLineNumbers w:val="0"/>
              <w:spacing w:before="0" w:beforeAutospacing="0" w:after="0" w:afterAutospacing="0" w:line="276" w:lineRule="auto"/>
              <w:ind w:left="0" w:right="0"/>
              <w:rPr>
                <w:rFonts w:hint="default"/>
                <w:color w:val="000000"/>
                <w:szCs w:val="20"/>
                <w:highlight w:val="none"/>
                <w:lang w:eastAsia="zh-Hans"/>
              </w:rPr>
            </w:pPr>
            <w:r>
              <w:rPr>
                <w:rFonts w:hint="eastAsia"/>
                <w:color w:val="000000"/>
                <w:szCs w:val="21"/>
                <w:highlight w:val="none"/>
                <w:lang w:eastAsia="zh-Hans"/>
              </w:rPr>
              <w:t>满足</w:t>
            </w:r>
            <w:r>
              <w:rPr>
                <w:rFonts w:hint="eastAsia"/>
                <w:color w:val="000000"/>
                <w:szCs w:val="21"/>
                <w:highlight w:val="none"/>
                <w:lang w:val="en-US" w:eastAsia="zh-CN"/>
              </w:rPr>
              <w:t>合同条款“</w:t>
            </w:r>
            <w:r>
              <w:rPr>
                <w:rFonts w:hint="eastAsia" w:ascii="Times New Roman" w:hAnsi="Times New Roman"/>
                <w:b w:val="0"/>
                <w:color w:val="000000"/>
                <w:szCs w:val="21"/>
                <w:highlight w:val="none"/>
              </w:rPr>
              <w:t>二、服务范围</w:t>
            </w:r>
            <w:r>
              <w:rPr>
                <w:rFonts w:hint="eastAsia" w:ascii="Times New Roman" w:hAnsi="Times New Roman" w:eastAsia="宋体" w:cs="Times New Roman"/>
                <w:b w:val="0"/>
                <w:color w:val="000000"/>
                <w:szCs w:val="21"/>
                <w:highlight w:val="none"/>
                <w:lang w:eastAsia="zh-CN"/>
              </w:rPr>
              <w:t>”</w:t>
            </w:r>
            <w:r>
              <w:rPr>
                <w:rFonts w:hint="eastAsia" w:ascii="Times New Roman" w:hAnsi="Times New Roman" w:eastAsia="宋体" w:cs="Times New Roman"/>
                <w:b w:val="0"/>
                <w:color w:val="000000"/>
                <w:szCs w:val="21"/>
                <w:highlight w:val="none"/>
                <w:lang w:val="en-US" w:eastAsia="zh-CN"/>
              </w:rPr>
              <w:t>3项中任意一项</w:t>
            </w:r>
            <w:r>
              <w:rPr>
                <w:rFonts w:hint="eastAsia"/>
                <w:color w:val="000000"/>
                <w:szCs w:val="21"/>
                <w:highlight w:val="none"/>
                <w:lang w:eastAsia="zh-Hans"/>
              </w:rPr>
              <w:t>要求得</w:t>
            </w:r>
            <w:r>
              <w:rPr>
                <w:rFonts w:hint="eastAsia"/>
                <w:color w:val="000000"/>
                <w:szCs w:val="21"/>
                <w:highlight w:val="none"/>
                <w:lang w:val="en-US" w:eastAsia="zh-CN"/>
              </w:rPr>
              <w:t>1</w:t>
            </w:r>
            <w:r>
              <w:rPr>
                <w:rFonts w:hint="eastAsia"/>
                <w:color w:val="000000"/>
                <w:szCs w:val="21"/>
                <w:highlight w:val="none"/>
                <w:lang w:eastAsia="zh-Hans"/>
              </w:rPr>
              <w:t>分，有负偏离条款的</w:t>
            </w:r>
            <w:r>
              <w:rPr>
                <w:rFonts w:hint="eastAsia"/>
                <w:color w:val="000000"/>
                <w:szCs w:val="21"/>
                <w:highlight w:val="none"/>
                <w:lang w:val="en-US" w:eastAsia="zh-CN"/>
              </w:rPr>
              <w:t>则该项</w:t>
            </w:r>
            <w:r>
              <w:rPr>
                <w:rFonts w:hint="eastAsia"/>
                <w:color w:val="000000"/>
                <w:szCs w:val="21"/>
                <w:highlight w:val="none"/>
                <w:lang w:eastAsia="zh-Hans"/>
              </w:rPr>
              <w:t>得0分</w:t>
            </w:r>
            <w:r>
              <w:rPr>
                <w:rFonts w:hint="eastAsia"/>
                <w:color w:val="000000"/>
                <w:szCs w:val="21"/>
                <w:highlight w:val="none"/>
                <w:lang w:eastAsia="zh-CN"/>
              </w:rPr>
              <w:t>，</w:t>
            </w:r>
            <w:r>
              <w:rPr>
                <w:rFonts w:hint="eastAsia"/>
                <w:color w:val="000000"/>
                <w:szCs w:val="21"/>
                <w:highlight w:val="none"/>
                <w:lang w:val="en-US" w:eastAsia="zh-CN"/>
              </w:rPr>
              <w:t>最高得3分</w:t>
            </w:r>
            <w:r>
              <w:rPr>
                <w:rFonts w:hint="eastAsia"/>
                <w:color w:val="000000"/>
                <w:szCs w:val="21"/>
                <w:highlight w:val="none"/>
                <w:lang w:eastAsia="zh-Hans"/>
              </w:rPr>
              <w:t>。</w:t>
            </w:r>
            <w:r>
              <w:rPr>
                <w:rFonts w:hint="eastAsia"/>
                <w:color w:val="000000"/>
                <w:szCs w:val="21"/>
                <w:highlight w:val="none"/>
                <w:lang w:val="en-US" w:eastAsia="zh-CN"/>
              </w:rPr>
              <w:t>能按期完成合同条款“</w:t>
            </w:r>
            <w:r>
              <w:rPr>
                <w:rFonts w:hint="eastAsia" w:ascii="Times New Roman" w:hAnsi="Times New Roman"/>
                <w:b w:val="0"/>
                <w:color w:val="000000"/>
                <w:szCs w:val="21"/>
                <w:highlight w:val="none"/>
                <w:lang w:eastAsia="zh-Hans"/>
              </w:rPr>
              <w:t>四、服务期间（项目完成期限）</w:t>
            </w:r>
            <w:r>
              <w:rPr>
                <w:rFonts w:hint="eastAsia" w:ascii="Times New Roman" w:hAnsi="Times New Roman" w:eastAsia="宋体" w:cs="Times New Roman"/>
                <w:b w:val="0"/>
                <w:color w:val="000000"/>
                <w:szCs w:val="21"/>
                <w:highlight w:val="none"/>
                <w:lang w:eastAsia="zh-CN"/>
              </w:rPr>
              <w:t>”的</w:t>
            </w:r>
            <w:r>
              <w:rPr>
                <w:rFonts w:hint="eastAsia" w:ascii="Times New Roman" w:hAnsi="Times New Roman" w:eastAsia="宋体" w:cs="Times New Roman"/>
                <w:b w:val="0"/>
                <w:color w:val="000000"/>
                <w:szCs w:val="21"/>
                <w:highlight w:val="none"/>
                <w:lang w:val="en-US" w:eastAsia="zh-CN"/>
              </w:rPr>
              <w:t>得3分，每延长5天完成期限的扣1分，最多扣3分。</w:t>
            </w:r>
          </w:p>
        </w:tc>
        <w:tc>
          <w:tcPr>
            <w:tcW w:w="922" w:type="dxa"/>
            <w:noWrap w:val="0"/>
            <w:vAlign w:val="top"/>
          </w:tcPr>
          <w:p>
            <w:pPr>
              <w:keepNext w:val="0"/>
              <w:keepLines w:val="0"/>
              <w:suppressLineNumbers w:val="0"/>
              <w:spacing w:before="0" w:beforeAutospacing="0" w:after="0" w:afterAutospacing="0"/>
              <w:ind w:left="0" w:right="0"/>
              <w:rPr>
                <w:rFonts w:hint="default"/>
                <w:szCs w:val="21"/>
              </w:rPr>
            </w:pPr>
          </w:p>
        </w:tc>
        <w:tc>
          <w:tcPr>
            <w:tcW w:w="945" w:type="dxa"/>
            <w:noWrap w:val="0"/>
            <w:vAlign w:val="top"/>
          </w:tcPr>
          <w:p>
            <w:pPr>
              <w:keepNext w:val="0"/>
              <w:keepLines w:val="0"/>
              <w:suppressLineNumbers w:val="0"/>
              <w:spacing w:before="0" w:beforeAutospacing="0" w:after="0" w:afterAutospacing="0"/>
              <w:ind w:left="0" w:right="0"/>
              <w:rPr>
                <w:rFonts w:hint="default"/>
                <w:szCs w:val="21"/>
              </w:rPr>
            </w:pPr>
          </w:p>
        </w:tc>
        <w:tc>
          <w:tcPr>
            <w:tcW w:w="860" w:type="dxa"/>
            <w:noWrap w:val="0"/>
            <w:vAlign w:val="top"/>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503" w:type="dxa"/>
            <w:vMerge w:val="continue"/>
            <w:noWrap w:val="0"/>
            <w:vAlign w:val="center"/>
          </w:tcPr>
          <w:p>
            <w:pPr>
              <w:keepNext w:val="0"/>
              <w:keepLines w:val="0"/>
              <w:suppressLineNumbers w:val="0"/>
              <w:spacing w:before="0" w:beforeAutospacing="0" w:after="0" w:afterAutospacing="0"/>
              <w:ind w:left="0" w:right="0"/>
              <w:jc w:val="center"/>
              <w:rPr>
                <w:rFonts w:hint="default"/>
                <w:szCs w:val="21"/>
              </w:rPr>
            </w:pPr>
          </w:p>
        </w:tc>
        <w:tc>
          <w:tcPr>
            <w:tcW w:w="907" w:type="dxa"/>
            <w:noWrap w:val="0"/>
            <w:vAlign w:val="center"/>
          </w:tcPr>
          <w:p>
            <w:pPr>
              <w:keepNext w:val="0"/>
              <w:keepLines w:val="0"/>
              <w:suppressLineNumbers w:val="0"/>
              <w:spacing w:before="0" w:beforeAutospacing="0" w:after="0" w:afterAutospacing="0"/>
              <w:ind w:left="0" w:right="0"/>
              <w:rPr>
                <w:rFonts w:hint="default"/>
                <w:color w:val="000000"/>
                <w:szCs w:val="21"/>
                <w:lang w:eastAsia="zh-Hans"/>
              </w:rPr>
            </w:pPr>
            <w:r>
              <w:rPr>
                <w:rFonts w:hint="eastAsia"/>
                <w:color w:val="000000"/>
                <w:szCs w:val="21"/>
                <w:lang w:eastAsia="zh-Hans"/>
              </w:rPr>
              <w:t>项目实施方案</w:t>
            </w:r>
          </w:p>
        </w:tc>
        <w:tc>
          <w:tcPr>
            <w:tcW w:w="555"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ascii="宋体" w:hAnsi="宋体"/>
                <w:szCs w:val="21"/>
              </w:rPr>
              <w:t>6</w:t>
            </w:r>
            <w:r>
              <w:rPr>
                <w:rFonts w:hint="eastAsia"/>
                <w:szCs w:val="21"/>
              </w:rPr>
              <w:t>%</w:t>
            </w:r>
          </w:p>
        </w:tc>
        <w:tc>
          <w:tcPr>
            <w:tcW w:w="446" w:type="dxa"/>
            <w:noWrap w:val="0"/>
            <w:vAlign w:val="center"/>
          </w:tcPr>
          <w:p>
            <w:pPr>
              <w:keepNext w:val="0"/>
              <w:keepLines w:val="0"/>
              <w:suppressLineNumbers w:val="0"/>
              <w:spacing w:before="100" w:beforeAutospacing="1" w:after="100" w:afterAutospacing="1" w:line="360" w:lineRule="auto"/>
              <w:ind w:left="0" w:right="0"/>
              <w:jc w:val="center"/>
              <w:rPr>
                <w:rFonts w:hint="default" w:ascii="宋体" w:hAnsi="宋体"/>
                <w:szCs w:val="21"/>
              </w:rPr>
            </w:pPr>
            <w:r>
              <w:rPr>
                <w:rFonts w:hint="eastAsia" w:ascii="宋体" w:hAnsi="宋体"/>
                <w:szCs w:val="21"/>
              </w:rPr>
              <w:t>6</w:t>
            </w:r>
            <w:r>
              <w:rPr>
                <w:rFonts w:hint="eastAsia"/>
                <w:szCs w:val="21"/>
              </w:rPr>
              <w:t>分</w:t>
            </w:r>
          </w:p>
        </w:tc>
        <w:tc>
          <w:tcPr>
            <w:tcW w:w="3920" w:type="dxa"/>
            <w:noWrap w:val="0"/>
            <w:vAlign w:val="center"/>
          </w:tcPr>
          <w:p>
            <w:pPr>
              <w:keepNext w:val="0"/>
              <w:keepLines w:val="0"/>
              <w:suppressLineNumbers w:val="0"/>
              <w:spacing w:before="0" w:beforeAutospacing="0" w:after="0" w:afterAutospacing="0"/>
              <w:ind w:left="0" w:right="0"/>
              <w:rPr>
                <w:rFonts w:hint="default"/>
                <w:color w:val="000000"/>
                <w:szCs w:val="20"/>
                <w:highlight w:val="none"/>
                <w:lang w:eastAsia="zh-Hans"/>
              </w:rPr>
            </w:pPr>
            <w:r>
              <w:rPr>
                <w:rFonts w:hint="eastAsia"/>
                <w:color w:val="000000"/>
                <w:szCs w:val="21"/>
                <w:highlight w:val="none"/>
                <w:lang w:eastAsia="zh-Hans"/>
              </w:rPr>
              <w:t>有详细、合理可行的抽采样方案</w:t>
            </w:r>
            <w:r>
              <w:rPr>
                <w:rFonts w:hint="eastAsia"/>
                <w:color w:val="000000"/>
                <w:szCs w:val="21"/>
                <w:highlight w:val="none"/>
                <w:lang w:eastAsia="zh-CN"/>
              </w:rPr>
              <w:t>，</w:t>
            </w:r>
            <w:r>
              <w:rPr>
                <w:rFonts w:hint="eastAsia" w:ascii="Times New Roman" w:hAnsi="Times New Roman" w:eastAsia="宋体" w:cs="Times New Roman"/>
                <w:color w:val="000000"/>
                <w:kern w:val="2"/>
                <w:sz w:val="21"/>
                <w:szCs w:val="21"/>
                <w:highlight w:val="none"/>
                <w:lang w:eastAsia="zh-Hans"/>
              </w:rPr>
              <w:t>实验室检测设备配置情况</w:t>
            </w:r>
            <w:r>
              <w:rPr>
                <w:rFonts w:hint="eastAsia" w:ascii="Times New Roman" w:hAnsi="Times New Roman" w:eastAsia="宋体" w:cs="Times New Roman"/>
                <w:color w:val="000000"/>
                <w:szCs w:val="21"/>
                <w:highlight w:val="none"/>
                <w:lang w:eastAsia="zh-CN"/>
              </w:rPr>
              <w:t>，</w:t>
            </w:r>
            <w:r>
              <w:rPr>
                <w:rFonts w:hint="eastAsia"/>
                <w:color w:val="000000"/>
                <w:szCs w:val="21"/>
                <w:highlight w:val="none"/>
                <w:lang w:eastAsia="zh-Hans"/>
              </w:rPr>
              <w:t>人员</w:t>
            </w:r>
            <w:r>
              <w:rPr>
                <w:rFonts w:hint="eastAsia"/>
                <w:color w:val="000000"/>
                <w:szCs w:val="21"/>
                <w:highlight w:val="none"/>
                <w:lang w:eastAsia="zh-Hans"/>
              </w:rPr>
              <w:t>配置方案（抽检人员必须严格分离）</w:t>
            </w:r>
            <w:r>
              <w:rPr>
                <w:rFonts w:hint="eastAsia"/>
                <w:color w:val="000000"/>
                <w:szCs w:val="21"/>
                <w:highlight w:val="none"/>
                <w:lang w:eastAsia="zh-CN"/>
              </w:rPr>
              <w:t>，</w:t>
            </w:r>
            <w:r>
              <w:rPr>
                <w:rFonts w:hint="eastAsia" w:ascii="Times New Roman" w:hAnsi="Times New Roman" w:eastAsia="宋体" w:cs="Times New Roman"/>
                <w:color w:val="000000"/>
                <w:kern w:val="2"/>
                <w:sz w:val="21"/>
                <w:szCs w:val="21"/>
                <w:highlight w:val="none"/>
                <w:lang w:eastAsia="zh-Hans"/>
              </w:rPr>
              <w:t>实验室条件方案</w:t>
            </w:r>
            <w:r>
              <w:rPr>
                <w:rFonts w:hint="eastAsia" w:ascii="Times New Roman" w:hAnsi="Times New Roman" w:eastAsia="宋体" w:cs="Times New Roman"/>
                <w:color w:val="000000"/>
                <w:kern w:val="2"/>
                <w:sz w:val="21"/>
                <w:szCs w:val="21"/>
                <w:highlight w:val="none"/>
                <w:lang w:eastAsia="zh-CN"/>
              </w:rPr>
              <w:t>，</w:t>
            </w:r>
            <w:r>
              <w:rPr>
                <w:rFonts w:hint="eastAsia"/>
                <w:color w:val="000000"/>
                <w:szCs w:val="21"/>
                <w:highlight w:val="none"/>
                <w:lang w:eastAsia="zh-Hans"/>
              </w:rPr>
              <w:t>合理的检测时间及售后服务方案</w:t>
            </w:r>
            <w:r>
              <w:rPr>
                <w:rFonts w:hint="eastAsia"/>
                <w:color w:val="000000"/>
                <w:szCs w:val="21"/>
                <w:highlight w:val="none"/>
                <w:lang w:eastAsia="zh-CN"/>
              </w:rPr>
              <w:t>的</w:t>
            </w:r>
            <w:r>
              <w:rPr>
                <w:rFonts w:hint="eastAsia"/>
                <w:color w:val="000000"/>
                <w:szCs w:val="21"/>
                <w:highlight w:val="none"/>
                <w:lang w:eastAsia="zh-Hans"/>
              </w:rPr>
              <w:t>，</w:t>
            </w:r>
            <w:r>
              <w:rPr>
                <w:rFonts w:hint="eastAsia"/>
                <w:color w:val="000000"/>
                <w:szCs w:val="21"/>
                <w:highlight w:val="none"/>
                <w:lang w:val="en-US" w:eastAsia="zh-CN"/>
              </w:rPr>
              <w:t>符合上述6项</w:t>
            </w:r>
            <w:r>
              <w:rPr>
                <w:rFonts w:hint="eastAsia" w:ascii="Times New Roman" w:hAnsi="Times New Roman" w:eastAsia="宋体" w:cs="Times New Roman"/>
                <w:b w:val="0"/>
                <w:color w:val="000000"/>
                <w:szCs w:val="21"/>
                <w:highlight w:val="none"/>
                <w:lang w:val="en-US" w:eastAsia="zh-CN"/>
              </w:rPr>
              <w:t>中任意一项</w:t>
            </w:r>
            <w:r>
              <w:rPr>
                <w:rFonts w:hint="eastAsia"/>
                <w:color w:val="000000"/>
                <w:szCs w:val="21"/>
                <w:highlight w:val="none"/>
                <w:lang w:eastAsia="zh-Hans"/>
              </w:rPr>
              <w:t>要求得</w:t>
            </w:r>
            <w:r>
              <w:rPr>
                <w:rFonts w:hint="eastAsia"/>
                <w:color w:val="000000"/>
                <w:szCs w:val="21"/>
                <w:highlight w:val="none"/>
                <w:lang w:val="en-US" w:eastAsia="zh-CN"/>
              </w:rPr>
              <w:t>1</w:t>
            </w:r>
            <w:r>
              <w:rPr>
                <w:rFonts w:hint="eastAsia"/>
                <w:color w:val="000000"/>
                <w:szCs w:val="21"/>
                <w:highlight w:val="none"/>
                <w:lang w:eastAsia="zh-Hans"/>
              </w:rPr>
              <w:t>分，有负偏离条款的</w:t>
            </w:r>
            <w:r>
              <w:rPr>
                <w:rFonts w:hint="eastAsia"/>
                <w:color w:val="000000"/>
                <w:szCs w:val="21"/>
                <w:highlight w:val="none"/>
                <w:lang w:val="en-US" w:eastAsia="zh-CN"/>
              </w:rPr>
              <w:t>则该项</w:t>
            </w:r>
            <w:r>
              <w:rPr>
                <w:rFonts w:hint="eastAsia"/>
                <w:color w:val="000000"/>
                <w:szCs w:val="21"/>
                <w:highlight w:val="none"/>
                <w:lang w:eastAsia="zh-Hans"/>
              </w:rPr>
              <w:t>得0分</w:t>
            </w:r>
            <w:r>
              <w:rPr>
                <w:rFonts w:hint="eastAsia"/>
                <w:color w:val="000000"/>
                <w:szCs w:val="21"/>
                <w:highlight w:val="none"/>
                <w:lang w:eastAsia="zh-CN"/>
              </w:rPr>
              <w:t>，</w:t>
            </w:r>
            <w:r>
              <w:rPr>
                <w:rFonts w:hint="eastAsia"/>
                <w:color w:val="000000"/>
                <w:szCs w:val="21"/>
                <w:highlight w:val="none"/>
                <w:lang w:val="en-US" w:eastAsia="zh-CN"/>
              </w:rPr>
              <w:t>最高得3分</w:t>
            </w:r>
          </w:p>
        </w:tc>
        <w:tc>
          <w:tcPr>
            <w:tcW w:w="922" w:type="dxa"/>
            <w:noWrap w:val="0"/>
            <w:vAlign w:val="top"/>
          </w:tcPr>
          <w:p>
            <w:pPr>
              <w:keepNext w:val="0"/>
              <w:keepLines w:val="0"/>
              <w:suppressLineNumbers w:val="0"/>
              <w:spacing w:before="0" w:beforeAutospacing="0" w:after="0" w:afterAutospacing="0"/>
              <w:ind w:left="0" w:right="0"/>
              <w:rPr>
                <w:rFonts w:hint="default"/>
                <w:szCs w:val="21"/>
              </w:rPr>
            </w:pPr>
          </w:p>
        </w:tc>
        <w:tc>
          <w:tcPr>
            <w:tcW w:w="945" w:type="dxa"/>
            <w:noWrap w:val="0"/>
            <w:vAlign w:val="top"/>
          </w:tcPr>
          <w:p>
            <w:pPr>
              <w:keepNext w:val="0"/>
              <w:keepLines w:val="0"/>
              <w:suppressLineNumbers w:val="0"/>
              <w:spacing w:before="0" w:beforeAutospacing="0" w:after="0" w:afterAutospacing="0"/>
              <w:ind w:left="0" w:right="0"/>
              <w:rPr>
                <w:rFonts w:hint="default"/>
                <w:szCs w:val="21"/>
              </w:rPr>
            </w:pPr>
          </w:p>
        </w:tc>
        <w:tc>
          <w:tcPr>
            <w:tcW w:w="860" w:type="dxa"/>
            <w:noWrap w:val="0"/>
            <w:vAlign w:val="top"/>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vMerge w:val="continue"/>
            <w:noWrap w:val="0"/>
            <w:vAlign w:val="center"/>
          </w:tcPr>
          <w:p>
            <w:pPr>
              <w:keepNext w:val="0"/>
              <w:keepLines w:val="0"/>
              <w:suppressLineNumbers w:val="0"/>
              <w:spacing w:before="0" w:beforeAutospacing="0" w:after="0" w:afterAutospacing="0"/>
              <w:ind w:left="0" w:right="0"/>
              <w:jc w:val="center"/>
              <w:rPr>
                <w:rFonts w:hint="default"/>
                <w:szCs w:val="21"/>
              </w:rPr>
            </w:pPr>
          </w:p>
        </w:tc>
        <w:tc>
          <w:tcPr>
            <w:tcW w:w="907" w:type="dxa"/>
            <w:noWrap w:val="0"/>
            <w:vAlign w:val="center"/>
          </w:tcPr>
          <w:p>
            <w:pPr>
              <w:keepNext w:val="0"/>
              <w:keepLines w:val="0"/>
              <w:suppressLineNumbers w:val="0"/>
              <w:spacing w:before="0" w:beforeAutospacing="0" w:after="0" w:afterAutospacing="0"/>
              <w:ind w:left="0" w:right="0"/>
              <w:rPr>
                <w:rFonts w:hint="default"/>
                <w:color w:val="000000"/>
                <w:szCs w:val="21"/>
                <w:lang w:eastAsia="zh-Hans"/>
              </w:rPr>
            </w:pPr>
            <w:r>
              <w:rPr>
                <w:rFonts w:hint="eastAsia"/>
                <w:color w:val="000000"/>
                <w:szCs w:val="21"/>
                <w:lang w:eastAsia="zh-Hans"/>
              </w:rPr>
              <w:t>质量保证体系</w:t>
            </w:r>
          </w:p>
        </w:tc>
        <w:tc>
          <w:tcPr>
            <w:tcW w:w="555"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ascii="宋体" w:hAnsi="宋体"/>
                <w:szCs w:val="21"/>
              </w:rPr>
              <w:t>6</w:t>
            </w:r>
            <w:r>
              <w:rPr>
                <w:rFonts w:hint="eastAsia"/>
                <w:szCs w:val="21"/>
              </w:rPr>
              <w:t>%</w:t>
            </w:r>
          </w:p>
        </w:tc>
        <w:tc>
          <w:tcPr>
            <w:tcW w:w="446" w:type="dxa"/>
            <w:noWrap w:val="0"/>
            <w:vAlign w:val="center"/>
          </w:tcPr>
          <w:p>
            <w:pPr>
              <w:keepNext w:val="0"/>
              <w:keepLines w:val="0"/>
              <w:suppressLineNumbers w:val="0"/>
              <w:spacing w:before="100" w:beforeAutospacing="1" w:after="100" w:afterAutospacing="1" w:line="360" w:lineRule="auto"/>
              <w:ind w:left="0" w:right="0"/>
              <w:jc w:val="center"/>
              <w:rPr>
                <w:rFonts w:hint="default" w:ascii="宋体" w:hAnsi="宋体"/>
                <w:szCs w:val="21"/>
              </w:rPr>
            </w:pPr>
            <w:r>
              <w:rPr>
                <w:rFonts w:hint="eastAsia" w:ascii="宋体" w:hAnsi="宋体"/>
                <w:szCs w:val="21"/>
              </w:rPr>
              <w:t>6</w:t>
            </w:r>
            <w:r>
              <w:rPr>
                <w:rFonts w:hint="eastAsia"/>
                <w:szCs w:val="21"/>
              </w:rPr>
              <w:t>分</w:t>
            </w:r>
          </w:p>
        </w:tc>
        <w:tc>
          <w:tcPr>
            <w:tcW w:w="3920" w:type="dxa"/>
            <w:noWrap w:val="0"/>
            <w:vAlign w:val="center"/>
          </w:tcPr>
          <w:p>
            <w:pPr>
              <w:keepNext w:val="0"/>
              <w:keepLines w:val="0"/>
              <w:suppressLineNumbers w:val="0"/>
              <w:spacing w:before="0" w:beforeAutospacing="0" w:after="0" w:afterAutospacing="0"/>
              <w:ind w:left="0" w:right="0"/>
              <w:rPr>
                <w:rFonts w:hint="default"/>
                <w:color w:val="000000"/>
                <w:szCs w:val="21"/>
                <w:lang w:eastAsia="zh-Hans"/>
              </w:rPr>
            </w:pPr>
            <w:r>
              <w:rPr>
                <w:rFonts w:hint="eastAsia"/>
                <w:color w:val="000000"/>
                <w:szCs w:val="21"/>
                <w:lang w:eastAsia="zh-Hans"/>
              </w:rPr>
              <w:t>根据</w:t>
            </w:r>
            <w:r>
              <w:rPr>
                <w:rFonts w:hint="eastAsia"/>
                <w:color w:val="000000"/>
                <w:szCs w:val="21"/>
              </w:rPr>
              <w:t>参评</w:t>
            </w:r>
            <w:r>
              <w:rPr>
                <w:rFonts w:hint="eastAsia"/>
                <w:color w:val="000000"/>
                <w:szCs w:val="21"/>
                <w:lang w:eastAsia="zh-Hans"/>
              </w:rPr>
              <w:t>人提供的质量保证体系及措施进行综合对比 ：质量保证体系完善、可行，对比最优：5-6分；质量保证体系完善、可行，对比次之：4-5分；质量保证体系完善、可行，对比一般：2分；须提供质量保证体系及措施情况说明及相关证明材料。</w:t>
            </w:r>
          </w:p>
        </w:tc>
        <w:tc>
          <w:tcPr>
            <w:tcW w:w="922" w:type="dxa"/>
            <w:noWrap w:val="0"/>
            <w:vAlign w:val="top"/>
          </w:tcPr>
          <w:p>
            <w:pPr>
              <w:keepNext w:val="0"/>
              <w:keepLines w:val="0"/>
              <w:suppressLineNumbers w:val="0"/>
              <w:spacing w:before="0" w:beforeAutospacing="0" w:after="0" w:afterAutospacing="0"/>
              <w:ind w:left="0" w:right="0"/>
              <w:rPr>
                <w:rFonts w:hint="default"/>
                <w:szCs w:val="21"/>
              </w:rPr>
            </w:pPr>
          </w:p>
        </w:tc>
        <w:tc>
          <w:tcPr>
            <w:tcW w:w="945" w:type="dxa"/>
            <w:noWrap w:val="0"/>
            <w:vAlign w:val="top"/>
          </w:tcPr>
          <w:p>
            <w:pPr>
              <w:keepNext w:val="0"/>
              <w:keepLines w:val="0"/>
              <w:suppressLineNumbers w:val="0"/>
              <w:spacing w:before="0" w:beforeAutospacing="0" w:after="0" w:afterAutospacing="0"/>
              <w:ind w:left="0" w:right="0"/>
              <w:rPr>
                <w:rFonts w:hint="default"/>
                <w:szCs w:val="21"/>
              </w:rPr>
            </w:pPr>
          </w:p>
        </w:tc>
        <w:tc>
          <w:tcPr>
            <w:tcW w:w="860" w:type="dxa"/>
            <w:noWrap w:val="0"/>
            <w:vAlign w:val="top"/>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503" w:type="dxa"/>
            <w:vMerge w:val="continue"/>
            <w:noWrap w:val="0"/>
            <w:vAlign w:val="center"/>
          </w:tcPr>
          <w:p>
            <w:pPr>
              <w:keepNext w:val="0"/>
              <w:keepLines w:val="0"/>
              <w:suppressLineNumbers w:val="0"/>
              <w:spacing w:before="0" w:beforeAutospacing="0" w:after="0" w:afterAutospacing="0"/>
              <w:ind w:left="0" w:right="0"/>
              <w:jc w:val="center"/>
              <w:rPr>
                <w:rFonts w:hint="default"/>
                <w:szCs w:val="21"/>
              </w:rPr>
            </w:pPr>
          </w:p>
        </w:tc>
        <w:tc>
          <w:tcPr>
            <w:tcW w:w="907" w:type="dxa"/>
            <w:noWrap w:val="0"/>
            <w:vAlign w:val="center"/>
          </w:tcPr>
          <w:p>
            <w:pPr>
              <w:keepNext w:val="0"/>
              <w:keepLines w:val="0"/>
              <w:suppressLineNumbers w:val="0"/>
              <w:spacing w:before="0" w:beforeAutospacing="0" w:after="0" w:afterAutospacing="0"/>
              <w:ind w:left="0" w:right="0"/>
              <w:rPr>
                <w:rFonts w:hint="default"/>
                <w:color w:val="000000"/>
                <w:szCs w:val="21"/>
                <w:lang w:eastAsia="zh-Hans"/>
              </w:rPr>
            </w:pPr>
            <w:r>
              <w:rPr>
                <w:rFonts w:hint="eastAsia"/>
                <w:color w:val="000000"/>
                <w:szCs w:val="21"/>
                <w:lang w:eastAsia="zh-Hans"/>
              </w:rPr>
              <w:t>检验时间承诺</w:t>
            </w:r>
          </w:p>
        </w:tc>
        <w:tc>
          <w:tcPr>
            <w:tcW w:w="555"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ascii="宋体" w:hAnsi="宋体"/>
                <w:szCs w:val="21"/>
              </w:rPr>
              <w:t>6</w:t>
            </w:r>
            <w:r>
              <w:rPr>
                <w:rFonts w:hint="eastAsia"/>
                <w:szCs w:val="21"/>
              </w:rPr>
              <w:t>%</w:t>
            </w:r>
          </w:p>
        </w:tc>
        <w:tc>
          <w:tcPr>
            <w:tcW w:w="446" w:type="dxa"/>
            <w:noWrap w:val="0"/>
            <w:vAlign w:val="center"/>
          </w:tcPr>
          <w:p>
            <w:pPr>
              <w:keepNext w:val="0"/>
              <w:keepLines w:val="0"/>
              <w:suppressLineNumbers w:val="0"/>
              <w:spacing w:before="100" w:beforeAutospacing="1" w:after="100" w:afterAutospacing="1" w:line="360" w:lineRule="auto"/>
              <w:ind w:left="0" w:right="0"/>
              <w:jc w:val="center"/>
              <w:rPr>
                <w:rFonts w:hint="default" w:ascii="宋体" w:hAnsi="宋体"/>
                <w:szCs w:val="21"/>
              </w:rPr>
            </w:pPr>
            <w:r>
              <w:rPr>
                <w:rFonts w:hint="eastAsia" w:ascii="宋体" w:hAnsi="宋体"/>
                <w:szCs w:val="21"/>
              </w:rPr>
              <w:t>6</w:t>
            </w:r>
            <w:r>
              <w:rPr>
                <w:rFonts w:hint="eastAsia"/>
                <w:szCs w:val="21"/>
              </w:rPr>
              <w:t>分</w:t>
            </w:r>
          </w:p>
        </w:tc>
        <w:tc>
          <w:tcPr>
            <w:tcW w:w="3920" w:type="dxa"/>
            <w:noWrap w:val="0"/>
            <w:vAlign w:val="center"/>
          </w:tcPr>
          <w:p>
            <w:pPr>
              <w:keepNext w:val="0"/>
              <w:keepLines w:val="0"/>
              <w:suppressLineNumbers w:val="0"/>
              <w:spacing w:before="0" w:beforeAutospacing="0" w:after="0" w:afterAutospacing="0"/>
              <w:ind w:left="0" w:right="0"/>
              <w:rPr>
                <w:rFonts w:hint="default"/>
                <w:color w:val="000000"/>
                <w:szCs w:val="20"/>
                <w:highlight w:val="none"/>
                <w:lang w:eastAsia="zh-Hans"/>
              </w:rPr>
            </w:pPr>
            <w:r>
              <w:rPr>
                <w:rFonts w:hint="eastAsia"/>
                <w:color w:val="000000"/>
                <w:szCs w:val="21"/>
                <w:highlight w:val="none"/>
                <w:lang w:eastAsia="zh-Hans"/>
              </w:rPr>
              <w:t>根据</w:t>
            </w:r>
            <w:r>
              <w:rPr>
                <w:rFonts w:hint="eastAsia"/>
                <w:color w:val="000000"/>
                <w:szCs w:val="21"/>
                <w:highlight w:val="none"/>
              </w:rPr>
              <w:t>参评</w:t>
            </w:r>
            <w:r>
              <w:rPr>
                <w:rFonts w:hint="eastAsia"/>
                <w:color w:val="000000"/>
                <w:szCs w:val="21"/>
                <w:highlight w:val="none"/>
                <w:lang w:eastAsia="zh-Hans"/>
              </w:rPr>
              <w:t>人承诺的从实验室接收样品之日起出具检验报告的时间：</w:t>
            </w:r>
            <w:r>
              <w:rPr>
                <w:rFonts w:hint="eastAsia"/>
                <w:color w:val="000000"/>
                <w:szCs w:val="21"/>
                <w:highlight w:val="none"/>
                <w:lang w:val="en-US" w:eastAsia="zh-CN"/>
              </w:rPr>
              <w:t>能按期完成合同条款“</w:t>
            </w:r>
            <w:r>
              <w:rPr>
                <w:rFonts w:hint="eastAsia" w:ascii="Times New Roman" w:hAnsi="Times New Roman" w:eastAsia="宋体" w:cs="Times New Roman"/>
                <w:b w:val="0"/>
                <w:color w:val="000000"/>
                <w:szCs w:val="21"/>
                <w:highlight w:val="none"/>
                <w:lang w:eastAsia="zh-Hans"/>
              </w:rPr>
              <w:t>四、服务期间（项目完成期限）</w:t>
            </w:r>
            <w:r>
              <w:rPr>
                <w:rFonts w:hint="eastAsia" w:ascii="Times New Roman" w:hAnsi="Times New Roman" w:eastAsia="宋体" w:cs="Times New Roman"/>
                <w:b w:val="0"/>
                <w:color w:val="000000"/>
                <w:szCs w:val="21"/>
                <w:highlight w:val="none"/>
                <w:lang w:eastAsia="zh-CN"/>
              </w:rPr>
              <w:t>”的</w:t>
            </w:r>
            <w:r>
              <w:rPr>
                <w:rFonts w:hint="eastAsia" w:ascii="Times New Roman" w:hAnsi="Times New Roman" w:eastAsia="宋体" w:cs="Times New Roman"/>
                <w:b w:val="0"/>
                <w:color w:val="000000"/>
                <w:szCs w:val="21"/>
                <w:highlight w:val="none"/>
                <w:lang w:val="en-US" w:eastAsia="zh-CN"/>
              </w:rPr>
              <w:t>得6分，每延长5天完成期限的扣2分，最多扣6分。</w:t>
            </w:r>
          </w:p>
        </w:tc>
        <w:tc>
          <w:tcPr>
            <w:tcW w:w="922" w:type="dxa"/>
            <w:noWrap w:val="0"/>
            <w:vAlign w:val="top"/>
          </w:tcPr>
          <w:p>
            <w:pPr>
              <w:keepNext w:val="0"/>
              <w:keepLines w:val="0"/>
              <w:suppressLineNumbers w:val="0"/>
              <w:spacing w:before="0" w:beforeAutospacing="0" w:after="0" w:afterAutospacing="0"/>
              <w:ind w:left="0" w:right="0"/>
              <w:rPr>
                <w:rFonts w:hint="default"/>
                <w:szCs w:val="21"/>
              </w:rPr>
            </w:pPr>
          </w:p>
        </w:tc>
        <w:tc>
          <w:tcPr>
            <w:tcW w:w="945" w:type="dxa"/>
            <w:noWrap w:val="0"/>
            <w:vAlign w:val="top"/>
          </w:tcPr>
          <w:p>
            <w:pPr>
              <w:keepNext w:val="0"/>
              <w:keepLines w:val="0"/>
              <w:suppressLineNumbers w:val="0"/>
              <w:spacing w:before="0" w:beforeAutospacing="0" w:after="0" w:afterAutospacing="0"/>
              <w:ind w:left="0" w:right="0"/>
              <w:rPr>
                <w:rFonts w:hint="default"/>
                <w:szCs w:val="21"/>
              </w:rPr>
            </w:pPr>
          </w:p>
        </w:tc>
        <w:tc>
          <w:tcPr>
            <w:tcW w:w="860" w:type="dxa"/>
            <w:noWrap w:val="0"/>
            <w:vAlign w:val="top"/>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503" w:type="dxa"/>
            <w:vMerge w:val="continue"/>
            <w:noWrap w:val="0"/>
            <w:vAlign w:val="center"/>
          </w:tcPr>
          <w:p>
            <w:pPr>
              <w:keepNext w:val="0"/>
              <w:keepLines w:val="0"/>
              <w:suppressLineNumbers w:val="0"/>
              <w:spacing w:before="0" w:beforeAutospacing="0" w:after="0" w:afterAutospacing="0"/>
              <w:ind w:left="0" w:right="0"/>
              <w:jc w:val="center"/>
              <w:rPr>
                <w:rFonts w:hint="default"/>
                <w:szCs w:val="21"/>
              </w:rPr>
            </w:pPr>
          </w:p>
        </w:tc>
        <w:tc>
          <w:tcPr>
            <w:tcW w:w="907" w:type="dxa"/>
            <w:noWrap w:val="0"/>
            <w:vAlign w:val="center"/>
          </w:tcPr>
          <w:p>
            <w:pPr>
              <w:keepNext w:val="0"/>
              <w:keepLines w:val="0"/>
              <w:suppressLineNumbers w:val="0"/>
              <w:spacing w:before="0" w:beforeAutospacing="0" w:after="0" w:afterAutospacing="0"/>
              <w:ind w:left="0" w:right="0"/>
              <w:rPr>
                <w:rFonts w:hint="default"/>
                <w:color w:val="000000"/>
                <w:szCs w:val="21"/>
                <w:lang w:eastAsia="zh-Hans"/>
              </w:rPr>
            </w:pPr>
            <w:r>
              <w:rPr>
                <w:rFonts w:hint="eastAsia"/>
                <w:color w:val="000000"/>
                <w:szCs w:val="21"/>
                <w:lang w:eastAsia="zh-Hans"/>
              </w:rPr>
              <w:t>突发事件应急措施</w:t>
            </w:r>
          </w:p>
        </w:tc>
        <w:tc>
          <w:tcPr>
            <w:tcW w:w="555"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ascii="宋体" w:hAnsi="宋体"/>
                <w:szCs w:val="21"/>
              </w:rPr>
              <w:t>6</w:t>
            </w:r>
            <w:r>
              <w:rPr>
                <w:rFonts w:hint="eastAsia"/>
                <w:szCs w:val="21"/>
              </w:rPr>
              <w:t>%</w:t>
            </w:r>
          </w:p>
        </w:tc>
        <w:tc>
          <w:tcPr>
            <w:tcW w:w="446" w:type="dxa"/>
            <w:noWrap w:val="0"/>
            <w:vAlign w:val="center"/>
          </w:tcPr>
          <w:p>
            <w:pPr>
              <w:keepNext w:val="0"/>
              <w:keepLines w:val="0"/>
              <w:suppressLineNumbers w:val="0"/>
              <w:spacing w:before="100" w:beforeAutospacing="1" w:after="100" w:afterAutospacing="1" w:line="360" w:lineRule="auto"/>
              <w:ind w:left="0" w:right="0"/>
              <w:jc w:val="center"/>
              <w:rPr>
                <w:rFonts w:hint="default" w:ascii="宋体" w:hAnsi="宋体"/>
                <w:szCs w:val="21"/>
              </w:rPr>
            </w:pPr>
            <w:r>
              <w:rPr>
                <w:rFonts w:hint="eastAsia" w:ascii="宋体" w:hAnsi="宋体"/>
                <w:szCs w:val="21"/>
              </w:rPr>
              <w:t>6</w:t>
            </w:r>
            <w:r>
              <w:rPr>
                <w:rFonts w:hint="eastAsia"/>
                <w:szCs w:val="21"/>
              </w:rPr>
              <w:t>分</w:t>
            </w:r>
          </w:p>
        </w:tc>
        <w:tc>
          <w:tcPr>
            <w:tcW w:w="3920" w:type="dxa"/>
            <w:noWrap w:val="0"/>
            <w:vAlign w:val="center"/>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lang w:eastAsia="zh-Hans"/>
              </w:rPr>
              <w:t>对</w:t>
            </w:r>
            <w:r>
              <w:rPr>
                <w:rFonts w:hint="eastAsia"/>
                <w:color w:val="000000"/>
                <w:szCs w:val="21"/>
              </w:rPr>
              <w:t>参评</w:t>
            </w:r>
            <w:r>
              <w:rPr>
                <w:rFonts w:hint="eastAsia"/>
                <w:color w:val="000000"/>
                <w:szCs w:val="21"/>
                <w:lang w:eastAsia="zh-Hans"/>
              </w:rPr>
              <w:t>人根据实际工作经验及预计情况，制定的详细、合理可行的应急管理方案，进行综合对比：</w:t>
            </w:r>
          </w:p>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lang w:eastAsia="zh-Hans"/>
              </w:rPr>
              <w:t>突发事件</w:t>
            </w:r>
            <w:r>
              <w:rPr>
                <w:rFonts w:hint="eastAsia"/>
                <w:color w:val="000000"/>
                <w:szCs w:val="21"/>
              </w:rPr>
              <w:t>0~0.5小时内</w:t>
            </w:r>
            <w:r>
              <w:rPr>
                <w:rFonts w:hint="eastAsia"/>
                <w:color w:val="000000"/>
                <w:szCs w:val="21"/>
                <w:lang w:eastAsia="zh-Hans"/>
              </w:rPr>
              <w:t>响应：6分；</w:t>
            </w:r>
          </w:p>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lang w:eastAsia="zh-Hans"/>
              </w:rPr>
              <w:t>突发事件</w:t>
            </w:r>
            <w:r>
              <w:rPr>
                <w:rFonts w:hint="eastAsia"/>
                <w:color w:val="000000"/>
                <w:szCs w:val="21"/>
              </w:rPr>
              <w:t>0.5~2小时内</w:t>
            </w:r>
            <w:r>
              <w:rPr>
                <w:rFonts w:hint="eastAsia"/>
                <w:color w:val="000000"/>
                <w:szCs w:val="21"/>
                <w:lang w:eastAsia="zh-Hans"/>
              </w:rPr>
              <w:t>响应：</w:t>
            </w:r>
            <w:r>
              <w:rPr>
                <w:rFonts w:hint="eastAsia"/>
                <w:color w:val="000000"/>
                <w:szCs w:val="21"/>
              </w:rPr>
              <w:t>5</w:t>
            </w:r>
            <w:r>
              <w:rPr>
                <w:rFonts w:hint="eastAsia"/>
                <w:color w:val="000000"/>
                <w:szCs w:val="21"/>
                <w:lang w:eastAsia="zh-Hans"/>
              </w:rPr>
              <w:t>分；</w:t>
            </w:r>
          </w:p>
          <w:p>
            <w:pPr>
              <w:keepNext w:val="0"/>
              <w:keepLines w:val="0"/>
              <w:suppressLineNumbers w:val="0"/>
              <w:spacing w:before="0" w:beforeAutospacing="0" w:after="0" w:afterAutospacing="0"/>
              <w:ind w:left="0" w:right="0"/>
              <w:rPr>
                <w:rFonts w:hint="eastAsia" w:eastAsia="宋体"/>
                <w:color w:val="000000"/>
                <w:szCs w:val="21"/>
                <w:lang w:eastAsia="zh-CN"/>
              </w:rPr>
            </w:pPr>
            <w:r>
              <w:rPr>
                <w:rFonts w:hint="eastAsia"/>
                <w:color w:val="000000"/>
                <w:szCs w:val="21"/>
                <w:lang w:eastAsia="zh-Hans"/>
              </w:rPr>
              <w:t>突发事件</w:t>
            </w:r>
            <w:r>
              <w:rPr>
                <w:rFonts w:hint="eastAsia"/>
                <w:color w:val="000000"/>
                <w:szCs w:val="21"/>
                <w:lang w:eastAsia="zh-CN"/>
              </w:rPr>
              <w:t>超过</w:t>
            </w:r>
            <w:r>
              <w:rPr>
                <w:rFonts w:hint="eastAsia"/>
                <w:color w:val="000000"/>
                <w:szCs w:val="21"/>
              </w:rPr>
              <w:t>2小时</w:t>
            </w:r>
            <w:r>
              <w:rPr>
                <w:rFonts w:hint="eastAsia"/>
                <w:color w:val="000000"/>
                <w:szCs w:val="21"/>
                <w:lang w:eastAsia="zh-Hans"/>
              </w:rPr>
              <w:t>响应：</w:t>
            </w:r>
            <w:r>
              <w:rPr>
                <w:rFonts w:hint="eastAsia"/>
                <w:color w:val="000000"/>
                <w:szCs w:val="21"/>
                <w:lang w:val="en-US" w:eastAsia="zh-CN"/>
              </w:rPr>
              <w:t>1</w:t>
            </w:r>
            <w:r>
              <w:rPr>
                <w:rFonts w:hint="eastAsia"/>
                <w:color w:val="000000"/>
                <w:szCs w:val="21"/>
              </w:rPr>
              <w:t>分</w:t>
            </w:r>
            <w:r>
              <w:rPr>
                <w:rFonts w:hint="eastAsia"/>
                <w:color w:val="000000"/>
                <w:szCs w:val="21"/>
                <w:lang w:eastAsia="zh-CN"/>
              </w:rPr>
              <w:t>。</w:t>
            </w:r>
          </w:p>
          <w:p>
            <w:pPr>
              <w:keepNext w:val="0"/>
              <w:keepLines w:val="0"/>
              <w:suppressLineNumbers w:val="0"/>
              <w:spacing w:before="0" w:beforeAutospacing="0" w:after="0" w:afterAutospacing="0"/>
              <w:ind w:left="0" w:right="0"/>
              <w:rPr>
                <w:rFonts w:hint="eastAsia"/>
                <w:color w:val="000000"/>
                <w:szCs w:val="21"/>
              </w:rPr>
            </w:pPr>
          </w:p>
        </w:tc>
        <w:tc>
          <w:tcPr>
            <w:tcW w:w="922" w:type="dxa"/>
            <w:noWrap w:val="0"/>
            <w:vAlign w:val="top"/>
          </w:tcPr>
          <w:p>
            <w:pPr>
              <w:keepNext w:val="0"/>
              <w:keepLines w:val="0"/>
              <w:suppressLineNumbers w:val="0"/>
              <w:spacing w:before="0" w:beforeAutospacing="0" w:after="0" w:afterAutospacing="0"/>
              <w:ind w:left="0" w:right="0"/>
              <w:rPr>
                <w:rFonts w:hint="default"/>
                <w:szCs w:val="21"/>
              </w:rPr>
            </w:pPr>
          </w:p>
        </w:tc>
        <w:tc>
          <w:tcPr>
            <w:tcW w:w="945" w:type="dxa"/>
            <w:noWrap w:val="0"/>
            <w:vAlign w:val="top"/>
          </w:tcPr>
          <w:p>
            <w:pPr>
              <w:keepNext w:val="0"/>
              <w:keepLines w:val="0"/>
              <w:suppressLineNumbers w:val="0"/>
              <w:spacing w:before="0" w:beforeAutospacing="0" w:after="0" w:afterAutospacing="0"/>
              <w:ind w:left="0" w:right="0"/>
              <w:rPr>
                <w:rFonts w:hint="default"/>
                <w:szCs w:val="21"/>
              </w:rPr>
            </w:pPr>
          </w:p>
        </w:tc>
        <w:tc>
          <w:tcPr>
            <w:tcW w:w="860" w:type="dxa"/>
            <w:noWrap w:val="0"/>
            <w:vAlign w:val="top"/>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503" w:type="dxa"/>
            <w:vMerge w:val="continue"/>
            <w:noWrap w:val="0"/>
            <w:vAlign w:val="center"/>
          </w:tcPr>
          <w:p>
            <w:pPr>
              <w:keepNext w:val="0"/>
              <w:keepLines w:val="0"/>
              <w:suppressLineNumbers w:val="0"/>
              <w:spacing w:before="0" w:beforeAutospacing="0" w:after="0" w:afterAutospacing="0"/>
              <w:ind w:left="0" w:right="0"/>
              <w:jc w:val="center"/>
              <w:rPr>
                <w:rFonts w:hint="default"/>
                <w:szCs w:val="21"/>
              </w:rPr>
            </w:pPr>
          </w:p>
        </w:tc>
        <w:tc>
          <w:tcPr>
            <w:tcW w:w="907" w:type="dxa"/>
            <w:noWrap w:val="0"/>
            <w:vAlign w:val="center"/>
          </w:tcPr>
          <w:p>
            <w:pPr>
              <w:keepNext w:val="0"/>
              <w:keepLines w:val="0"/>
              <w:suppressLineNumbers w:val="0"/>
              <w:spacing w:before="0" w:beforeAutospacing="0" w:after="0" w:afterAutospacing="0"/>
              <w:ind w:left="0" w:right="0"/>
              <w:rPr>
                <w:rFonts w:hint="default"/>
                <w:color w:val="000000"/>
                <w:szCs w:val="21"/>
                <w:lang w:eastAsia="zh-Hans"/>
              </w:rPr>
            </w:pPr>
            <w:r>
              <w:rPr>
                <w:rFonts w:hint="eastAsia"/>
                <w:color w:val="000000"/>
                <w:szCs w:val="21"/>
                <w:lang w:eastAsia="zh-Hans"/>
              </w:rPr>
              <w:t>项目整体服务方案</w:t>
            </w:r>
          </w:p>
        </w:tc>
        <w:tc>
          <w:tcPr>
            <w:tcW w:w="555" w:type="dxa"/>
            <w:noWrap w:val="0"/>
            <w:vAlign w:val="center"/>
          </w:tcPr>
          <w:p>
            <w:pPr>
              <w:keepNext w:val="0"/>
              <w:keepLines w:val="0"/>
              <w:suppressLineNumbers w:val="0"/>
              <w:spacing w:before="0" w:beforeAutospacing="0" w:after="0" w:afterAutospacing="0"/>
              <w:ind w:left="0" w:right="0"/>
              <w:rPr>
                <w:rFonts w:hint="default"/>
                <w:szCs w:val="21"/>
              </w:rPr>
            </w:pPr>
            <w:r>
              <w:rPr>
                <w:rFonts w:hint="default"/>
                <w:szCs w:val="21"/>
              </w:rPr>
              <w:t>10</w:t>
            </w:r>
            <w:r>
              <w:rPr>
                <w:rFonts w:hint="eastAsia"/>
                <w:szCs w:val="21"/>
              </w:rPr>
              <w:t>%</w:t>
            </w:r>
          </w:p>
        </w:tc>
        <w:tc>
          <w:tcPr>
            <w:tcW w:w="446" w:type="dxa"/>
            <w:noWrap w:val="0"/>
            <w:vAlign w:val="center"/>
          </w:tcPr>
          <w:p>
            <w:pPr>
              <w:keepNext w:val="0"/>
              <w:keepLines w:val="0"/>
              <w:suppressLineNumbers w:val="0"/>
              <w:spacing w:before="100" w:beforeAutospacing="1" w:after="100" w:afterAutospacing="1" w:line="360" w:lineRule="auto"/>
              <w:ind w:left="0" w:right="0"/>
              <w:jc w:val="center"/>
              <w:rPr>
                <w:rFonts w:hint="default" w:ascii="宋体" w:hAnsi="宋体"/>
                <w:szCs w:val="21"/>
              </w:rPr>
            </w:pPr>
            <w:r>
              <w:rPr>
                <w:rFonts w:hint="eastAsia" w:ascii="宋体" w:hAnsi="宋体"/>
                <w:szCs w:val="21"/>
              </w:rPr>
              <w:t>10</w:t>
            </w:r>
            <w:r>
              <w:rPr>
                <w:rFonts w:hint="eastAsia"/>
                <w:szCs w:val="21"/>
              </w:rPr>
              <w:t>分</w:t>
            </w:r>
          </w:p>
        </w:tc>
        <w:tc>
          <w:tcPr>
            <w:tcW w:w="3920" w:type="dxa"/>
            <w:noWrap w:val="0"/>
            <w:vAlign w:val="center"/>
          </w:tcPr>
          <w:p>
            <w:pPr>
              <w:keepNext w:val="0"/>
              <w:keepLines w:val="0"/>
              <w:widowControl/>
              <w:suppressLineNumbers w:val="0"/>
              <w:spacing w:before="0" w:beforeAutospacing="0" w:after="0" w:afterAutospacing="0" w:line="240" w:lineRule="auto"/>
              <w:ind w:left="0" w:right="0"/>
              <w:jc w:val="left"/>
              <w:textAlignment w:val="auto"/>
              <w:rPr>
                <w:rFonts w:hint="default" w:ascii="Times New Roman" w:hAnsi="Times New Roman" w:eastAsia="宋体" w:cs="Times New Roman"/>
                <w:color w:val="000000"/>
                <w:kern w:val="2"/>
                <w:sz w:val="21"/>
                <w:szCs w:val="21"/>
                <w:highlight w:val="none"/>
                <w:lang w:eastAsia="zh-Hans"/>
              </w:rPr>
            </w:pPr>
            <w:r>
              <w:rPr>
                <w:rFonts w:hint="eastAsia" w:ascii="Times New Roman" w:hAnsi="Times New Roman" w:eastAsia="宋体" w:cs="Times New Roman"/>
                <w:color w:val="000000"/>
                <w:kern w:val="2"/>
                <w:sz w:val="21"/>
                <w:szCs w:val="21"/>
                <w:highlight w:val="none"/>
                <w:lang w:eastAsia="zh-Hans"/>
              </w:rPr>
              <w:t>按方案的科学性、完整性、合理性、可行性等进行比较评分，若所投包内涉及多个产品的，取各产品服务方案平均分。</w:t>
            </w:r>
          </w:p>
          <w:p>
            <w:pPr>
              <w:keepNext w:val="0"/>
              <w:keepLines w:val="0"/>
              <w:widowControl/>
              <w:suppressLineNumbers w:val="0"/>
              <w:spacing w:before="0" w:beforeAutospacing="0" w:after="0" w:afterAutospacing="0" w:line="240" w:lineRule="auto"/>
              <w:ind w:left="0" w:right="0"/>
              <w:jc w:val="left"/>
              <w:textAlignment w:val="auto"/>
              <w:rPr>
                <w:rFonts w:hint="default" w:ascii="Times New Roman" w:hAnsi="Times New Roman" w:eastAsia="宋体" w:cs="Times New Roman"/>
                <w:color w:val="000000"/>
                <w:kern w:val="2"/>
                <w:sz w:val="21"/>
                <w:szCs w:val="21"/>
                <w:highlight w:val="none"/>
                <w:lang w:eastAsia="zh-Hans"/>
              </w:rPr>
            </w:pPr>
            <w:r>
              <w:rPr>
                <w:rFonts w:hint="eastAsia" w:ascii="Times New Roman" w:hAnsi="Times New Roman" w:eastAsia="宋体" w:cs="Times New Roman"/>
                <w:color w:val="000000"/>
                <w:kern w:val="2"/>
                <w:sz w:val="21"/>
                <w:szCs w:val="21"/>
                <w:highlight w:val="none"/>
                <w:lang w:eastAsia="zh-Hans"/>
              </w:rPr>
              <w:t>（1）方案内容完整、合理、可行性强，得1</w:t>
            </w:r>
            <w:r>
              <w:rPr>
                <w:rFonts w:hint="eastAsia" w:ascii="Times New Roman" w:hAnsi="Times New Roman" w:eastAsia="宋体" w:cs="Times New Roman"/>
                <w:color w:val="000000"/>
                <w:kern w:val="2"/>
                <w:sz w:val="21"/>
                <w:szCs w:val="21"/>
                <w:highlight w:val="none"/>
                <w:lang w:val="en-US" w:eastAsia="zh-Hans"/>
              </w:rPr>
              <w:t>0</w:t>
            </w:r>
            <w:r>
              <w:rPr>
                <w:rFonts w:hint="eastAsia" w:ascii="Times New Roman" w:hAnsi="Times New Roman" w:eastAsia="宋体" w:cs="Times New Roman"/>
                <w:color w:val="000000"/>
                <w:kern w:val="2"/>
                <w:sz w:val="21"/>
                <w:szCs w:val="21"/>
                <w:highlight w:val="none"/>
                <w:lang w:eastAsia="zh-Hans"/>
              </w:rPr>
              <w:t>分。</w:t>
            </w:r>
          </w:p>
          <w:p>
            <w:pPr>
              <w:keepNext w:val="0"/>
              <w:keepLines w:val="0"/>
              <w:widowControl/>
              <w:suppressLineNumbers w:val="0"/>
              <w:spacing w:before="0" w:beforeAutospacing="0" w:after="0" w:afterAutospacing="0" w:line="240" w:lineRule="auto"/>
              <w:ind w:left="0" w:right="0"/>
              <w:jc w:val="left"/>
              <w:textAlignment w:val="auto"/>
              <w:rPr>
                <w:rFonts w:hint="default" w:ascii="Times New Roman" w:hAnsi="Times New Roman" w:eastAsia="宋体" w:cs="Times New Roman"/>
                <w:color w:val="000000"/>
                <w:kern w:val="2"/>
                <w:sz w:val="21"/>
                <w:szCs w:val="21"/>
                <w:highlight w:val="none"/>
                <w:lang w:eastAsia="zh-Hans"/>
              </w:rPr>
            </w:pPr>
            <w:r>
              <w:rPr>
                <w:rFonts w:hint="eastAsia" w:ascii="Times New Roman" w:hAnsi="Times New Roman" w:eastAsia="宋体" w:cs="Times New Roman"/>
                <w:color w:val="000000"/>
                <w:kern w:val="2"/>
                <w:sz w:val="21"/>
                <w:szCs w:val="21"/>
                <w:highlight w:val="none"/>
                <w:lang w:eastAsia="zh-Hans"/>
              </w:rPr>
              <w:t>（2）方案内容完整，有一定的合理性和可行性，得</w:t>
            </w:r>
            <w:r>
              <w:rPr>
                <w:rFonts w:hint="eastAsia" w:ascii="Times New Roman" w:hAnsi="Times New Roman" w:eastAsia="宋体" w:cs="Times New Roman"/>
                <w:color w:val="000000"/>
                <w:kern w:val="2"/>
                <w:sz w:val="21"/>
                <w:szCs w:val="21"/>
                <w:highlight w:val="none"/>
                <w:lang w:val="en-US" w:eastAsia="zh-Hans"/>
              </w:rPr>
              <w:t>6</w:t>
            </w:r>
            <w:r>
              <w:rPr>
                <w:rFonts w:hint="eastAsia" w:ascii="Times New Roman" w:hAnsi="Times New Roman" w:eastAsia="宋体" w:cs="Times New Roman"/>
                <w:color w:val="000000"/>
                <w:kern w:val="2"/>
                <w:sz w:val="21"/>
                <w:szCs w:val="21"/>
                <w:highlight w:val="none"/>
                <w:lang w:eastAsia="zh-Hans"/>
              </w:rPr>
              <w:t>分；</w:t>
            </w:r>
          </w:p>
          <w:p>
            <w:pPr>
              <w:keepNext w:val="0"/>
              <w:keepLines w:val="0"/>
              <w:widowControl/>
              <w:suppressLineNumbers w:val="0"/>
              <w:spacing w:before="0" w:beforeAutospacing="0" w:after="0" w:afterAutospacing="0" w:line="240" w:lineRule="auto"/>
              <w:ind w:left="0" w:right="0"/>
              <w:jc w:val="left"/>
              <w:textAlignment w:val="auto"/>
              <w:rPr>
                <w:rFonts w:hint="default" w:ascii="Times New Roman" w:hAnsi="Times New Roman" w:eastAsia="宋体" w:cs="Times New Roman"/>
                <w:color w:val="000000"/>
                <w:kern w:val="2"/>
                <w:sz w:val="21"/>
                <w:szCs w:val="21"/>
                <w:highlight w:val="none"/>
                <w:lang w:eastAsia="zh-Hans"/>
              </w:rPr>
            </w:pPr>
            <w:r>
              <w:rPr>
                <w:rFonts w:hint="eastAsia" w:ascii="Times New Roman" w:hAnsi="Times New Roman" w:eastAsia="宋体" w:cs="Times New Roman"/>
                <w:color w:val="000000"/>
                <w:kern w:val="2"/>
                <w:sz w:val="21"/>
                <w:szCs w:val="21"/>
                <w:highlight w:val="none"/>
                <w:lang w:eastAsia="zh-Hans"/>
              </w:rPr>
              <w:t>（3）方案内容有漏缺、可行性不强，得</w:t>
            </w:r>
            <w:r>
              <w:rPr>
                <w:rFonts w:hint="eastAsia" w:ascii="Times New Roman" w:hAnsi="Times New Roman" w:eastAsia="宋体" w:cs="Times New Roman"/>
                <w:color w:val="000000"/>
                <w:kern w:val="2"/>
                <w:sz w:val="21"/>
                <w:szCs w:val="21"/>
                <w:highlight w:val="none"/>
                <w:lang w:val="en-US" w:eastAsia="zh-Hans"/>
              </w:rPr>
              <w:t>3</w:t>
            </w:r>
            <w:r>
              <w:rPr>
                <w:rFonts w:hint="eastAsia" w:ascii="Times New Roman" w:hAnsi="Times New Roman" w:eastAsia="宋体" w:cs="Times New Roman"/>
                <w:color w:val="000000"/>
                <w:kern w:val="2"/>
                <w:sz w:val="21"/>
                <w:szCs w:val="21"/>
                <w:highlight w:val="none"/>
                <w:lang w:eastAsia="zh-Hans"/>
              </w:rPr>
              <w:t>分；</w:t>
            </w:r>
          </w:p>
          <w:p>
            <w:pPr>
              <w:keepNext w:val="0"/>
              <w:keepLines w:val="0"/>
              <w:suppressLineNumbers w:val="0"/>
              <w:spacing w:before="0" w:beforeAutospacing="0" w:after="0" w:afterAutospacing="0"/>
              <w:ind w:left="0" w:right="0"/>
              <w:rPr>
                <w:rFonts w:hint="default"/>
                <w:color w:val="000000"/>
                <w:szCs w:val="20"/>
                <w:highlight w:val="none"/>
                <w:lang w:eastAsia="zh-Hans"/>
              </w:rPr>
            </w:pPr>
            <w:r>
              <w:rPr>
                <w:rFonts w:hint="eastAsia" w:ascii="Times New Roman" w:hAnsi="Times New Roman" w:eastAsia="宋体" w:cs="Times New Roman"/>
                <w:color w:val="000000"/>
                <w:kern w:val="2"/>
                <w:sz w:val="21"/>
                <w:szCs w:val="21"/>
                <w:highlight w:val="none"/>
                <w:lang w:eastAsia="zh-Hans"/>
              </w:rPr>
              <w:t>（4）有重大缺陷得0分。</w:t>
            </w:r>
          </w:p>
        </w:tc>
        <w:tc>
          <w:tcPr>
            <w:tcW w:w="922" w:type="dxa"/>
            <w:noWrap w:val="0"/>
            <w:vAlign w:val="top"/>
          </w:tcPr>
          <w:p>
            <w:pPr>
              <w:keepNext w:val="0"/>
              <w:keepLines w:val="0"/>
              <w:suppressLineNumbers w:val="0"/>
              <w:spacing w:before="0" w:beforeAutospacing="0" w:after="0" w:afterAutospacing="0"/>
              <w:ind w:left="0" w:right="0"/>
              <w:rPr>
                <w:rFonts w:hint="default"/>
                <w:szCs w:val="21"/>
              </w:rPr>
            </w:pPr>
          </w:p>
        </w:tc>
        <w:tc>
          <w:tcPr>
            <w:tcW w:w="945" w:type="dxa"/>
            <w:noWrap w:val="0"/>
            <w:vAlign w:val="top"/>
          </w:tcPr>
          <w:p>
            <w:pPr>
              <w:keepNext w:val="0"/>
              <w:keepLines w:val="0"/>
              <w:suppressLineNumbers w:val="0"/>
              <w:spacing w:before="0" w:beforeAutospacing="0" w:after="0" w:afterAutospacing="0"/>
              <w:ind w:left="0" w:right="0"/>
              <w:rPr>
                <w:rFonts w:hint="default"/>
                <w:szCs w:val="21"/>
              </w:rPr>
            </w:pPr>
          </w:p>
        </w:tc>
        <w:tc>
          <w:tcPr>
            <w:tcW w:w="860" w:type="dxa"/>
            <w:noWrap w:val="0"/>
            <w:vAlign w:val="top"/>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503" w:type="dxa"/>
            <w:vMerge w:val="restart"/>
            <w:noWrap w:val="0"/>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商务</w:t>
            </w:r>
          </w:p>
          <w:p>
            <w:pPr>
              <w:keepNext w:val="0"/>
              <w:keepLines w:val="0"/>
              <w:suppressLineNumbers w:val="0"/>
              <w:spacing w:before="0" w:beforeAutospacing="0" w:after="0" w:afterAutospacing="0"/>
              <w:ind w:left="0" w:right="0"/>
              <w:jc w:val="center"/>
              <w:rPr>
                <w:rFonts w:hint="default"/>
                <w:szCs w:val="21"/>
              </w:rPr>
            </w:pPr>
            <w:r>
              <w:rPr>
                <w:rFonts w:hint="eastAsia"/>
                <w:szCs w:val="21"/>
              </w:rPr>
              <w:t>评分</w:t>
            </w:r>
          </w:p>
        </w:tc>
        <w:tc>
          <w:tcPr>
            <w:tcW w:w="907" w:type="dxa"/>
            <w:noWrap w:val="0"/>
            <w:vAlign w:val="center"/>
          </w:tcPr>
          <w:p>
            <w:pPr>
              <w:keepNext w:val="0"/>
              <w:keepLines w:val="0"/>
              <w:suppressLineNumbers w:val="0"/>
              <w:spacing w:before="0" w:beforeAutospacing="0" w:after="0" w:afterAutospacing="0"/>
              <w:ind w:left="0" w:right="0"/>
              <w:rPr>
                <w:rFonts w:hint="default"/>
                <w:color w:val="000000"/>
                <w:szCs w:val="21"/>
                <w:lang w:eastAsia="zh-Hans"/>
              </w:rPr>
            </w:pPr>
            <w:r>
              <w:rPr>
                <w:rFonts w:hint="eastAsia"/>
                <w:color w:val="000000"/>
                <w:szCs w:val="21"/>
                <w:lang w:eastAsia="zh-Hans"/>
              </w:rPr>
              <w:t>实验室能力</w:t>
            </w:r>
          </w:p>
        </w:tc>
        <w:tc>
          <w:tcPr>
            <w:tcW w:w="555" w:type="dxa"/>
            <w:noWrap w:val="0"/>
            <w:vAlign w:val="center"/>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5</w:t>
            </w:r>
            <w:r>
              <w:rPr>
                <w:rFonts w:hint="default"/>
                <w:color w:val="000000"/>
                <w:szCs w:val="21"/>
              </w:rPr>
              <w:t>%</w:t>
            </w:r>
          </w:p>
        </w:tc>
        <w:tc>
          <w:tcPr>
            <w:tcW w:w="446" w:type="dxa"/>
            <w:noWrap w:val="0"/>
            <w:vAlign w:val="center"/>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5</w:t>
            </w:r>
            <w:r>
              <w:rPr>
                <w:rFonts w:hint="eastAsia"/>
                <w:color w:val="000000"/>
                <w:szCs w:val="21"/>
                <w:lang w:eastAsia="zh-Hans"/>
              </w:rPr>
              <w:t>分</w:t>
            </w:r>
          </w:p>
        </w:tc>
        <w:tc>
          <w:tcPr>
            <w:tcW w:w="3920" w:type="dxa"/>
            <w:noWrap w:val="0"/>
            <w:vAlign w:val="center"/>
          </w:tcPr>
          <w:p>
            <w:pPr>
              <w:keepNext w:val="0"/>
              <w:keepLines w:val="0"/>
              <w:suppressLineNumbers w:val="0"/>
              <w:spacing w:before="0" w:beforeAutospacing="0" w:after="0" w:afterAutospacing="0" w:line="240" w:lineRule="auto"/>
              <w:ind w:left="0" w:right="0"/>
              <w:jc w:val="left"/>
              <w:rPr>
                <w:rFonts w:hint="default" w:ascii="Times New Roman" w:hAnsi="Times New Roman" w:eastAsia="宋体"/>
                <w:color w:val="000000"/>
                <w:szCs w:val="20"/>
                <w:lang w:eastAsia="zh-Hans"/>
              </w:rPr>
            </w:pPr>
            <w:r>
              <w:rPr>
                <w:rFonts w:hint="eastAsia" w:ascii="Times New Roman" w:hAnsi="Times New Roman"/>
                <w:color w:val="000000"/>
                <w:szCs w:val="21"/>
                <w:lang w:eastAsia="zh-Hans"/>
              </w:rPr>
              <w:t>拥有国家级消防产品质量检测检验中心得5分；拥有省级消防产品检验站得3分；其他情况得0分。</w:t>
            </w:r>
          </w:p>
        </w:tc>
        <w:tc>
          <w:tcPr>
            <w:tcW w:w="922" w:type="dxa"/>
            <w:noWrap w:val="0"/>
            <w:vAlign w:val="top"/>
          </w:tcPr>
          <w:p>
            <w:pPr>
              <w:keepNext w:val="0"/>
              <w:keepLines w:val="0"/>
              <w:suppressLineNumbers w:val="0"/>
              <w:spacing w:before="0" w:beforeAutospacing="0" w:after="0" w:afterAutospacing="0"/>
              <w:ind w:left="0" w:right="0"/>
              <w:rPr>
                <w:rFonts w:hint="default"/>
                <w:szCs w:val="21"/>
              </w:rPr>
            </w:pPr>
          </w:p>
        </w:tc>
        <w:tc>
          <w:tcPr>
            <w:tcW w:w="945" w:type="dxa"/>
            <w:noWrap w:val="0"/>
            <w:vAlign w:val="top"/>
          </w:tcPr>
          <w:p>
            <w:pPr>
              <w:keepNext w:val="0"/>
              <w:keepLines w:val="0"/>
              <w:suppressLineNumbers w:val="0"/>
              <w:spacing w:before="0" w:beforeAutospacing="0" w:after="0" w:afterAutospacing="0"/>
              <w:ind w:left="0" w:right="0"/>
              <w:rPr>
                <w:rFonts w:hint="default"/>
                <w:szCs w:val="21"/>
              </w:rPr>
            </w:pPr>
          </w:p>
        </w:tc>
        <w:tc>
          <w:tcPr>
            <w:tcW w:w="860" w:type="dxa"/>
            <w:noWrap w:val="0"/>
            <w:vAlign w:val="top"/>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503" w:type="dxa"/>
            <w:vMerge w:val="continue"/>
            <w:noWrap w:val="0"/>
            <w:vAlign w:val="center"/>
          </w:tcPr>
          <w:p>
            <w:pPr>
              <w:keepNext w:val="0"/>
              <w:keepLines w:val="0"/>
              <w:suppressLineNumbers w:val="0"/>
              <w:spacing w:before="0" w:beforeAutospacing="0" w:after="0" w:afterAutospacing="0"/>
              <w:ind w:left="0" w:right="0"/>
              <w:jc w:val="center"/>
              <w:rPr>
                <w:rFonts w:hint="default"/>
                <w:szCs w:val="21"/>
              </w:rPr>
            </w:pPr>
          </w:p>
        </w:tc>
        <w:tc>
          <w:tcPr>
            <w:tcW w:w="907" w:type="dxa"/>
            <w:noWrap w:val="0"/>
            <w:vAlign w:val="center"/>
          </w:tcPr>
          <w:p>
            <w:pPr>
              <w:keepNext w:val="0"/>
              <w:keepLines w:val="0"/>
              <w:suppressLineNumbers w:val="0"/>
              <w:spacing w:before="0" w:beforeAutospacing="0" w:after="0" w:afterAutospacing="0"/>
              <w:ind w:left="0" w:right="0"/>
              <w:rPr>
                <w:rFonts w:hint="eastAsia"/>
                <w:color w:val="000000"/>
                <w:szCs w:val="21"/>
              </w:rPr>
            </w:pPr>
            <w:r>
              <w:rPr>
                <w:rFonts w:hint="eastAsia"/>
                <w:color w:val="000000"/>
                <w:szCs w:val="21"/>
              </w:rPr>
              <w:t>诚信</w:t>
            </w:r>
          </w:p>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lang w:eastAsia="zh-CN"/>
              </w:rPr>
              <w:t>机制</w:t>
            </w:r>
          </w:p>
        </w:tc>
        <w:tc>
          <w:tcPr>
            <w:tcW w:w="555" w:type="dxa"/>
            <w:noWrap w:val="0"/>
            <w:vAlign w:val="center"/>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lang w:val="en-US" w:eastAsia="zh-CN"/>
              </w:rPr>
              <w:t>5</w:t>
            </w:r>
            <w:r>
              <w:rPr>
                <w:rFonts w:hint="default"/>
                <w:color w:val="000000"/>
                <w:szCs w:val="21"/>
              </w:rPr>
              <w:t>%</w:t>
            </w:r>
          </w:p>
        </w:tc>
        <w:tc>
          <w:tcPr>
            <w:tcW w:w="446" w:type="dxa"/>
            <w:noWrap w:val="0"/>
            <w:vAlign w:val="center"/>
          </w:tcPr>
          <w:p>
            <w:pPr>
              <w:keepNext w:val="0"/>
              <w:keepLines w:val="0"/>
              <w:suppressLineNumbers w:val="0"/>
              <w:spacing w:before="0" w:beforeAutospacing="0" w:after="0" w:afterAutospacing="0"/>
              <w:ind w:left="0" w:right="0"/>
              <w:rPr>
                <w:rFonts w:hint="default"/>
                <w:color w:val="000000"/>
                <w:szCs w:val="21"/>
                <w:lang w:eastAsia="zh-Hans"/>
              </w:rPr>
            </w:pPr>
            <w:r>
              <w:rPr>
                <w:rFonts w:hint="eastAsia"/>
                <w:color w:val="000000"/>
                <w:szCs w:val="21"/>
                <w:lang w:val="en-US" w:eastAsia="zh-CN"/>
              </w:rPr>
              <w:t>5</w:t>
            </w:r>
            <w:r>
              <w:rPr>
                <w:rFonts w:hint="eastAsia"/>
                <w:color w:val="000000"/>
                <w:szCs w:val="21"/>
                <w:lang w:eastAsia="zh-Hans"/>
              </w:rPr>
              <w:t>分</w:t>
            </w:r>
          </w:p>
        </w:tc>
        <w:tc>
          <w:tcPr>
            <w:tcW w:w="3920" w:type="dxa"/>
            <w:noWrap w:val="0"/>
            <w:vAlign w:val="center"/>
          </w:tcPr>
          <w:p>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000000"/>
                <w:szCs w:val="20"/>
                <w:lang w:eastAsia="zh-Hans"/>
              </w:rPr>
            </w:pPr>
            <w:r>
              <w:rPr>
                <w:rFonts w:hint="eastAsia" w:ascii="Times New Roman" w:hAnsi="Times New Roman" w:eastAsia="宋体" w:cs="Times New Roman"/>
                <w:color w:val="000000"/>
                <w:szCs w:val="21"/>
                <w:lang w:eastAsia="zh-CN"/>
              </w:rPr>
              <w:t>根据</w:t>
            </w:r>
            <w:r>
              <w:rPr>
                <w:rFonts w:hint="eastAsia" w:ascii="Times New Roman" w:hAnsi="Times New Roman" w:eastAsia="宋体" w:cs="Times New Roman"/>
                <w:color w:val="000000"/>
                <w:szCs w:val="21"/>
                <w:lang w:eastAsia="zh-Hans"/>
              </w:rPr>
              <w:t>信用中国</w:t>
            </w:r>
            <w:r>
              <w:rPr>
                <w:rFonts w:hint="eastAsia" w:ascii="Times New Roman" w:hAnsi="Times New Roman" w:eastAsia="宋体" w:cs="Times New Roman"/>
                <w:color w:val="000000"/>
                <w:szCs w:val="21"/>
                <w:lang w:eastAsia="zh-CN"/>
              </w:rPr>
              <w:t>网站的参评人诚信信用信息，</w:t>
            </w:r>
            <w:r>
              <w:rPr>
                <w:rFonts w:hint="eastAsia" w:ascii="Times New Roman" w:hAnsi="Times New Roman"/>
                <w:color w:val="000000"/>
                <w:szCs w:val="21"/>
                <w:lang w:eastAsia="zh-Hans"/>
              </w:rPr>
              <w:t>具有诚实守信相关荣誉信息得</w:t>
            </w:r>
            <w:r>
              <w:rPr>
                <w:rFonts w:hint="eastAsia" w:ascii="Times New Roman" w:hAnsi="Times New Roman"/>
                <w:color w:val="000000"/>
                <w:szCs w:val="21"/>
                <w:lang w:val="en-US" w:eastAsia="zh-Hans"/>
              </w:rPr>
              <w:t>5分</w:t>
            </w:r>
            <w:r>
              <w:rPr>
                <w:rFonts w:hint="eastAsia" w:ascii="Times New Roman" w:hAnsi="Times New Roman"/>
                <w:color w:val="000000"/>
                <w:szCs w:val="21"/>
                <w:lang w:eastAsia="zh-Hans"/>
              </w:rPr>
              <w:t>；</w:t>
            </w:r>
            <w:r>
              <w:rPr>
                <w:rFonts w:hint="eastAsia" w:ascii="Times New Roman" w:hAnsi="Times New Roman" w:eastAsia="宋体" w:cs="Times New Roman"/>
                <w:color w:val="000000"/>
                <w:szCs w:val="21"/>
                <w:lang w:eastAsia="zh-CN"/>
              </w:rPr>
              <w:t>信用情况正常得</w:t>
            </w:r>
            <w:r>
              <w:rPr>
                <w:rFonts w:hint="eastAsia" w:ascii="Times New Roman" w:hAnsi="Times New Roman" w:eastAsia="宋体" w:cs="Times New Roman"/>
                <w:color w:val="000000"/>
                <w:szCs w:val="21"/>
                <w:lang w:val="en-US" w:eastAsia="zh-CN"/>
              </w:rPr>
              <w:t>2分；</w:t>
            </w:r>
            <w:r>
              <w:rPr>
                <w:rFonts w:hint="eastAsia" w:ascii="Times New Roman" w:hAnsi="Times New Roman"/>
                <w:color w:val="000000"/>
                <w:szCs w:val="21"/>
                <w:lang w:eastAsia="zh-Hans"/>
              </w:rPr>
              <w:t>有经营（活动）异常名录（状态）信息得0分。</w:t>
            </w:r>
          </w:p>
          <w:p>
            <w:pPr>
              <w:keepNext w:val="0"/>
              <w:keepLines w:val="0"/>
              <w:suppressLineNumbers w:val="0"/>
              <w:spacing w:before="0" w:beforeAutospacing="0" w:after="0" w:afterAutospacing="0" w:line="240" w:lineRule="auto"/>
              <w:ind w:left="0" w:right="0"/>
              <w:jc w:val="left"/>
              <w:rPr>
                <w:rFonts w:hint="default" w:ascii="Times New Roman" w:hAnsi="Times New Roman"/>
                <w:color w:val="000000"/>
                <w:szCs w:val="20"/>
                <w:lang w:eastAsia="zh-Hans"/>
              </w:rPr>
            </w:pPr>
            <w:r>
              <w:rPr>
                <w:rFonts w:hint="eastAsia" w:ascii="Times New Roman" w:hAnsi="Times New Roman" w:eastAsia="宋体" w:cs="Times New Roman"/>
                <w:color w:val="000000"/>
                <w:szCs w:val="21"/>
                <w:lang w:eastAsia="zh-Hans"/>
              </w:rPr>
              <w:t>备注：</w:t>
            </w:r>
            <w:r>
              <w:rPr>
                <w:rFonts w:hint="eastAsia" w:ascii="Times New Roman" w:hAnsi="Times New Roman" w:eastAsia="宋体" w:cs="Times New Roman"/>
                <w:color w:val="000000"/>
                <w:szCs w:val="21"/>
                <w:lang w:eastAsia="zh-CN"/>
              </w:rPr>
              <w:t>需提供信用信息报告并</w:t>
            </w:r>
            <w:r>
              <w:rPr>
                <w:rFonts w:hint="eastAsia" w:ascii="Times New Roman" w:hAnsi="Times New Roman" w:eastAsia="宋体" w:cs="Times New Roman"/>
                <w:color w:val="000000"/>
                <w:szCs w:val="21"/>
                <w:lang w:eastAsia="zh-Hans"/>
              </w:rPr>
              <w:t>加盖公章。</w:t>
            </w:r>
          </w:p>
        </w:tc>
        <w:tc>
          <w:tcPr>
            <w:tcW w:w="922" w:type="dxa"/>
            <w:noWrap w:val="0"/>
            <w:vAlign w:val="top"/>
          </w:tcPr>
          <w:p>
            <w:pPr>
              <w:keepNext w:val="0"/>
              <w:keepLines w:val="0"/>
              <w:suppressLineNumbers w:val="0"/>
              <w:spacing w:before="0" w:beforeAutospacing="0" w:after="0" w:afterAutospacing="0"/>
              <w:ind w:left="0" w:right="0"/>
              <w:rPr>
                <w:rFonts w:hint="default"/>
                <w:szCs w:val="21"/>
              </w:rPr>
            </w:pPr>
          </w:p>
        </w:tc>
        <w:tc>
          <w:tcPr>
            <w:tcW w:w="945" w:type="dxa"/>
            <w:noWrap w:val="0"/>
            <w:vAlign w:val="top"/>
          </w:tcPr>
          <w:p>
            <w:pPr>
              <w:keepNext w:val="0"/>
              <w:keepLines w:val="0"/>
              <w:suppressLineNumbers w:val="0"/>
              <w:spacing w:before="0" w:beforeAutospacing="0" w:after="0" w:afterAutospacing="0"/>
              <w:ind w:left="0" w:right="0"/>
              <w:rPr>
                <w:rFonts w:hint="default"/>
                <w:szCs w:val="21"/>
              </w:rPr>
            </w:pPr>
          </w:p>
        </w:tc>
        <w:tc>
          <w:tcPr>
            <w:tcW w:w="860" w:type="dxa"/>
            <w:noWrap w:val="0"/>
            <w:vAlign w:val="top"/>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6" w:hRule="atLeast"/>
          <w:jc w:val="center"/>
        </w:trPr>
        <w:tc>
          <w:tcPr>
            <w:tcW w:w="503" w:type="dxa"/>
            <w:vMerge w:val="continue"/>
            <w:noWrap w:val="0"/>
            <w:vAlign w:val="center"/>
          </w:tcPr>
          <w:p>
            <w:pPr>
              <w:keepNext w:val="0"/>
              <w:keepLines w:val="0"/>
              <w:suppressLineNumbers w:val="0"/>
              <w:spacing w:before="0" w:beforeAutospacing="0" w:after="0" w:afterAutospacing="0"/>
              <w:ind w:left="0" w:right="0"/>
              <w:jc w:val="center"/>
              <w:rPr>
                <w:rFonts w:hint="default"/>
                <w:szCs w:val="21"/>
              </w:rPr>
            </w:pPr>
          </w:p>
        </w:tc>
        <w:tc>
          <w:tcPr>
            <w:tcW w:w="907" w:type="dxa"/>
            <w:noWrap w:val="0"/>
            <w:vAlign w:val="center"/>
          </w:tcPr>
          <w:p>
            <w:pPr>
              <w:keepNext w:val="0"/>
              <w:keepLines w:val="0"/>
              <w:suppressLineNumbers w:val="0"/>
              <w:spacing w:before="0" w:beforeAutospacing="0" w:after="0" w:afterAutospacing="0"/>
              <w:ind w:left="0" w:right="0"/>
              <w:rPr>
                <w:rFonts w:hint="eastAsia" w:eastAsia="宋体"/>
                <w:color w:val="000000"/>
                <w:szCs w:val="21"/>
                <w:lang w:eastAsia="zh-CN"/>
              </w:rPr>
            </w:pPr>
            <w:r>
              <w:rPr>
                <w:rFonts w:hint="eastAsia"/>
                <w:color w:val="000000"/>
                <w:szCs w:val="21"/>
                <w:lang w:eastAsia="zh-CN"/>
              </w:rPr>
              <w:t>专业技术能力</w:t>
            </w:r>
          </w:p>
        </w:tc>
        <w:tc>
          <w:tcPr>
            <w:tcW w:w="555" w:type="dxa"/>
            <w:noWrap w:val="0"/>
            <w:vAlign w:val="center"/>
          </w:tcPr>
          <w:p>
            <w:pPr>
              <w:keepNext w:val="0"/>
              <w:keepLines w:val="0"/>
              <w:suppressLineNumbers w:val="0"/>
              <w:spacing w:before="0" w:beforeAutospacing="0" w:after="0" w:afterAutospacing="0"/>
              <w:ind w:left="0" w:right="0"/>
              <w:rPr>
                <w:rFonts w:hint="default" w:eastAsia="宋体"/>
                <w:color w:val="000000"/>
                <w:szCs w:val="21"/>
                <w:lang w:val="en-US" w:eastAsia="zh-CN"/>
              </w:rPr>
            </w:pPr>
            <w:r>
              <w:rPr>
                <w:rFonts w:hint="eastAsia"/>
                <w:color w:val="000000"/>
                <w:szCs w:val="21"/>
                <w:lang w:val="en-US" w:eastAsia="zh-CN"/>
              </w:rPr>
              <w:t>5%</w:t>
            </w:r>
          </w:p>
        </w:tc>
        <w:tc>
          <w:tcPr>
            <w:tcW w:w="446" w:type="dxa"/>
            <w:noWrap w:val="0"/>
            <w:vAlign w:val="center"/>
          </w:tcPr>
          <w:p>
            <w:pPr>
              <w:keepNext w:val="0"/>
              <w:keepLines w:val="0"/>
              <w:suppressLineNumbers w:val="0"/>
              <w:spacing w:before="0" w:beforeAutospacing="0" w:after="0" w:afterAutospacing="0"/>
              <w:ind w:left="0" w:right="0"/>
              <w:rPr>
                <w:rFonts w:hint="eastAsia" w:eastAsia="宋体"/>
                <w:color w:val="000000"/>
                <w:szCs w:val="21"/>
                <w:lang w:val="en-US" w:eastAsia="zh-CN"/>
              </w:rPr>
            </w:pPr>
            <w:r>
              <w:rPr>
                <w:rFonts w:hint="eastAsia"/>
                <w:color w:val="000000"/>
                <w:szCs w:val="21"/>
                <w:lang w:val="en-US" w:eastAsia="zh-CN"/>
              </w:rPr>
              <w:t>5分</w:t>
            </w:r>
          </w:p>
        </w:tc>
        <w:tc>
          <w:tcPr>
            <w:tcW w:w="3920" w:type="dxa"/>
            <w:noWrap w:val="0"/>
            <w:vAlign w:val="center"/>
          </w:tcPr>
          <w:p>
            <w:pPr>
              <w:keepNext w:val="0"/>
              <w:keepLines w:val="0"/>
              <w:suppressLineNumbers w:val="0"/>
              <w:spacing w:before="0" w:beforeAutospacing="0" w:after="0" w:afterAutospacing="0" w:line="240" w:lineRule="auto"/>
              <w:ind w:left="0" w:right="0"/>
              <w:jc w:val="left"/>
              <w:rPr>
                <w:rFonts w:hint="default"/>
                <w:color w:val="000000"/>
                <w:szCs w:val="21"/>
                <w:lang w:eastAsia="zh-Hans"/>
              </w:rPr>
            </w:pPr>
            <w:r>
              <w:rPr>
                <w:rFonts w:hint="eastAsia"/>
                <w:color w:val="000000"/>
                <w:szCs w:val="21"/>
                <w:lang w:eastAsia="zh-Hans"/>
              </w:rPr>
              <w:t>1</w:t>
            </w:r>
            <w:r>
              <w:rPr>
                <w:rFonts w:hint="eastAsia" w:ascii="Times New Roman" w:hAnsi="Times New Roman" w:eastAsia="宋体" w:cs="Times New Roman"/>
                <w:color w:val="000000"/>
                <w:szCs w:val="21"/>
                <w:lang w:eastAsia="zh-CN"/>
              </w:rPr>
              <w:t>、</w:t>
            </w:r>
            <w:r>
              <w:rPr>
                <w:rFonts w:hint="eastAsia"/>
                <w:color w:val="000000"/>
                <w:szCs w:val="21"/>
              </w:rPr>
              <w:t>投入本项目的具有高级职称的专业技术人员10人（含）以上</w:t>
            </w:r>
            <w:r>
              <w:rPr>
                <w:rFonts w:hint="eastAsia"/>
                <w:color w:val="000000"/>
                <w:szCs w:val="21"/>
                <w:lang w:eastAsia="zh-Hans"/>
              </w:rPr>
              <w:t>；</w:t>
            </w:r>
          </w:p>
          <w:p>
            <w:pPr>
              <w:keepNext w:val="0"/>
              <w:keepLines w:val="0"/>
              <w:suppressLineNumbers w:val="0"/>
              <w:spacing w:before="0" w:beforeAutospacing="0" w:after="0" w:afterAutospacing="0" w:line="240" w:lineRule="auto"/>
              <w:ind w:left="0" w:right="0"/>
              <w:jc w:val="left"/>
              <w:rPr>
                <w:rFonts w:hint="default"/>
                <w:color w:val="000000"/>
                <w:szCs w:val="21"/>
                <w:lang w:eastAsia="zh-Hans"/>
              </w:rPr>
            </w:pPr>
            <w:r>
              <w:rPr>
                <w:rFonts w:hint="eastAsia"/>
                <w:color w:val="000000"/>
                <w:szCs w:val="21"/>
                <w:lang w:eastAsia="zh-Hans"/>
              </w:rPr>
              <w:t>2</w:t>
            </w:r>
            <w:r>
              <w:rPr>
                <w:rFonts w:hint="eastAsia" w:ascii="Times New Roman" w:hAnsi="Times New Roman" w:eastAsia="宋体" w:cs="Times New Roman"/>
                <w:color w:val="000000"/>
                <w:szCs w:val="21"/>
                <w:lang w:eastAsia="zh-CN"/>
              </w:rPr>
              <w:t>、</w:t>
            </w:r>
            <w:r>
              <w:rPr>
                <w:rFonts w:hint="eastAsia"/>
                <w:color w:val="000000"/>
                <w:szCs w:val="21"/>
              </w:rPr>
              <w:t>投入本项目的具有</w:t>
            </w:r>
            <w:r>
              <w:rPr>
                <w:rFonts w:hint="eastAsia" w:ascii="Times New Roman" w:hAnsi="Times New Roman" w:eastAsia="宋体" w:cs="Times New Roman"/>
                <w:color w:val="000000"/>
                <w:szCs w:val="21"/>
                <w:lang w:eastAsia="zh-CN"/>
              </w:rPr>
              <w:t>中</w:t>
            </w:r>
            <w:r>
              <w:rPr>
                <w:rFonts w:hint="eastAsia"/>
                <w:color w:val="000000"/>
                <w:szCs w:val="21"/>
              </w:rPr>
              <w:t>级职称的专业技术人员</w:t>
            </w:r>
            <w:r>
              <w:rPr>
                <w:rFonts w:hint="eastAsia" w:ascii="Times New Roman" w:hAnsi="Times New Roman" w:eastAsia="宋体" w:cs="Times New Roman"/>
                <w:color w:val="000000"/>
                <w:szCs w:val="21"/>
                <w:lang w:eastAsia="zh-CN"/>
              </w:rPr>
              <w:t>2</w:t>
            </w:r>
            <w:r>
              <w:rPr>
                <w:rFonts w:hint="eastAsia" w:ascii="Times New Roman" w:hAnsi="Times New Roman" w:eastAsia="宋体" w:cs="Times New Roman"/>
                <w:color w:val="000000"/>
                <w:szCs w:val="21"/>
                <w:lang w:val="en-US" w:eastAsia="zh-CN"/>
              </w:rPr>
              <w:t>0</w:t>
            </w:r>
            <w:r>
              <w:rPr>
                <w:rFonts w:hint="eastAsia"/>
                <w:color w:val="000000"/>
                <w:szCs w:val="21"/>
              </w:rPr>
              <w:t>人（含）以上</w:t>
            </w:r>
            <w:r>
              <w:rPr>
                <w:rFonts w:hint="eastAsia" w:ascii="Times New Roman" w:hAnsi="Times New Roman" w:eastAsia="宋体" w:cs="Times New Roman"/>
                <w:color w:val="000000"/>
                <w:szCs w:val="21"/>
                <w:lang w:eastAsia="zh-CN"/>
              </w:rPr>
              <w:t>；</w:t>
            </w:r>
          </w:p>
          <w:p>
            <w:pPr>
              <w:keepNext w:val="0"/>
              <w:keepLines w:val="0"/>
              <w:numPr>
                <w:ilvl w:val="0"/>
                <w:numId w:val="7"/>
              </w:numPr>
              <w:suppressLineNumbers w:val="0"/>
              <w:spacing w:before="0" w:beforeAutospacing="0" w:after="0" w:afterAutospacing="0" w:line="240" w:lineRule="auto"/>
              <w:ind w:left="0" w:right="0"/>
              <w:jc w:val="left"/>
              <w:rPr>
                <w:rFonts w:hint="eastAsia" w:ascii="Times New Roman" w:hAnsi="Times New Roman" w:eastAsia="宋体" w:cs="Times New Roman"/>
                <w:color w:val="000000"/>
                <w:szCs w:val="21"/>
                <w:lang w:val="en-US" w:eastAsia="zh-Hans"/>
              </w:rPr>
            </w:pPr>
            <w:r>
              <w:rPr>
                <w:rFonts w:hint="eastAsia" w:ascii="Times New Roman" w:hAnsi="Times New Roman" w:eastAsia="宋体" w:cs="Times New Roman"/>
                <w:color w:val="000000"/>
                <w:szCs w:val="21"/>
                <w:lang w:val="en-US" w:eastAsia="zh-CN"/>
              </w:rPr>
              <w:t>参评人</w:t>
            </w:r>
            <w:r>
              <w:rPr>
                <w:rFonts w:hint="eastAsia" w:ascii="Times New Roman" w:hAnsi="Times New Roman"/>
                <w:color w:val="000000"/>
                <w:szCs w:val="21"/>
                <w:lang w:val="en-US" w:eastAsia="zh-Hans"/>
              </w:rPr>
              <w:t>具有</w:t>
            </w:r>
            <w:r>
              <w:rPr>
                <w:rFonts w:hint="eastAsia" w:ascii="Times New Roman" w:hAnsi="Times New Roman" w:eastAsia="宋体" w:cs="Times New Roman"/>
                <w:color w:val="000000"/>
                <w:szCs w:val="21"/>
                <w:lang w:val="en-US" w:eastAsia="zh-CN"/>
              </w:rPr>
              <w:t>专业</w:t>
            </w:r>
            <w:r>
              <w:rPr>
                <w:rFonts w:hint="eastAsia" w:ascii="Times New Roman" w:hAnsi="Times New Roman"/>
                <w:color w:val="000000"/>
                <w:szCs w:val="21"/>
                <w:lang w:val="en-US" w:eastAsia="zh-Hans"/>
              </w:rPr>
              <w:t>检验检测</w:t>
            </w:r>
            <w:r>
              <w:rPr>
                <w:rFonts w:hint="eastAsia" w:ascii="Times New Roman" w:hAnsi="Times New Roman" w:eastAsia="宋体" w:cs="Times New Roman"/>
                <w:color w:val="000000"/>
                <w:szCs w:val="21"/>
                <w:lang w:val="en-US" w:eastAsia="zh-CN"/>
              </w:rPr>
              <w:t>仪器</w:t>
            </w:r>
            <w:r>
              <w:rPr>
                <w:rFonts w:hint="eastAsia" w:ascii="Times New Roman" w:hAnsi="Times New Roman"/>
                <w:color w:val="000000"/>
                <w:szCs w:val="21"/>
                <w:lang w:val="en-US" w:eastAsia="zh-Hans"/>
              </w:rPr>
              <w:t>设备、</w:t>
            </w:r>
            <w:r>
              <w:rPr>
                <w:rFonts w:hint="eastAsia" w:ascii="Times New Roman" w:hAnsi="Times New Roman" w:eastAsia="宋体" w:cs="Times New Roman"/>
                <w:color w:val="000000"/>
                <w:szCs w:val="21"/>
                <w:lang w:val="en-US" w:eastAsia="zh-CN"/>
              </w:rPr>
              <w:t>检验</w:t>
            </w:r>
            <w:r>
              <w:rPr>
                <w:rFonts w:hint="eastAsia" w:ascii="Times New Roman" w:hAnsi="Times New Roman"/>
                <w:color w:val="000000"/>
                <w:szCs w:val="21"/>
                <w:lang w:val="en-US" w:eastAsia="zh-Hans"/>
              </w:rPr>
              <w:t>方法、质量保证体系</w:t>
            </w:r>
            <w:r>
              <w:rPr>
                <w:rFonts w:hint="eastAsia" w:ascii="Times New Roman" w:hAnsi="Times New Roman" w:eastAsia="宋体" w:cs="Times New Roman"/>
                <w:color w:val="000000"/>
                <w:szCs w:val="21"/>
                <w:lang w:val="en-US" w:eastAsia="zh-CN"/>
              </w:rPr>
              <w:t>和措施</w:t>
            </w:r>
            <w:r>
              <w:rPr>
                <w:rFonts w:hint="eastAsia" w:ascii="Times New Roman" w:hAnsi="Times New Roman"/>
                <w:color w:val="000000"/>
                <w:szCs w:val="21"/>
                <w:lang w:val="en-US" w:eastAsia="zh-Hans"/>
              </w:rPr>
              <w:t>。</w:t>
            </w:r>
          </w:p>
          <w:p>
            <w:pPr>
              <w:keepNext w:val="0"/>
              <w:keepLines w:val="0"/>
              <w:numPr>
                <w:ilvl w:val="0"/>
                <w:numId w:val="0"/>
              </w:numPr>
              <w:suppressLineNumbers w:val="0"/>
              <w:spacing w:before="0" w:beforeAutospacing="0" w:after="0" w:afterAutospacing="0" w:line="240" w:lineRule="auto"/>
              <w:ind w:left="0" w:right="0"/>
              <w:jc w:val="left"/>
              <w:rPr>
                <w:rFonts w:hint="default" w:ascii="Times New Roman" w:hAnsi="Times New Roman"/>
                <w:color w:val="000000"/>
                <w:szCs w:val="20"/>
                <w:lang w:val="en-US" w:eastAsia="zh-Hans"/>
              </w:rPr>
            </w:pPr>
            <w:r>
              <w:rPr>
                <w:rFonts w:hint="eastAsia" w:ascii="Times New Roman" w:hAnsi="Times New Roman" w:eastAsia="宋体" w:cs="Times New Roman"/>
                <w:color w:val="000000"/>
                <w:szCs w:val="21"/>
                <w:lang w:eastAsia="zh-Hans"/>
              </w:rPr>
              <w:t>同时满足</w:t>
            </w:r>
            <w:r>
              <w:rPr>
                <w:rFonts w:hint="eastAsia" w:ascii="Times New Roman" w:hAnsi="Times New Roman" w:eastAsia="宋体" w:cs="Times New Roman"/>
                <w:color w:val="000000"/>
                <w:szCs w:val="21"/>
                <w:lang w:eastAsia="zh-CN"/>
              </w:rPr>
              <w:t>三</w:t>
            </w:r>
            <w:r>
              <w:rPr>
                <w:rFonts w:hint="eastAsia" w:ascii="Times New Roman" w:hAnsi="Times New Roman" w:eastAsia="宋体" w:cs="Times New Roman"/>
                <w:color w:val="000000"/>
                <w:szCs w:val="21"/>
                <w:lang w:eastAsia="zh-Hans"/>
              </w:rPr>
              <w:t>项的得5分，满足第1项的得</w:t>
            </w:r>
            <w:r>
              <w:rPr>
                <w:rFonts w:hint="eastAsia" w:ascii="Times New Roman" w:hAnsi="Times New Roman" w:eastAsia="宋体" w:cs="Times New Roman"/>
                <w:color w:val="000000"/>
                <w:szCs w:val="21"/>
                <w:lang w:val="en-US" w:eastAsia="zh-CN"/>
              </w:rPr>
              <w:t>3</w:t>
            </w:r>
            <w:r>
              <w:rPr>
                <w:rFonts w:hint="eastAsia" w:ascii="Times New Roman" w:hAnsi="Times New Roman" w:eastAsia="宋体" w:cs="Times New Roman"/>
                <w:color w:val="000000"/>
                <w:szCs w:val="21"/>
                <w:lang w:eastAsia="zh-Hans"/>
              </w:rPr>
              <w:t>分，满足第2项的得</w:t>
            </w:r>
            <w:r>
              <w:rPr>
                <w:rFonts w:hint="eastAsia" w:ascii="Times New Roman" w:hAnsi="Times New Roman" w:eastAsia="宋体" w:cs="Times New Roman"/>
                <w:color w:val="000000"/>
                <w:szCs w:val="21"/>
                <w:lang w:val="en-US" w:eastAsia="zh-CN"/>
              </w:rPr>
              <w:t>2</w:t>
            </w:r>
            <w:r>
              <w:rPr>
                <w:rFonts w:hint="eastAsia" w:ascii="Times New Roman" w:hAnsi="Times New Roman" w:eastAsia="宋体" w:cs="Times New Roman"/>
                <w:color w:val="000000"/>
                <w:szCs w:val="21"/>
                <w:lang w:eastAsia="zh-Hans"/>
              </w:rPr>
              <w:t>分，</w:t>
            </w:r>
            <w:r>
              <w:rPr>
                <w:rFonts w:hint="eastAsia" w:ascii="Times New Roman" w:hAnsi="Times New Roman" w:eastAsia="宋体" w:cs="Times New Roman"/>
                <w:color w:val="000000"/>
                <w:szCs w:val="21"/>
                <w:lang w:eastAsia="zh-CN"/>
              </w:rPr>
              <w:t>满足第</w:t>
            </w:r>
            <w:r>
              <w:rPr>
                <w:rFonts w:hint="eastAsia" w:ascii="Times New Roman" w:hAnsi="Times New Roman" w:eastAsia="宋体" w:cs="Times New Roman"/>
                <w:color w:val="000000"/>
                <w:szCs w:val="21"/>
                <w:lang w:val="en-US" w:eastAsia="zh-CN"/>
              </w:rPr>
              <w:t>3项的得1分，不满足项目扣除相应分数</w:t>
            </w:r>
            <w:r>
              <w:rPr>
                <w:rFonts w:hint="eastAsia" w:ascii="Times New Roman" w:hAnsi="Times New Roman" w:eastAsia="宋体" w:cs="Times New Roman"/>
                <w:color w:val="000000"/>
                <w:szCs w:val="21"/>
                <w:lang w:eastAsia="zh-Hans"/>
              </w:rPr>
              <w:t>。</w:t>
            </w:r>
          </w:p>
          <w:p>
            <w:pPr>
              <w:keepNext w:val="0"/>
              <w:keepLines w:val="0"/>
              <w:suppressLineNumbers w:val="0"/>
              <w:spacing w:before="0" w:beforeAutospacing="0" w:after="0" w:afterAutospacing="0" w:line="240" w:lineRule="auto"/>
              <w:ind w:left="0" w:right="0"/>
              <w:jc w:val="left"/>
              <w:rPr>
                <w:rFonts w:hint="eastAsia" w:ascii="Times New Roman" w:hAnsi="Times New Roman"/>
                <w:color w:val="000000"/>
                <w:szCs w:val="20"/>
                <w:lang w:val="en-US" w:eastAsia="zh-Hans"/>
              </w:rPr>
            </w:pPr>
            <w:r>
              <w:rPr>
                <w:rFonts w:hint="eastAsia" w:ascii="Times New Roman" w:hAnsi="Times New Roman"/>
                <w:color w:val="000000"/>
                <w:szCs w:val="21"/>
                <w:lang w:val="en-US" w:eastAsia="zh-Hans"/>
              </w:rPr>
              <w:t>备注：需提供证明文件加盖公章。</w:t>
            </w:r>
          </w:p>
        </w:tc>
        <w:tc>
          <w:tcPr>
            <w:tcW w:w="922" w:type="dxa"/>
            <w:noWrap w:val="0"/>
            <w:vAlign w:val="top"/>
          </w:tcPr>
          <w:p>
            <w:pPr>
              <w:keepNext w:val="0"/>
              <w:keepLines w:val="0"/>
              <w:suppressLineNumbers w:val="0"/>
              <w:spacing w:before="0" w:beforeAutospacing="0" w:after="0" w:afterAutospacing="0"/>
              <w:ind w:left="0" w:right="0"/>
              <w:rPr>
                <w:rFonts w:hint="default"/>
                <w:szCs w:val="21"/>
              </w:rPr>
            </w:pPr>
          </w:p>
        </w:tc>
        <w:tc>
          <w:tcPr>
            <w:tcW w:w="945" w:type="dxa"/>
            <w:noWrap w:val="0"/>
            <w:vAlign w:val="top"/>
          </w:tcPr>
          <w:p>
            <w:pPr>
              <w:keepNext w:val="0"/>
              <w:keepLines w:val="0"/>
              <w:suppressLineNumbers w:val="0"/>
              <w:spacing w:before="0" w:beforeAutospacing="0" w:after="0" w:afterAutospacing="0"/>
              <w:ind w:left="0" w:right="0"/>
              <w:rPr>
                <w:rFonts w:hint="default"/>
                <w:szCs w:val="21"/>
              </w:rPr>
            </w:pPr>
          </w:p>
        </w:tc>
        <w:tc>
          <w:tcPr>
            <w:tcW w:w="860" w:type="dxa"/>
            <w:noWrap w:val="0"/>
            <w:vAlign w:val="top"/>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503" w:type="dxa"/>
            <w:vMerge w:val="continue"/>
            <w:noWrap w:val="0"/>
            <w:vAlign w:val="center"/>
          </w:tcPr>
          <w:p>
            <w:pPr>
              <w:keepNext w:val="0"/>
              <w:keepLines w:val="0"/>
              <w:suppressLineNumbers w:val="0"/>
              <w:spacing w:before="0" w:beforeAutospacing="0" w:after="0" w:afterAutospacing="0"/>
              <w:ind w:left="0" w:right="0"/>
              <w:jc w:val="center"/>
              <w:rPr>
                <w:rFonts w:hint="default"/>
                <w:szCs w:val="21"/>
              </w:rPr>
            </w:pPr>
          </w:p>
        </w:tc>
        <w:tc>
          <w:tcPr>
            <w:tcW w:w="907" w:type="dxa"/>
            <w:noWrap w:val="0"/>
            <w:vAlign w:val="center"/>
          </w:tcPr>
          <w:p>
            <w:pPr>
              <w:keepNext w:val="0"/>
              <w:keepLines w:val="0"/>
              <w:suppressLineNumbers w:val="0"/>
              <w:spacing w:before="0" w:beforeAutospacing="0" w:after="0" w:afterAutospacing="0"/>
              <w:ind w:left="0" w:right="0"/>
              <w:rPr>
                <w:rFonts w:hint="default"/>
                <w:color w:val="000000"/>
                <w:szCs w:val="21"/>
                <w:lang w:eastAsia="zh-Hans"/>
              </w:rPr>
            </w:pPr>
            <w:r>
              <w:rPr>
                <w:rFonts w:hint="eastAsia"/>
                <w:color w:val="000000"/>
                <w:szCs w:val="21"/>
                <w:lang w:eastAsia="zh-Hans"/>
              </w:rPr>
              <w:t>相关认证认可</w:t>
            </w:r>
          </w:p>
        </w:tc>
        <w:tc>
          <w:tcPr>
            <w:tcW w:w="555"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szCs w:val="21"/>
              </w:rPr>
              <w:t>5%</w:t>
            </w:r>
          </w:p>
        </w:tc>
        <w:tc>
          <w:tcPr>
            <w:tcW w:w="446"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szCs w:val="21"/>
              </w:rPr>
              <w:t>5分</w:t>
            </w:r>
          </w:p>
        </w:tc>
        <w:tc>
          <w:tcPr>
            <w:tcW w:w="3920" w:type="dxa"/>
            <w:noWrap w:val="0"/>
            <w:vAlign w:val="center"/>
          </w:tcPr>
          <w:p>
            <w:pPr>
              <w:keepNext w:val="0"/>
              <w:keepLines w:val="0"/>
              <w:suppressLineNumbers w:val="0"/>
              <w:spacing w:before="0" w:beforeAutospacing="0" w:after="0" w:afterAutospacing="0" w:line="240" w:lineRule="auto"/>
              <w:ind w:left="0" w:right="0"/>
              <w:jc w:val="left"/>
              <w:rPr>
                <w:rFonts w:hint="default" w:ascii="Times New Roman" w:hAnsi="Times New Roman" w:eastAsia="宋体"/>
                <w:color w:val="000000"/>
                <w:szCs w:val="20"/>
                <w:lang w:eastAsia="zh-Hans"/>
              </w:rPr>
            </w:pPr>
            <w:r>
              <w:rPr>
                <w:rFonts w:hint="eastAsia" w:ascii="Times New Roman" w:hAnsi="Times New Roman"/>
                <w:color w:val="000000"/>
                <w:szCs w:val="21"/>
                <w:lang w:eastAsia="zh-Hans"/>
              </w:rPr>
              <w:t>取得CNAS认可证书且能覆盖本包中检测项目覆盖产品比例80%（含）以上得5分，60%（含）～80%得4分，50%（含）～60%得3分，60%以下得2分。</w:t>
            </w:r>
          </w:p>
        </w:tc>
        <w:tc>
          <w:tcPr>
            <w:tcW w:w="922" w:type="dxa"/>
            <w:noWrap w:val="0"/>
            <w:vAlign w:val="top"/>
          </w:tcPr>
          <w:p>
            <w:pPr>
              <w:keepNext w:val="0"/>
              <w:keepLines w:val="0"/>
              <w:suppressLineNumbers w:val="0"/>
              <w:spacing w:before="0" w:beforeAutospacing="0" w:after="0" w:afterAutospacing="0"/>
              <w:ind w:left="0" w:right="0"/>
              <w:rPr>
                <w:rFonts w:hint="default"/>
                <w:szCs w:val="21"/>
              </w:rPr>
            </w:pPr>
          </w:p>
        </w:tc>
        <w:tc>
          <w:tcPr>
            <w:tcW w:w="945" w:type="dxa"/>
            <w:noWrap w:val="0"/>
            <w:vAlign w:val="top"/>
          </w:tcPr>
          <w:p>
            <w:pPr>
              <w:keepNext w:val="0"/>
              <w:keepLines w:val="0"/>
              <w:suppressLineNumbers w:val="0"/>
              <w:spacing w:before="0" w:beforeAutospacing="0" w:after="0" w:afterAutospacing="0"/>
              <w:ind w:left="0" w:right="0"/>
              <w:rPr>
                <w:rFonts w:hint="default"/>
                <w:szCs w:val="21"/>
              </w:rPr>
            </w:pPr>
          </w:p>
        </w:tc>
        <w:tc>
          <w:tcPr>
            <w:tcW w:w="860" w:type="dxa"/>
            <w:noWrap w:val="0"/>
            <w:vAlign w:val="top"/>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jc w:val="center"/>
        </w:trPr>
        <w:tc>
          <w:tcPr>
            <w:tcW w:w="503" w:type="dxa"/>
            <w:vMerge w:val="continue"/>
            <w:noWrap w:val="0"/>
            <w:vAlign w:val="center"/>
          </w:tcPr>
          <w:p>
            <w:pPr>
              <w:keepNext w:val="0"/>
              <w:keepLines w:val="0"/>
              <w:suppressLineNumbers w:val="0"/>
              <w:spacing w:before="0" w:beforeAutospacing="0" w:after="0" w:afterAutospacing="0"/>
              <w:ind w:left="0" w:right="0"/>
              <w:jc w:val="center"/>
              <w:rPr>
                <w:rFonts w:hint="default"/>
                <w:szCs w:val="21"/>
              </w:rPr>
            </w:pPr>
          </w:p>
        </w:tc>
        <w:tc>
          <w:tcPr>
            <w:tcW w:w="907" w:type="dxa"/>
            <w:noWrap w:val="0"/>
            <w:vAlign w:val="center"/>
          </w:tcPr>
          <w:p>
            <w:pPr>
              <w:keepNext w:val="0"/>
              <w:keepLines w:val="0"/>
              <w:suppressLineNumbers w:val="0"/>
              <w:spacing w:before="0" w:beforeAutospacing="0" w:after="0" w:afterAutospacing="0"/>
              <w:ind w:left="0" w:right="0"/>
              <w:rPr>
                <w:rFonts w:hint="eastAsia"/>
                <w:color w:val="000000"/>
                <w:szCs w:val="21"/>
                <w:lang w:eastAsia="zh-Hans"/>
              </w:rPr>
            </w:pPr>
            <w:r>
              <w:rPr>
                <w:rFonts w:hint="eastAsia"/>
                <w:color w:val="000000"/>
                <w:szCs w:val="21"/>
                <w:lang w:eastAsia="zh-Hans"/>
              </w:rPr>
              <w:t>类似</w:t>
            </w:r>
          </w:p>
          <w:p>
            <w:pPr>
              <w:keepNext w:val="0"/>
              <w:keepLines w:val="0"/>
              <w:suppressLineNumbers w:val="0"/>
              <w:spacing w:before="0" w:beforeAutospacing="0" w:after="0" w:afterAutospacing="0"/>
              <w:ind w:left="0" w:right="0"/>
              <w:rPr>
                <w:rFonts w:hint="default"/>
                <w:color w:val="000000"/>
                <w:szCs w:val="21"/>
                <w:lang w:eastAsia="zh-Hans"/>
              </w:rPr>
            </w:pPr>
            <w:r>
              <w:rPr>
                <w:rFonts w:hint="eastAsia"/>
                <w:color w:val="000000"/>
                <w:szCs w:val="21"/>
                <w:lang w:eastAsia="zh-Hans"/>
              </w:rPr>
              <w:t>业绩</w:t>
            </w:r>
          </w:p>
        </w:tc>
        <w:tc>
          <w:tcPr>
            <w:tcW w:w="555"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szCs w:val="21"/>
              </w:rPr>
              <w:t>10</w:t>
            </w:r>
            <w:r>
              <w:rPr>
                <w:rFonts w:hint="default"/>
                <w:szCs w:val="21"/>
              </w:rPr>
              <w:t>%</w:t>
            </w:r>
          </w:p>
        </w:tc>
        <w:tc>
          <w:tcPr>
            <w:tcW w:w="446" w:type="dxa"/>
            <w:noWrap w:val="0"/>
            <w:vAlign w:val="center"/>
          </w:tcPr>
          <w:p>
            <w:pPr>
              <w:keepNext w:val="0"/>
              <w:keepLines w:val="0"/>
              <w:suppressLineNumbers w:val="0"/>
              <w:spacing w:before="0" w:beforeAutospacing="0" w:after="0" w:afterAutospacing="0"/>
              <w:ind w:left="0" w:right="0"/>
              <w:rPr>
                <w:rFonts w:hint="default"/>
                <w:szCs w:val="21"/>
              </w:rPr>
            </w:pPr>
            <w:r>
              <w:rPr>
                <w:rFonts w:hint="eastAsia"/>
                <w:szCs w:val="21"/>
              </w:rPr>
              <w:t>10</w:t>
            </w:r>
            <w:r>
              <w:rPr>
                <w:rFonts w:hint="eastAsia"/>
                <w:szCs w:val="21"/>
                <w:lang w:eastAsia="zh-Hans"/>
              </w:rPr>
              <w:t>分</w:t>
            </w:r>
          </w:p>
        </w:tc>
        <w:tc>
          <w:tcPr>
            <w:tcW w:w="3920" w:type="dxa"/>
            <w:noWrap w:val="0"/>
            <w:vAlign w:val="center"/>
          </w:tcPr>
          <w:p>
            <w:pPr>
              <w:keepNext w:val="0"/>
              <w:keepLines w:val="0"/>
              <w:suppressLineNumbers w:val="0"/>
              <w:spacing w:before="0" w:beforeAutospacing="0" w:after="0" w:afterAutospacing="0" w:line="240" w:lineRule="auto"/>
              <w:ind w:left="0" w:right="0"/>
              <w:jc w:val="left"/>
              <w:rPr>
                <w:rFonts w:hint="eastAsia" w:ascii="Times New Roman" w:hAnsi="Times New Roman"/>
                <w:color w:val="000000"/>
                <w:szCs w:val="20"/>
                <w:lang w:eastAsia="zh-Hans"/>
              </w:rPr>
            </w:pPr>
            <w:r>
              <w:rPr>
                <w:rFonts w:hint="eastAsia" w:ascii="Times New Roman" w:hAnsi="Times New Roman"/>
                <w:color w:val="000000"/>
                <w:szCs w:val="21"/>
                <w:lang w:eastAsia="zh-Hans"/>
              </w:rPr>
              <w:t>1、自2020年以来，具有国家级消防产品专项监督抽查业绩的，每提供一项得3分，共6分，加满即止。</w:t>
            </w:r>
          </w:p>
          <w:p>
            <w:pPr>
              <w:keepNext w:val="0"/>
              <w:keepLines w:val="0"/>
              <w:suppressLineNumbers w:val="0"/>
              <w:spacing w:before="0" w:beforeAutospacing="0" w:after="0" w:afterAutospacing="0" w:line="240" w:lineRule="auto"/>
              <w:ind w:left="0" w:right="0"/>
              <w:jc w:val="left"/>
              <w:rPr>
                <w:rFonts w:hint="eastAsia" w:ascii="Times New Roman" w:hAnsi="Times New Roman"/>
                <w:color w:val="000000"/>
                <w:szCs w:val="20"/>
                <w:lang w:eastAsia="zh-Hans"/>
              </w:rPr>
            </w:pPr>
            <w:r>
              <w:rPr>
                <w:rFonts w:hint="eastAsia" w:ascii="Times New Roman" w:hAnsi="Times New Roman"/>
                <w:color w:val="000000"/>
                <w:szCs w:val="21"/>
                <w:lang w:eastAsia="zh-Hans"/>
              </w:rPr>
              <w:t>2、自2020年以来，具有省级消防部门组织的消防产品监督抽查项目业绩的，每提供一项得1分，共4分，加满为止。</w:t>
            </w:r>
          </w:p>
          <w:p>
            <w:pPr>
              <w:keepNext w:val="0"/>
              <w:keepLines w:val="0"/>
              <w:suppressLineNumbers w:val="0"/>
              <w:spacing w:before="0" w:beforeAutospacing="0" w:after="0" w:afterAutospacing="0" w:line="240" w:lineRule="auto"/>
              <w:ind w:left="0" w:right="0"/>
              <w:jc w:val="left"/>
              <w:rPr>
                <w:rFonts w:hint="eastAsia" w:ascii="Times New Roman" w:hAnsi="Times New Roman"/>
                <w:color w:val="000000"/>
                <w:szCs w:val="20"/>
                <w:lang w:eastAsia="zh-Hans"/>
              </w:rPr>
            </w:pPr>
            <w:r>
              <w:rPr>
                <w:rFonts w:hint="eastAsia" w:ascii="Times New Roman" w:hAnsi="Times New Roman"/>
                <w:color w:val="000000"/>
                <w:szCs w:val="21"/>
                <w:lang w:eastAsia="zh-Hans"/>
              </w:rPr>
              <w:t>备注：需提供项目合同扫描件或委托书或任务通知书复印件加盖公章。</w:t>
            </w:r>
          </w:p>
        </w:tc>
        <w:tc>
          <w:tcPr>
            <w:tcW w:w="922" w:type="dxa"/>
            <w:noWrap w:val="0"/>
            <w:vAlign w:val="top"/>
          </w:tcPr>
          <w:p>
            <w:pPr>
              <w:keepNext w:val="0"/>
              <w:keepLines w:val="0"/>
              <w:suppressLineNumbers w:val="0"/>
              <w:spacing w:before="0" w:beforeAutospacing="0" w:after="0" w:afterAutospacing="0"/>
              <w:ind w:left="0" w:right="0"/>
              <w:rPr>
                <w:rFonts w:hint="default"/>
                <w:color w:val="000000"/>
                <w:szCs w:val="21"/>
              </w:rPr>
            </w:pPr>
          </w:p>
        </w:tc>
        <w:tc>
          <w:tcPr>
            <w:tcW w:w="945" w:type="dxa"/>
            <w:noWrap w:val="0"/>
            <w:vAlign w:val="top"/>
          </w:tcPr>
          <w:p>
            <w:pPr>
              <w:keepNext w:val="0"/>
              <w:keepLines w:val="0"/>
              <w:suppressLineNumbers w:val="0"/>
              <w:spacing w:before="0" w:beforeAutospacing="0" w:after="0" w:afterAutospacing="0"/>
              <w:ind w:left="0" w:right="0"/>
              <w:rPr>
                <w:rFonts w:hint="default"/>
                <w:color w:val="000000"/>
                <w:szCs w:val="21"/>
              </w:rPr>
            </w:pPr>
          </w:p>
        </w:tc>
        <w:tc>
          <w:tcPr>
            <w:tcW w:w="860" w:type="dxa"/>
            <w:noWrap w:val="0"/>
            <w:vAlign w:val="top"/>
          </w:tcPr>
          <w:p>
            <w:pPr>
              <w:keepNext w:val="0"/>
              <w:keepLines w:val="0"/>
              <w:suppressLineNumbers w:val="0"/>
              <w:spacing w:before="0" w:beforeAutospacing="0" w:after="0" w:afterAutospacing="0"/>
              <w:ind w:left="0" w:right="0"/>
              <w:rPr>
                <w:rFonts w:hint="default"/>
                <w:szCs w:val="21"/>
              </w:rPr>
            </w:pPr>
          </w:p>
        </w:tc>
      </w:tr>
      <w:bookmarkEnd w:id="14"/>
    </w:tbl>
    <w:p>
      <w:pPr>
        <w:pStyle w:val="7"/>
        <w:rPr>
          <w:vanish/>
        </w:rPr>
      </w:pPr>
      <w:r>
        <w:rPr>
          <w:rFonts w:cs="Arial"/>
        </w:rPr>
        <w:br w:type="page"/>
      </w:r>
    </w:p>
    <w:tbl>
      <w:tblPr>
        <w:tblStyle w:val="25"/>
        <w:tblW w:w="5000" w:type="pct"/>
        <w:tblCellSpacing w:w="15" w:type="dxa"/>
        <w:tblInd w:w="0" w:type="dxa"/>
        <w:tblLayout w:type="autofit"/>
        <w:tblCellMar>
          <w:top w:w="15" w:type="dxa"/>
          <w:left w:w="15" w:type="dxa"/>
          <w:bottom w:w="15" w:type="dxa"/>
          <w:right w:w="15" w:type="dxa"/>
        </w:tblCellMar>
      </w:tblPr>
      <w:tblGrid>
        <w:gridCol w:w="8396"/>
      </w:tblGrid>
      <w:tr>
        <w:tblPrEx>
          <w:tblCellMar>
            <w:top w:w="15" w:type="dxa"/>
            <w:left w:w="15" w:type="dxa"/>
            <w:bottom w:w="15" w:type="dxa"/>
            <w:right w:w="15" w:type="dxa"/>
          </w:tblCellMar>
        </w:tblPrEx>
        <w:trPr>
          <w:tblCellSpacing w:w="15" w:type="dxa"/>
        </w:trPr>
        <w:tc>
          <w:tcPr>
            <w:tcW w:w="0" w:type="auto"/>
            <w:noWrap w:val="0"/>
            <w:vAlign w:val="center"/>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Style w:val="28"/>
                <w:rFonts w:hint="default"/>
                <w:sz w:val="36"/>
                <w:szCs w:val="36"/>
              </w:rPr>
              <w:t>技术打分表</w:t>
            </w:r>
          </w:p>
        </w:tc>
      </w:tr>
    </w:tbl>
    <w:p>
      <w:pPr>
        <w:rPr>
          <w:vanish/>
        </w:rPr>
      </w:pPr>
    </w:p>
    <w:tbl>
      <w:tblPr>
        <w:tblStyle w:val="25"/>
        <w:tblW w:w="5000" w:type="pct"/>
        <w:tblCellSpacing w:w="15" w:type="dxa"/>
        <w:tblInd w:w="0" w:type="dxa"/>
        <w:tblLayout w:type="autofit"/>
        <w:tblCellMar>
          <w:top w:w="15" w:type="dxa"/>
          <w:left w:w="15" w:type="dxa"/>
          <w:bottom w:w="15" w:type="dxa"/>
          <w:right w:w="15" w:type="dxa"/>
        </w:tblCellMar>
      </w:tblPr>
      <w:tblGrid>
        <w:gridCol w:w="4484"/>
        <w:gridCol w:w="3912"/>
      </w:tblGrid>
      <w:tr>
        <w:tblPrEx>
          <w:tblCellMar>
            <w:top w:w="15" w:type="dxa"/>
            <w:left w:w="15" w:type="dxa"/>
            <w:bottom w:w="15" w:type="dxa"/>
            <w:right w:w="15" w:type="dxa"/>
          </w:tblCellMar>
        </w:tblPrEx>
        <w:trPr>
          <w:tblCellSpacing w:w="15" w:type="dxa"/>
        </w:trPr>
        <w:tc>
          <w:tcPr>
            <w:tcW w:w="0" w:type="auto"/>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项目名称：</w:t>
            </w:r>
          </w:p>
        </w:tc>
        <w:tc>
          <w:tcPr>
            <w:tcW w:w="0" w:type="auto"/>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招标编号:</w:t>
            </w:r>
          </w:p>
        </w:tc>
      </w:tr>
    </w:tbl>
    <w:p>
      <w:pPr>
        <w:rPr>
          <w:vanish/>
        </w:rPr>
      </w:pPr>
    </w:p>
    <w:tbl>
      <w:tblPr>
        <w:tblStyle w:val="25"/>
        <w:tblW w:w="5000"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13" w:type="dxa"/>
          <w:left w:w="113" w:type="dxa"/>
          <w:bottom w:w="113" w:type="dxa"/>
          <w:right w:w="113" w:type="dxa"/>
        </w:tblCellMar>
      </w:tblPr>
      <w:tblGrid>
        <w:gridCol w:w="935"/>
        <w:gridCol w:w="1543"/>
        <w:gridCol w:w="935"/>
        <w:gridCol w:w="1706"/>
        <w:gridCol w:w="1706"/>
        <w:gridCol w:w="170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序号</w:t>
            </w:r>
          </w:p>
        </w:tc>
        <w:tc>
          <w:tcPr>
            <w:tcW w:w="0" w:type="auto"/>
            <w:tcBorders>
              <w:top w:val="outset" w:color="111111" w:sz="6" w:space="0"/>
              <w:left w:val="outset" w:color="111111" w:sz="6" w:space="0"/>
              <w:bottom w:val="outset" w:color="111111" w:sz="6" w:space="0"/>
              <w:right w:val="outset" w:color="111111" w:sz="6" w:space="0"/>
            </w:tcBorders>
            <w:noWrap/>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评审项目</w:t>
            </w:r>
          </w:p>
        </w:tc>
        <w:tc>
          <w:tcPr>
            <w:tcW w:w="0" w:type="auto"/>
            <w:tcBorders>
              <w:top w:val="outset" w:color="111111" w:sz="6" w:space="0"/>
              <w:left w:val="outset" w:color="111111" w:sz="6" w:space="0"/>
              <w:bottom w:val="outset" w:color="111111" w:sz="6" w:space="0"/>
              <w:right w:val="outset" w:color="111111" w:sz="6" w:space="0"/>
            </w:tcBorders>
            <w:noWrap/>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分值</w:t>
            </w:r>
          </w:p>
        </w:tc>
        <w:tc>
          <w:tcPr>
            <w:tcW w:w="208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供应商1</w:t>
            </w:r>
          </w:p>
        </w:tc>
        <w:tc>
          <w:tcPr>
            <w:tcW w:w="208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供应商2</w:t>
            </w:r>
          </w:p>
        </w:tc>
        <w:tc>
          <w:tcPr>
            <w:tcW w:w="208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供应商3</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1</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2</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3</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4</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5</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6</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7</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gridSpan w:val="3"/>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总分</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bl>
    <w:p/>
    <w:tbl>
      <w:tblPr>
        <w:tblStyle w:val="25"/>
        <w:tblW w:w="5000" w:type="pct"/>
        <w:tblCellSpacing w:w="15" w:type="dxa"/>
        <w:tblInd w:w="0" w:type="dxa"/>
        <w:tblLayout w:type="autofit"/>
        <w:tblCellMar>
          <w:top w:w="15" w:type="dxa"/>
          <w:left w:w="15" w:type="dxa"/>
          <w:bottom w:w="15" w:type="dxa"/>
          <w:right w:w="15" w:type="dxa"/>
        </w:tblCellMar>
      </w:tblPr>
      <w:tblGrid>
        <w:gridCol w:w="8396"/>
      </w:tblGrid>
      <w:tr>
        <w:tblPrEx>
          <w:tblCellMar>
            <w:top w:w="15" w:type="dxa"/>
            <w:left w:w="15" w:type="dxa"/>
            <w:bottom w:w="15" w:type="dxa"/>
            <w:right w:w="15" w:type="dxa"/>
          </w:tblCellMar>
        </w:tblPrEx>
        <w:trPr>
          <w:tblCellSpacing w:w="15" w:type="dxa"/>
        </w:trPr>
        <w:tc>
          <w:tcPr>
            <w:tcW w:w="0" w:type="auto"/>
            <w:noWrap w:val="0"/>
            <w:vAlign w:val="center"/>
          </w:tcPr>
          <w:p>
            <w:pPr>
              <w:keepNext w:val="0"/>
              <w:keepLines w:val="0"/>
              <w:suppressLineNumbers w:val="0"/>
              <w:spacing w:before="0" w:beforeAutospacing="0" w:after="0" w:afterAutospacing="0"/>
              <w:ind w:left="0" w:right="0"/>
              <w:jc w:val="center"/>
              <w:rPr>
                <w:rFonts w:hint="default" w:ascii="宋体" w:hAnsi="宋体" w:cs="宋体"/>
                <w:sz w:val="36"/>
                <w:szCs w:val="36"/>
              </w:rPr>
            </w:pPr>
            <w:r>
              <w:rPr>
                <w:rStyle w:val="28"/>
                <w:rFonts w:hint="default"/>
                <w:sz w:val="36"/>
                <w:szCs w:val="36"/>
              </w:rPr>
              <w:t>商务打分表</w:t>
            </w:r>
          </w:p>
        </w:tc>
      </w:tr>
    </w:tbl>
    <w:p>
      <w:pPr>
        <w:rPr>
          <w:vanish/>
        </w:rPr>
      </w:pPr>
    </w:p>
    <w:tbl>
      <w:tblPr>
        <w:tblStyle w:val="25"/>
        <w:tblW w:w="5000"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13" w:type="dxa"/>
          <w:left w:w="113" w:type="dxa"/>
          <w:bottom w:w="113" w:type="dxa"/>
          <w:right w:w="113" w:type="dxa"/>
        </w:tblCellMar>
      </w:tblPr>
      <w:tblGrid>
        <w:gridCol w:w="935"/>
        <w:gridCol w:w="1543"/>
        <w:gridCol w:w="935"/>
        <w:gridCol w:w="1706"/>
        <w:gridCol w:w="1706"/>
        <w:gridCol w:w="170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序号</w:t>
            </w:r>
          </w:p>
        </w:tc>
        <w:tc>
          <w:tcPr>
            <w:tcW w:w="0" w:type="auto"/>
            <w:tcBorders>
              <w:top w:val="outset" w:color="111111" w:sz="6" w:space="0"/>
              <w:left w:val="outset" w:color="111111" w:sz="6" w:space="0"/>
              <w:bottom w:val="outset" w:color="111111" w:sz="6" w:space="0"/>
              <w:right w:val="outset" w:color="111111" w:sz="6" w:space="0"/>
            </w:tcBorders>
            <w:noWrap/>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评审项目</w:t>
            </w:r>
          </w:p>
        </w:tc>
        <w:tc>
          <w:tcPr>
            <w:tcW w:w="0" w:type="auto"/>
            <w:tcBorders>
              <w:top w:val="outset" w:color="111111" w:sz="6" w:space="0"/>
              <w:left w:val="outset" w:color="111111" w:sz="6" w:space="0"/>
              <w:bottom w:val="outset" w:color="111111" w:sz="6" w:space="0"/>
              <w:right w:val="outset" w:color="111111" w:sz="6" w:space="0"/>
            </w:tcBorders>
            <w:noWrap/>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分值</w:t>
            </w:r>
          </w:p>
        </w:tc>
        <w:tc>
          <w:tcPr>
            <w:tcW w:w="208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供应商1</w:t>
            </w:r>
          </w:p>
        </w:tc>
        <w:tc>
          <w:tcPr>
            <w:tcW w:w="208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供应商2</w:t>
            </w:r>
          </w:p>
        </w:tc>
        <w:tc>
          <w:tcPr>
            <w:tcW w:w="208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供应商3</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1</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2</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3</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4</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5</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00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gridSpan w:val="3"/>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总分</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bl>
    <w:p/>
    <w:tbl>
      <w:tblPr>
        <w:tblStyle w:val="25"/>
        <w:tblW w:w="5000" w:type="pct"/>
        <w:tblCellSpacing w:w="15" w:type="dxa"/>
        <w:tblInd w:w="0" w:type="dxa"/>
        <w:tblLayout w:type="autofit"/>
        <w:tblCellMar>
          <w:top w:w="15" w:type="dxa"/>
          <w:left w:w="15" w:type="dxa"/>
          <w:bottom w:w="15" w:type="dxa"/>
          <w:right w:w="15" w:type="dxa"/>
        </w:tblCellMar>
      </w:tblPr>
      <w:tblGrid>
        <w:gridCol w:w="8396"/>
      </w:tblGrid>
      <w:tr>
        <w:tblPrEx>
          <w:tblCellMar>
            <w:top w:w="15" w:type="dxa"/>
            <w:left w:w="15" w:type="dxa"/>
            <w:bottom w:w="15" w:type="dxa"/>
            <w:right w:w="15" w:type="dxa"/>
          </w:tblCellMar>
        </w:tblPrEx>
        <w:trPr>
          <w:tblCellSpacing w:w="15" w:type="dxa"/>
        </w:trPr>
        <w:tc>
          <w:tcPr>
            <w:tcW w:w="0" w:type="auto"/>
            <w:noWrap w:val="0"/>
            <w:vAlign w:val="center"/>
          </w:tcPr>
          <w:p>
            <w:pPr>
              <w:keepNext w:val="0"/>
              <w:keepLines w:val="0"/>
              <w:suppressLineNumbers w:val="0"/>
              <w:spacing w:before="0" w:beforeAutospacing="0" w:after="0" w:afterAutospacing="0"/>
              <w:ind w:left="0" w:right="0"/>
              <w:rPr>
                <w:rFonts w:hint="default" w:ascii="宋体" w:hAnsi="宋体" w:cs="宋体"/>
                <w:szCs w:val="21"/>
              </w:rPr>
            </w:pPr>
            <w:r>
              <w:rPr>
                <w:rFonts w:hint="eastAsia"/>
                <w:szCs w:val="21"/>
              </w:rPr>
              <w:t>专家</w:t>
            </w:r>
            <w:r>
              <w:rPr>
                <w:rFonts w:hint="default"/>
                <w:szCs w:val="21"/>
              </w:rPr>
              <w:t>签名：</w:t>
            </w:r>
          </w:p>
        </w:tc>
      </w:tr>
    </w:tbl>
    <w:p>
      <w:pPr>
        <w:spacing w:line="320" w:lineRule="exact"/>
        <w:ind w:right="120"/>
        <w:jc w:val="left"/>
        <w:rPr>
          <w:sz w:val="24"/>
        </w:rPr>
      </w:pPr>
    </w:p>
    <w:p>
      <w:pPr>
        <w:spacing w:line="320" w:lineRule="exact"/>
        <w:ind w:right="120"/>
        <w:jc w:val="left"/>
        <w:rPr>
          <w:sz w:val="24"/>
        </w:rPr>
        <w:sectPr>
          <w:pgSz w:w="11906" w:h="16838"/>
          <w:pgMar w:top="1440" w:right="1800" w:bottom="1440" w:left="1800" w:header="851" w:footer="992" w:gutter="0"/>
          <w:pgNumType w:fmt="decimal"/>
          <w:cols w:space="720" w:num="1"/>
          <w:docGrid w:type="lines" w:linePitch="312" w:charSpace="0"/>
        </w:sectPr>
      </w:pPr>
    </w:p>
    <w:p>
      <w:pPr>
        <w:pStyle w:val="7"/>
        <w:rPr>
          <w:b/>
          <w:sz w:val="36"/>
          <w:szCs w:val="36"/>
        </w:rPr>
      </w:pPr>
      <w:r>
        <w:rPr>
          <w:rFonts w:hint="eastAsia" w:ascii="仿宋_GB2312" w:hAnsi="仿宋_GB2312" w:eastAsia="仿宋_GB2312" w:cs="仿宋_GB2312"/>
          <w:sz w:val="28"/>
          <w:szCs w:val="28"/>
        </w:rPr>
        <w:t xml:space="preserve">评审汇总表                               </w:t>
      </w:r>
      <w:r>
        <w:rPr>
          <w:rFonts w:hint="eastAsia"/>
          <w:b/>
          <w:sz w:val="36"/>
          <w:szCs w:val="36"/>
        </w:rPr>
        <w:t>评审总得分统计表</w:t>
      </w:r>
    </w:p>
    <w:p>
      <w:pPr>
        <w:jc w:val="center"/>
        <w:rPr>
          <w:sz w:val="24"/>
        </w:rPr>
      </w:pPr>
    </w:p>
    <w:tbl>
      <w:tblPr>
        <w:tblStyle w:val="25"/>
        <w:tblW w:w="0" w:type="auto"/>
        <w:tblInd w:w="0" w:type="dxa"/>
        <w:tblLayout w:type="autofit"/>
        <w:tblCellMar>
          <w:top w:w="0" w:type="dxa"/>
          <w:left w:w="108" w:type="dxa"/>
          <w:bottom w:w="0" w:type="dxa"/>
          <w:right w:w="108" w:type="dxa"/>
        </w:tblCellMar>
      </w:tblPr>
      <w:tblGrid>
        <w:gridCol w:w="10031"/>
        <w:gridCol w:w="5321"/>
      </w:tblGrid>
      <w:tr>
        <w:tblPrEx>
          <w:tblCellMar>
            <w:top w:w="0" w:type="dxa"/>
            <w:left w:w="108" w:type="dxa"/>
            <w:bottom w:w="0" w:type="dxa"/>
            <w:right w:w="108" w:type="dxa"/>
          </w:tblCellMar>
        </w:tblPrEx>
        <w:trPr>
          <w:trHeight w:val="567" w:hRule="exact"/>
        </w:trPr>
        <w:tc>
          <w:tcPr>
            <w:tcW w:w="10031" w:type="dxa"/>
            <w:noWrap w:val="0"/>
            <w:vAlign w:val="top"/>
          </w:tcPr>
          <w:p>
            <w:pPr>
              <w:keepNext w:val="0"/>
              <w:keepLines w:val="0"/>
              <w:suppressLineNumbers w:val="0"/>
              <w:spacing w:before="0" w:beforeAutospacing="0" w:after="0" w:afterAutospacing="0"/>
              <w:ind w:left="0" w:right="160"/>
              <w:jc w:val="left"/>
              <w:rPr>
                <w:rFonts w:hint="default"/>
                <w:sz w:val="24"/>
                <w:szCs w:val="20"/>
              </w:rPr>
            </w:pPr>
            <w:r>
              <w:rPr>
                <w:rFonts w:hint="eastAsia"/>
                <w:b/>
                <w:sz w:val="24"/>
                <w:szCs w:val="20"/>
              </w:rPr>
              <w:t>项目名称：</w:t>
            </w:r>
          </w:p>
        </w:tc>
        <w:tc>
          <w:tcPr>
            <w:tcW w:w="5321" w:type="dxa"/>
            <w:noWrap w:val="0"/>
            <w:vAlign w:val="top"/>
          </w:tcPr>
          <w:p>
            <w:pPr>
              <w:keepNext w:val="0"/>
              <w:keepLines w:val="0"/>
              <w:suppressLineNumbers w:val="0"/>
              <w:spacing w:before="0" w:beforeAutospacing="0" w:after="0" w:afterAutospacing="0"/>
              <w:ind w:left="0" w:right="160"/>
              <w:jc w:val="left"/>
              <w:rPr>
                <w:rFonts w:hint="default"/>
                <w:b/>
                <w:sz w:val="24"/>
                <w:szCs w:val="20"/>
              </w:rPr>
            </w:pPr>
            <w:r>
              <w:rPr>
                <w:rFonts w:hint="eastAsia"/>
                <w:b/>
                <w:sz w:val="24"/>
                <w:szCs w:val="20"/>
              </w:rPr>
              <w:t>评选文件编号：</w:t>
            </w:r>
          </w:p>
        </w:tc>
      </w:tr>
    </w:tbl>
    <w:p>
      <w:pPr>
        <w:ind w:right="160"/>
        <w:jc w:val="left"/>
        <w:rPr>
          <w:szCs w:val="21"/>
        </w:rPr>
      </w:pPr>
    </w:p>
    <w:tbl>
      <w:tblPr>
        <w:tblStyle w:val="25"/>
        <w:tblW w:w="5000"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2073"/>
        <w:gridCol w:w="4454"/>
        <w:gridCol w:w="4454"/>
        <w:gridCol w:w="445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Style w:val="28"/>
                <w:rFonts w:hint="eastAsia" w:ascii="Arial" w:hAnsi="Arial" w:cs="Arial"/>
                <w:szCs w:val="20"/>
              </w:rPr>
              <w:t>供应商</w:t>
            </w:r>
          </w:p>
        </w:tc>
        <w:tc>
          <w:tcPr>
            <w:tcW w:w="4454"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供应商1</w:t>
            </w:r>
          </w:p>
        </w:tc>
        <w:tc>
          <w:tcPr>
            <w:tcW w:w="4454"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供应商2</w:t>
            </w:r>
          </w:p>
        </w:tc>
        <w:tc>
          <w:tcPr>
            <w:tcW w:w="445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供应商3</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技术得分</w:t>
            </w:r>
          </w:p>
        </w:tc>
        <w:tc>
          <w:tcPr>
            <w:tcW w:w="4454"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4454"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445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商务得分</w:t>
            </w:r>
          </w:p>
        </w:tc>
        <w:tc>
          <w:tcPr>
            <w:tcW w:w="4454"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4454"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445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评审价</w:t>
            </w:r>
          </w:p>
        </w:tc>
        <w:tc>
          <w:tcPr>
            <w:tcW w:w="4454"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w:t>
            </w:r>
          </w:p>
        </w:tc>
        <w:tc>
          <w:tcPr>
            <w:tcW w:w="4454"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w:t>
            </w:r>
          </w:p>
        </w:tc>
        <w:tc>
          <w:tcPr>
            <w:tcW w:w="445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价格得分</w:t>
            </w:r>
          </w:p>
        </w:tc>
        <w:tc>
          <w:tcPr>
            <w:tcW w:w="4454"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4454"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445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评</w:t>
            </w:r>
            <w:r>
              <w:rPr>
                <w:rFonts w:hint="eastAsia" w:ascii="Arial" w:hAnsi="Arial" w:cs="Arial"/>
                <w:szCs w:val="20"/>
              </w:rPr>
              <w:t>审</w:t>
            </w:r>
            <w:r>
              <w:rPr>
                <w:rFonts w:hint="default" w:ascii="Arial" w:hAnsi="Arial" w:cs="Arial"/>
                <w:szCs w:val="20"/>
              </w:rPr>
              <w:t>总得分</w:t>
            </w:r>
          </w:p>
        </w:tc>
        <w:tc>
          <w:tcPr>
            <w:tcW w:w="4454"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4454"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445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名次</w:t>
            </w:r>
          </w:p>
        </w:tc>
        <w:tc>
          <w:tcPr>
            <w:tcW w:w="4454"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Style w:val="28"/>
                <w:rFonts w:hint="default" w:ascii="Arial" w:hAnsi="Arial" w:cs="Arial"/>
                <w:szCs w:val="20"/>
              </w:rPr>
              <w:t>1</w:t>
            </w:r>
          </w:p>
        </w:tc>
        <w:tc>
          <w:tcPr>
            <w:tcW w:w="4454"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Style w:val="28"/>
                <w:rFonts w:hint="default" w:ascii="Arial" w:hAnsi="Arial" w:cs="Arial"/>
                <w:szCs w:val="20"/>
              </w:rPr>
              <w:t>2</w:t>
            </w:r>
          </w:p>
        </w:tc>
        <w:tc>
          <w:tcPr>
            <w:tcW w:w="445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Style w:val="28"/>
                <w:rFonts w:hint="default" w:ascii="Arial" w:hAnsi="Arial" w:cs="Arial"/>
                <w:szCs w:val="20"/>
              </w:rPr>
              <w:t>3</w:t>
            </w:r>
          </w:p>
        </w:tc>
      </w:tr>
    </w:tbl>
    <w:p>
      <w:pPr>
        <w:ind w:right="160"/>
        <w:jc w:val="center"/>
        <w:rPr>
          <w:sz w:val="24"/>
        </w:rPr>
      </w:pPr>
      <w:r>
        <w:rPr>
          <w:rFonts w:hint="eastAsia"/>
          <w:sz w:val="24"/>
        </w:rPr>
        <w:t xml:space="preserve"> </w:t>
      </w:r>
      <w:r>
        <w:rPr>
          <w:sz w:val="24"/>
        </w:rPr>
        <w:br w:type="page"/>
      </w:r>
      <w:r>
        <w:rPr>
          <w:rFonts w:hint="eastAsia"/>
          <w:b/>
          <w:sz w:val="36"/>
          <w:szCs w:val="36"/>
        </w:rPr>
        <w:t>符合性审查汇总表</w:t>
      </w:r>
    </w:p>
    <w:p>
      <w:pPr>
        <w:ind w:right="160"/>
        <w:jc w:val="center"/>
        <w:rPr>
          <w:sz w:val="24"/>
        </w:rPr>
      </w:pPr>
    </w:p>
    <w:tbl>
      <w:tblPr>
        <w:tblStyle w:val="25"/>
        <w:tblW w:w="0" w:type="auto"/>
        <w:tblInd w:w="0" w:type="dxa"/>
        <w:tblLayout w:type="autofit"/>
        <w:tblCellMar>
          <w:top w:w="0" w:type="dxa"/>
          <w:left w:w="108" w:type="dxa"/>
          <w:bottom w:w="0" w:type="dxa"/>
          <w:right w:w="108" w:type="dxa"/>
        </w:tblCellMar>
      </w:tblPr>
      <w:tblGrid>
        <w:gridCol w:w="10031"/>
        <w:gridCol w:w="5321"/>
      </w:tblGrid>
      <w:tr>
        <w:tblPrEx>
          <w:tblCellMar>
            <w:top w:w="0" w:type="dxa"/>
            <w:left w:w="108" w:type="dxa"/>
            <w:bottom w:w="0" w:type="dxa"/>
            <w:right w:w="108" w:type="dxa"/>
          </w:tblCellMar>
        </w:tblPrEx>
        <w:trPr>
          <w:trHeight w:val="567" w:hRule="exact"/>
        </w:trPr>
        <w:tc>
          <w:tcPr>
            <w:tcW w:w="10031" w:type="dxa"/>
            <w:noWrap w:val="0"/>
            <w:vAlign w:val="top"/>
          </w:tcPr>
          <w:p>
            <w:pPr>
              <w:keepNext w:val="0"/>
              <w:keepLines w:val="0"/>
              <w:suppressLineNumbers w:val="0"/>
              <w:spacing w:before="0" w:beforeAutospacing="0" w:after="0" w:afterAutospacing="0"/>
              <w:ind w:left="0" w:right="160"/>
              <w:jc w:val="left"/>
              <w:rPr>
                <w:rFonts w:hint="default"/>
                <w:sz w:val="24"/>
                <w:szCs w:val="20"/>
              </w:rPr>
            </w:pPr>
            <w:r>
              <w:rPr>
                <w:rFonts w:hint="eastAsia"/>
                <w:b/>
                <w:sz w:val="24"/>
                <w:szCs w:val="20"/>
              </w:rPr>
              <w:t>项目名称：</w:t>
            </w:r>
          </w:p>
        </w:tc>
        <w:tc>
          <w:tcPr>
            <w:tcW w:w="5321" w:type="dxa"/>
            <w:noWrap w:val="0"/>
            <w:vAlign w:val="top"/>
          </w:tcPr>
          <w:p>
            <w:pPr>
              <w:keepNext w:val="0"/>
              <w:keepLines w:val="0"/>
              <w:suppressLineNumbers w:val="0"/>
              <w:spacing w:before="0" w:beforeAutospacing="0" w:after="0" w:afterAutospacing="0"/>
              <w:ind w:left="0" w:right="160"/>
              <w:jc w:val="left"/>
              <w:rPr>
                <w:rFonts w:hint="default"/>
                <w:b/>
                <w:sz w:val="24"/>
                <w:szCs w:val="20"/>
              </w:rPr>
            </w:pPr>
            <w:r>
              <w:rPr>
                <w:rFonts w:hint="eastAsia"/>
                <w:b/>
                <w:sz w:val="24"/>
                <w:szCs w:val="20"/>
              </w:rPr>
              <w:t>评选文件编号：</w:t>
            </w:r>
          </w:p>
        </w:tc>
      </w:tr>
    </w:tbl>
    <w:p>
      <w:pPr>
        <w:ind w:right="160"/>
        <w:jc w:val="left"/>
        <w:rPr>
          <w:sz w:val="24"/>
        </w:rPr>
      </w:pPr>
    </w:p>
    <w:tbl>
      <w:tblPr>
        <w:tblStyle w:val="25"/>
        <w:tblW w:w="5000"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3294"/>
        <w:gridCol w:w="5202"/>
        <w:gridCol w:w="2312"/>
        <w:gridCol w:w="2312"/>
        <w:gridCol w:w="231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Style w:val="28"/>
                <w:rFonts w:hint="default" w:ascii="Arial" w:hAnsi="Arial" w:cs="Arial"/>
                <w:szCs w:val="20"/>
              </w:rPr>
              <w:t>序号</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评委名单</w:t>
            </w:r>
          </w:p>
        </w:tc>
        <w:tc>
          <w:tcPr>
            <w:tcW w:w="2312"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供应商1</w:t>
            </w:r>
          </w:p>
        </w:tc>
        <w:tc>
          <w:tcPr>
            <w:tcW w:w="2312"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供应商2</w:t>
            </w:r>
          </w:p>
        </w:tc>
        <w:tc>
          <w:tcPr>
            <w:tcW w:w="231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供应商3</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1</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评委1</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2</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评委2</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3</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评委3</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通过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gridSpan w:val="2"/>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获得结论为“通过”的票数</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3</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3</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3</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gridSpan w:val="2"/>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是否进入下一阶段</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是</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是</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是</w:t>
            </w:r>
          </w:p>
        </w:tc>
      </w:tr>
    </w:tbl>
    <w:p>
      <w:pPr>
        <w:ind w:right="160"/>
        <w:jc w:val="left"/>
        <w:rPr>
          <w:sz w:val="24"/>
        </w:rPr>
      </w:pPr>
    </w:p>
    <w:p>
      <w:pPr>
        <w:ind w:right="160"/>
        <w:jc w:val="center"/>
        <w:rPr>
          <w:b/>
          <w:sz w:val="36"/>
          <w:szCs w:val="36"/>
        </w:rPr>
      </w:pPr>
      <w:r>
        <w:rPr>
          <w:sz w:val="24"/>
        </w:rPr>
        <w:br w:type="page"/>
      </w:r>
      <w:r>
        <w:rPr>
          <w:rFonts w:hint="eastAsia"/>
          <w:b/>
          <w:sz w:val="36"/>
          <w:szCs w:val="36"/>
        </w:rPr>
        <w:t>价格得分统计表</w:t>
      </w:r>
    </w:p>
    <w:tbl>
      <w:tblPr>
        <w:tblStyle w:val="25"/>
        <w:tblW w:w="0" w:type="auto"/>
        <w:tblInd w:w="0" w:type="dxa"/>
        <w:tblLayout w:type="autofit"/>
        <w:tblCellMar>
          <w:top w:w="0" w:type="dxa"/>
          <w:left w:w="108" w:type="dxa"/>
          <w:bottom w:w="0" w:type="dxa"/>
          <w:right w:w="108" w:type="dxa"/>
        </w:tblCellMar>
      </w:tblPr>
      <w:tblGrid>
        <w:gridCol w:w="9889"/>
        <w:gridCol w:w="5463"/>
      </w:tblGrid>
      <w:tr>
        <w:tblPrEx>
          <w:tblCellMar>
            <w:top w:w="0" w:type="dxa"/>
            <w:left w:w="108" w:type="dxa"/>
            <w:bottom w:w="0" w:type="dxa"/>
            <w:right w:w="108" w:type="dxa"/>
          </w:tblCellMar>
        </w:tblPrEx>
        <w:trPr>
          <w:trHeight w:val="531" w:hRule="exact"/>
        </w:trPr>
        <w:tc>
          <w:tcPr>
            <w:tcW w:w="9889" w:type="dxa"/>
            <w:noWrap w:val="0"/>
            <w:vAlign w:val="top"/>
          </w:tcPr>
          <w:p>
            <w:pPr>
              <w:keepNext w:val="0"/>
              <w:keepLines w:val="0"/>
              <w:suppressLineNumbers w:val="0"/>
              <w:spacing w:before="0" w:beforeAutospacing="0" w:after="0" w:afterAutospacing="0"/>
              <w:ind w:left="0" w:right="160"/>
              <w:jc w:val="left"/>
              <w:rPr>
                <w:rFonts w:hint="default"/>
                <w:sz w:val="24"/>
                <w:szCs w:val="20"/>
              </w:rPr>
            </w:pPr>
            <w:r>
              <w:rPr>
                <w:rFonts w:hint="eastAsia"/>
                <w:b/>
                <w:sz w:val="24"/>
                <w:szCs w:val="20"/>
              </w:rPr>
              <w:t>项目名称：</w:t>
            </w:r>
          </w:p>
        </w:tc>
        <w:tc>
          <w:tcPr>
            <w:tcW w:w="5463" w:type="dxa"/>
            <w:noWrap w:val="0"/>
            <w:vAlign w:val="top"/>
          </w:tcPr>
          <w:p>
            <w:pPr>
              <w:keepNext w:val="0"/>
              <w:keepLines w:val="0"/>
              <w:suppressLineNumbers w:val="0"/>
              <w:spacing w:before="0" w:beforeAutospacing="0" w:after="0" w:afterAutospacing="0"/>
              <w:ind w:left="0" w:right="160"/>
              <w:jc w:val="left"/>
              <w:rPr>
                <w:rFonts w:hint="default"/>
                <w:b/>
                <w:sz w:val="24"/>
                <w:szCs w:val="20"/>
              </w:rPr>
            </w:pPr>
            <w:r>
              <w:rPr>
                <w:rFonts w:hint="eastAsia"/>
                <w:b/>
                <w:sz w:val="24"/>
                <w:szCs w:val="20"/>
              </w:rPr>
              <w:t>评选文件编号：</w:t>
            </w:r>
          </w:p>
        </w:tc>
      </w:tr>
    </w:tbl>
    <w:p>
      <w:pPr>
        <w:ind w:right="160"/>
        <w:jc w:val="left"/>
        <w:rPr>
          <w:sz w:val="10"/>
        </w:rPr>
      </w:pPr>
    </w:p>
    <w:tbl>
      <w:tblPr>
        <w:tblStyle w:val="25"/>
        <w:tblW w:w="4678"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4739"/>
        <w:gridCol w:w="3557"/>
        <w:gridCol w:w="3557"/>
        <w:gridCol w:w="2589"/>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59" w:hRule="atLeast"/>
        </w:trPr>
        <w:tc>
          <w:tcPr>
            <w:tcW w:w="1640"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Style w:val="28"/>
                <w:rFonts w:hint="eastAsia" w:ascii="Arial" w:hAnsi="Arial" w:cs="Arial"/>
                <w:szCs w:val="20"/>
              </w:rPr>
              <w:t>供应商</w:t>
            </w:r>
          </w:p>
        </w:tc>
        <w:tc>
          <w:tcPr>
            <w:tcW w:w="1231"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供应商1</w:t>
            </w:r>
          </w:p>
        </w:tc>
        <w:tc>
          <w:tcPr>
            <w:tcW w:w="1231"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供应商2</w:t>
            </w:r>
          </w:p>
        </w:tc>
        <w:tc>
          <w:tcPr>
            <w:tcW w:w="896"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供应商3</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投标报价</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w:t>
            </w:r>
          </w:p>
        </w:tc>
        <w:tc>
          <w:tcPr>
            <w:tcW w:w="896"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修正因素</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无</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无</w:t>
            </w:r>
          </w:p>
        </w:tc>
        <w:tc>
          <w:tcPr>
            <w:tcW w:w="896"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无</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修正金额</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￥0.00</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￥0.00</w:t>
            </w:r>
          </w:p>
        </w:tc>
        <w:tc>
          <w:tcPr>
            <w:tcW w:w="896"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￥0.00</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核实价</w:t>
            </w:r>
          </w:p>
        </w:tc>
        <w:tc>
          <w:tcPr>
            <w:tcW w:w="1231"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w:t>
            </w:r>
          </w:p>
        </w:tc>
        <w:tc>
          <w:tcPr>
            <w:tcW w:w="1231"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w:t>
            </w:r>
          </w:p>
        </w:tc>
        <w:tc>
          <w:tcPr>
            <w:tcW w:w="896"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价格扣减</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￥0.00</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￥0.00</w:t>
            </w:r>
          </w:p>
        </w:tc>
        <w:tc>
          <w:tcPr>
            <w:tcW w:w="896"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￥0.00</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Cs w:val="20"/>
              </w:rPr>
              <w:t>评审</w:t>
            </w:r>
            <w:r>
              <w:rPr>
                <w:rFonts w:hint="default" w:ascii="Arial" w:hAnsi="Arial" w:cs="Arial"/>
                <w:szCs w:val="20"/>
              </w:rPr>
              <w:t>价</w:t>
            </w:r>
          </w:p>
        </w:tc>
        <w:tc>
          <w:tcPr>
            <w:tcW w:w="1231"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w:t>
            </w:r>
          </w:p>
        </w:tc>
        <w:tc>
          <w:tcPr>
            <w:tcW w:w="1231"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w:t>
            </w:r>
          </w:p>
        </w:tc>
        <w:tc>
          <w:tcPr>
            <w:tcW w:w="896"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42" w:hRule="atLeast"/>
        </w:trPr>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Cs w:val="20"/>
              </w:rPr>
            </w:pPr>
            <w:r>
              <w:rPr>
                <w:rFonts w:hint="eastAsia" w:ascii="Arial" w:hAnsi="Arial" w:cs="Arial"/>
                <w:szCs w:val="20"/>
              </w:rPr>
              <w:t>基准价</w:t>
            </w:r>
          </w:p>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Cs w:val="20"/>
              </w:rPr>
              <w:t>分值权重</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szCs w:val="20"/>
              </w:rPr>
            </w:pPr>
            <w:r>
              <w:rPr>
                <w:rFonts w:hint="eastAsia"/>
                <w:szCs w:val="20"/>
              </w:rPr>
              <w:t>分</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b/>
                <w:sz w:val="24"/>
                <w:szCs w:val="20"/>
              </w:rPr>
            </w:pPr>
            <w:r>
              <w:rPr>
                <w:rFonts w:hint="eastAsia" w:ascii="Arial" w:hAnsi="Arial" w:cs="Arial"/>
                <w:b/>
                <w:szCs w:val="20"/>
              </w:rPr>
              <w:t>分</w:t>
            </w:r>
          </w:p>
        </w:tc>
        <w:tc>
          <w:tcPr>
            <w:tcW w:w="896"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b/>
                <w:sz w:val="24"/>
                <w:szCs w:val="20"/>
              </w:rPr>
            </w:pPr>
            <w:r>
              <w:rPr>
                <w:rFonts w:hint="eastAsia" w:ascii="Arial" w:hAnsi="Arial" w:cs="Arial"/>
                <w:b/>
                <w:szCs w:val="20"/>
              </w:rPr>
              <w:t>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价格得分</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b/>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b/>
                <w:sz w:val="24"/>
                <w:szCs w:val="20"/>
              </w:rPr>
            </w:pPr>
          </w:p>
        </w:tc>
        <w:tc>
          <w:tcPr>
            <w:tcW w:w="896"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b/>
                <w:sz w:val="24"/>
                <w:szCs w:val="20"/>
              </w:rPr>
            </w:pPr>
          </w:p>
        </w:tc>
      </w:tr>
    </w:tbl>
    <w:p>
      <w:pPr>
        <w:ind w:right="160"/>
        <w:jc w:val="left"/>
        <w:rPr>
          <w:sz w:val="28"/>
          <w:szCs w:val="28"/>
        </w:rPr>
        <w:sectPr>
          <w:footerReference r:id="rId3" w:type="default"/>
          <w:pgSz w:w="16838" w:h="11906" w:orient="landscape"/>
          <w:pgMar w:top="851" w:right="851" w:bottom="851" w:left="851" w:header="851" w:footer="850" w:gutter="0"/>
          <w:pgNumType w:fmt="decimal"/>
          <w:cols w:space="720" w:num="1"/>
          <w:docGrid w:type="lines" w:linePitch="312" w:charSpace="0"/>
        </w:sectPr>
      </w:pPr>
    </w:p>
    <w:p>
      <w:pPr>
        <w:ind w:right="160"/>
        <w:jc w:val="center"/>
        <w:rPr>
          <w:b/>
          <w:sz w:val="36"/>
          <w:szCs w:val="36"/>
        </w:rPr>
      </w:pPr>
      <w:r>
        <w:rPr>
          <w:rFonts w:hint="eastAsia"/>
          <w:b/>
          <w:sz w:val="36"/>
          <w:szCs w:val="36"/>
        </w:rPr>
        <w:t>技术得分统计表</w:t>
      </w:r>
    </w:p>
    <w:tbl>
      <w:tblPr>
        <w:tblStyle w:val="25"/>
        <w:tblW w:w="0" w:type="auto"/>
        <w:tblInd w:w="0" w:type="dxa"/>
        <w:tblLayout w:type="autofit"/>
        <w:tblCellMar>
          <w:top w:w="0" w:type="dxa"/>
          <w:left w:w="108" w:type="dxa"/>
          <w:bottom w:w="0" w:type="dxa"/>
          <w:right w:w="108" w:type="dxa"/>
        </w:tblCellMar>
      </w:tblPr>
      <w:tblGrid>
        <w:gridCol w:w="5152"/>
        <w:gridCol w:w="3370"/>
      </w:tblGrid>
      <w:tr>
        <w:tblPrEx>
          <w:tblCellMar>
            <w:top w:w="0" w:type="dxa"/>
            <w:left w:w="108" w:type="dxa"/>
            <w:bottom w:w="0" w:type="dxa"/>
            <w:right w:w="108" w:type="dxa"/>
          </w:tblCellMar>
        </w:tblPrEx>
        <w:trPr>
          <w:trHeight w:val="567" w:hRule="exact"/>
        </w:trPr>
        <w:tc>
          <w:tcPr>
            <w:tcW w:w="6345" w:type="dxa"/>
            <w:noWrap w:val="0"/>
            <w:vAlign w:val="top"/>
          </w:tcPr>
          <w:p>
            <w:pPr>
              <w:keepNext w:val="0"/>
              <w:keepLines w:val="0"/>
              <w:suppressLineNumbers w:val="0"/>
              <w:spacing w:before="0" w:beforeAutospacing="0" w:after="0" w:afterAutospacing="0"/>
              <w:ind w:left="0" w:right="160"/>
              <w:jc w:val="left"/>
              <w:rPr>
                <w:rFonts w:hint="default"/>
                <w:szCs w:val="21"/>
              </w:rPr>
            </w:pPr>
            <w:r>
              <w:rPr>
                <w:rFonts w:hint="eastAsia"/>
                <w:b/>
                <w:szCs w:val="21"/>
              </w:rPr>
              <w:t>项目名称：</w:t>
            </w:r>
          </w:p>
        </w:tc>
        <w:tc>
          <w:tcPr>
            <w:tcW w:w="4075" w:type="dxa"/>
            <w:noWrap w:val="0"/>
            <w:vAlign w:val="top"/>
          </w:tcPr>
          <w:p>
            <w:pPr>
              <w:keepNext w:val="0"/>
              <w:keepLines w:val="0"/>
              <w:suppressLineNumbers w:val="0"/>
              <w:spacing w:before="0" w:beforeAutospacing="0" w:after="0" w:afterAutospacing="0"/>
              <w:ind w:left="0" w:right="160"/>
              <w:jc w:val="left"/>
              <w:rPr>
                <w:rFonts w:hint="default"/>
                <w:b/>
                <w:szCs w:val="21"/>
              </w:rPr>
            </w:pPr>
            <w:r>
              <w:rPr>
                <w:rFonts w:hint="eastAsia"/>
                <w:b/>
                <w:szCs w:val="21"/>
              </w:rPr>
              <w:t>评选文件编号：</w:t>
            </w:r>
          </w:p>
        </w:tc>
      </w:tr>
    </w:tbl>
    <w:p>
      <w:pPr>
        <w:ind w:right="160"/>
        <w:rPr>
          <w:sz w:val="24"/>
        </w:rPr>
      </w:pPr>
    </w:p>
    <w:tbl>
      <w:tblPr>
        <w:tblStyle w:val="25"/>
        <w:tblW w:w="5000"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1324"/>
        <w:gridCol w:w="1324"/>
        <w:gridCol w:w="1986"/>
        <w:gridCol w:w="1986"/>
        <w:gridCol w:w="198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76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Style w:val="28"/>
                <w:rFonts w:hint="default" w:ascii="Arial" w:hAnsi="Arial" w:cs="Arial"/>
                <w:szCs w:val="20"/>
              </w:rPr>
              <w:t>序号</w:t>
            </w:r>
          </w:p>
        </w:tc>
        <w:tc>
          <w:tcPr>
            <w:tcW w:w="76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Style w:val="28"/>
                <w:rFonts w:hint="default" w:ascii="Arial" w:hAnsi="Arial" w:cs="Arial"/>
                <w:szCs w:val="20"/>
              </w:rPr>
              <w:t>评委名单</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供应商1</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供应商2</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供应商3</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1</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评委1</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2</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评委2</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3</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评委3</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gridSpan w:val="2"/>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Arial" w:hAnsi="Arial" w:cs="Arial"/>
                <w:sz w:val="24"/>
                <w:szCs w:val="20"/>
              </w:rPr>
            </w:pPr>
            <w:r>
              <w:rPr>
                <w:rFonts w:hint="eastAsia" w:ascii="Arial" w:hAnsi="Arial" w:cs="Arial"/>
                <w:szCs w:val="20"/>
              </w:rPr>
              <w:t>分值权重</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Style w:val="28"/>
                <w:rFonts w:hint="default" w:ascii="Arial" w:hAnsi="Arial" w:cs="Arial"/>
                <w:szCs w:val="20"/>
              </w:rPr>
              <w:t>分</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Style w:val="28"/>
                <w:rFonts w:hint="default" w:ascii="Arial" w:hAnsi="Arial" w:cs="Arial"/>
                <w:szCs w:val="20"/>
              </w:rPr>
              <w:t>分</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Style w:val="28"/>
                <w:rFonts w:hint="default" w:ascii="Arial" w:hAnsi="Arial" w:cs="Arial"/>
                <w:szCs w:val="20"/>
              </w:rPr>
              <w:t>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gridSpan w:val="2"/>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Arial" w:hAnsi="Arial" w:cs="Arial"/>
                <w:sz w:val="24"/>
                <w:szCs w:val="20"/>
              </w:rPr>
            </w:pPr>
            <w:r>
              <w:rPr>
                <w:rFonts w:hint="default" w:ascii="Arial" w:hAnsi="Arial" w:cs="Arial"/>
                <w:szCs w:val="20"/>
              </w:rPr>
              <w:t>技术得分</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bl>
    <w:p>
      <w:pPr>
        <w:ind w:right="160"/>
        <w:jc w:val="center"/>
        <w:rPr>
          <w:b/>
          <w:sz w:val="36"/>
          <w:szCs w:val="36"/>
        </w:rPr>
      </w:pPr>
      <w:r>
        <w:rPr>
          <w:rFonts w:hint="eastAsia"/>
          <w:b/>
          <w:sz w:val="36"/>
          <w:szCs w:val="36"/>
        </w:rPr>
        <w:t>商务得分统计表</w:t>
      </w:r>
    </w:p>
    <w:tbl>
      <w:tblPr>
        <w:tblStyle w:val="25"/>
        <w:tblW w:w="0" w:type="auto"/>
        <w:tblInd w:w="0" w:type="dxa"/>
        <w:tblLayout w:type="autofit"/>
        <w:tblCellMar>
          <w:top w:w="0" w:type="dxa"/>
          <w:left w:w="108" w:type="dxa"/>
          <w:bottom w:w="0" w:type="dxa"/>
          <w:right w:w="108" w:type="dxa"/>
        </w:tblCellMar>
      </w:tblPr>
      <w:tblGrid>
        <w:gridCol w:w="5152"/>
        <w:gridCol w:w="3370"/>
      </w:tblGrid>
      <w:tr>
        <w:tblPrEx>
          <w:tblCellMar>
            <w:top w:w="0" w:type="dxa"/>
            <w:left w:w="108" w:type="dxa"/>
            <w:bottom w:w="0" w:type="dxa"/>
            <w:right w:w="108" w:type="dxa"/>
          </w:tblCellMar>
        </w:tblPrEx>
        <w:trPr>
          <w:trHeight w:val="567" w:hRule="exact"/>
        </w:trPr>
        <w:tc>
          <w:tcPr>
            <w:tcW w:w="6345" w:type="dxa"/>
            <w:noWrap w:val="0"/>
            <w:vAlign w:val="top"/>
          </w:tcPr>
          <w:p>
            <w:pPr>
              <w:keepNext w:val="0"/>
              <w:keepLines w:val="0"/>
              <w:suppressLineNumbers w:val="0"/>
              <w:spacing w:before="0" w:beforeAutospacing="0" w:after="0" w:afterAutospacing="0"/>
              <w:ind w:left="0" w:right="160"/>
              <w:jc w:val="left"/>
              <w:rPr>
                <w:rFonts w:hint="default"/>
                <w:szCs w:val="21"/>
              </w:rPr>
            </w:pPr>
            <w:r>
              <w:rPr>
                <w:rFonts w:hint="eastAsia"/>
                <w:b/>
                <w:szCs w:val="21"/>
              </w:rPr>
              <w:t>项目名称：</w:t>
            </w:r>
          </w:p>
        </w:tc>
        <w:tc>
          <w:tcPr>
            <w:tcW w:w="4075" w:type="dxa"/>
            <w:noWrap w:val="0"/>
            <w:vAlign w:val="top"/>
          </w:tcPr>
          <w:p>
            <w:pPr>
              <w:keepNext w:val="0"/>
              <w:keepLines w:val="0"/>
              <w:suppressLineNumbers w:val="0"/>
              <w:spacing w:before="0" w:beforeAutospacing="0" w:after="0" w:afterAutospacing="0"/>
              <w:ind w:left="0" w:right="160"/>
              <w:jc w:val="left"/>
              <w:rPr>
                <w:rFonts w:hint="default"/>
                <w:b/>
                <w:szCs w:val="21"/>
              </w:rPr>
            </w:pPr>
            <w:r>
              <w:rPr>
                <w:rFonts w:hint="eastAsia"/>
                <w:b/>
                <w:szCs w:val="21"/>
              </w:rPr>
              <w:t>评选文件编号：</w:t>
            </w:r>
          </w:p>
        </w:tc>
      </w:tr>
    </w:tbl>
    <w:p>
      <w:pPr>
        <w:ind w:right="160"/>
        <w:rPr>
          <w:sz w:val="24"/>
        </w:rPr>
      </w:pPr>
    </w:p>
    <w:tbl>
      <w:tblPr>
        <w:tblStyle w:val="25"/>
        <w:tblW w:w="5000"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1324"/>
        <w:gridCol w:w="1324"/>
        <w:gridCol w:w="1986"/>
        <w:gridCol w:w="1986"/>
        <w:gridCol w:w="198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76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Style w:val="28"/>
                <w:rFonts w:hint="default" w:ascii="Arial" w:hAnsi="Arial" w:cs="Arial"/>
                <w:szCs w:val="20"/>
              </w:rPr>
              <w:t>序号</w:t>
            </w:r>
          </w:p>
        </w:tc>
        <w:tc>
          <w:tcPr>
            <w:tcW w:w="76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Style w:val="28"/>
                <w:rFonts w:hint="default" w:ascii="Arial" w:hAnsi="Arial" w:cs="Arial"/>
                <w:szCs w:val="20"/>
              </w:rPr>
              <w:t>评委名单</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供应商1</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供应商2</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供应商3</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1</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评委1</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2</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评委2</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default" w:ascii="Arial" w:hAnsi="Arial" w:cs="Arial"/>
                <w:szCs w:val="20"/>
              </w:rPr>
              <w:t>3</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Fonts w:hint="eastAsia" w:ascii="Arial" w:hAnsi="Arial" w:cs="Arial"/>
                <w:sz w:val="24"/>
                <w:szCs w:val="20"/>
              </w:rPr>
              <w:t>评委3</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gridSpan w:val="2"/>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Arial" w:hAnsi="Arial" w:cs="Arial"/>
                <w:sz w:val="24"/>
                <w:szCs w:val="20"/>
              </w:rPr>
            </w:pPr>
            <w:r>
              <w:rPr>
                <w:rFonts w:hint="eastAsia" w:ascii="Arial" w:hAnsi="Arial" w:cs="Arial"/>
                <w:szCs w:val="20"/>
              </w:rPr>
              <w:t>分值权重</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Style w:val="28"/>
                <w:rFonts w:hint="default" w:ascii="Arial" w:hAnsi="Arial" w:cs="Arial"/>
                <w:szCs w:val="20"/>
              </w:rPr>
              <w:t>分</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Style w:val="28"/>
                <w:rFonts w:hint="default" w:ascii="Arial" w:hAnsi="Arial" w:cs="Arial"/>
                <w:szCs w:val="20"/>
              </w:rPr>
              <w:t>分</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r>
              <w:rPr>
                <w:rStyle w:val="28"/>
                <w:rFonts w:hint="default" w:ascii="Arial" w:hAnsi="Arial" w:cs="Arial"/>
                <w:szCs w:val="20"/>
              </w:rPr>
              <w:t>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gridSpan w:val="2"/>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Arial" w:hAnsi="Arial" w:cs="Arial"/>
                <w:sz w:val="24"/>
                <w:szCs w:val="20"/>
              </w:rPr>
            </w:pPr>
            <w:r>
              <w:rPr>
                <w:rFonts w:hint="eastAsia" w:ascii="Arial" w:hAnsi="Arial" w:cs="Arial"/>
                <w:szCs w:val="20"/>
              </w:rPr>
              <w:t>商务</w:t>
            </w:r>
            <w:r>
              <w:rPr>
                <w:rFonts w:hint="default" w:ascii="Arial" w:hAnsi="Arial" w:cs="Arial"/>
                <w:szCs w:val="20"/>
              </w:rPr>
              <w:t>得分</w:t>
            </w: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c>
          <w:tcPr>
            <w:tcW w:w="115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Arial" w:hAnsi="Arial" w:cs="Arial"/>
                <w:sz w:val="24"/>
                <w:szCs w:val="20"/>
              </w:rPr>
            </w:pPr>
          </w:p>
        </w:tc>
      </w:tr>
    </w:tbl>
    <w:p>
      <w:pPr>
        <w:pStyle w:val="7"/>
        <w:rPr>
          <w:rFonts w:ascii="仿宋_GB2312" w:hAnsi="仿宋_GB2312" w:eastAsia="仿宋_GB2312" w:cs="仿宋_GB2312"/>
          <w:sz w:val="28"/>
          <w:szCs w:val="28"/>
        </w:rPr>
      </w:pPr>
    </w:p>
    <w:p>
      <w:pPr>
        <w:pStyle w:val="7"/>
        <w:rPr>
          <w:rFonts w:ascii="仿宋_GB2312" w:hAnsi="仿宋_GB2312" w:eastAsia="仿宋_GB2312" w:cs="仿宋_GB2312"/>
          <w:sz w:val="28"/>
          <w:szCs w:val="28"/>
        </w:rPr>
      </w:pPr>
    </w:p>
    <w:p>
      <w:pPr>
        <w:pStyle w:val="7"/>
        <w:rPr>
          <w:rFonts w:hint="eastAsia" w:ascii="仿宋_GB2312" w:hAnsi="仿宋_GB2312" w:eastAsia="仿宋_GB2312" w:cs="仿宋_GB2312"/>
          <w:sz w:val="28"/>
          <w:szCs w:val="28"/>
        </w:rPr>
      </w:pPr>
      <w:r>
        <w:rPr>
          <w:rFonts w:ascii="仿宋_GB2312" w:hAnsi="仿宋_GB2312" w:eastAsia="仿宋_GB2312" w:cs="仿宋_GB2312"/>
          <w:sz w:val="28"/>
          <w:szCs w:val="28"/>
        </w:rPr>
        <w:br w:type="page"/>
      </w:r>
    </w:p>
    <w:p>
      <w:pPr>
        <w:spacing w:line="1000" w:lineRule="atLeast"/>
        <w:jc w:val="center"/>
        <w:outlineLvl w:val="0"/>
        <w:rPr>
          <w:rFonts w:ascii="Tahoma" w:hAnsi="Tahoma" w:cs="Tahoma"/>
          <w:b/>
          <w:sz w:val="44"/>
        </w:rPr>
      </w:pPr>
      <w:r>
        <w:rPr>
          <w:rFonts w:hint="eastAsia" w:ascii="Tahoma" w:hAnsi="Tahoma" w:cs="Tahoma"/>
          <w:b/>
          <w:sz w:val="44"/>
        </w:rPr>
        <w:t>（项目名称）</w:t>
      </w:r>
    </w:p>
    <w:p>
      <w:pPr>
        <w:spacing w:line="1000" w:lineRule="atLeast"/>
        <w:jc w:val="center"/>
        <w:outlineLvl w:val="0"/>
        <w:rPr>
          <w:rFonts w:ascii="Tahoma" w:hAnsi="Tahoma" w:cs="Tahoma"/>
          <w:sz w:val="30"/>
        </w:rPr>
      </w:pPr>
      <w:r>
        <w:rPr>
          <w:rFonts w:ascii="Tahoma" w:hAnsi="Tahoma" w:cs="Tahoma"/>
          <w:sz w:val="30"/>
        </w:rPr>
        <w:t>[</w:t>
      </w:r>
      <w:r>
        <w:rPr>
          <w:rFonts w:hint="eastAsia" w:ascii="Tahoma" w:hAnsi="Tahoma" w:cs="Tahoma"/>
          <w:sz w:val="30"/>
        </w:rPr>
        <w:t>招标编号：</w:t>
      </w:r>
      <w:r>
        <w:rPr>
          <w:rFonts w:hint="eastAsia" w:hAnsi="Tahoma"/>
          <w:sz w:val="30"/>
        </w:rPr>
        <w:t>（项目编号）</w:t>
      </w:r>
      <w:r>
        <w:rPr>
          <w:rFonts w:ascii="Tahoma" w:hAnsi="Tahoma" w:cs="Tahoma"/>
          <w:sz w:val="30"/>
        </w:rPr>
        <w:t>]</w:t>
      </w:r>
    </w:p>
    <w:p>
      <w:pPr>
        <w:spacing w:line="1000" w:lineRule="atLeast"/>
        <w:jc w:val="center"/>
        <w:rPr>
          <w:rFonts w:ascii="Tahoma" w:hAnsi="Tahoma" w:cs="Tahoma"/>
          <w:sz w:val="48"/>
        </w:rPr>
      </w:pPr>
    </w:p>
    <w:p>
      <w:pPr>
        <w:spacing w:line="1000" w:lineRule="atLeast"/>
        <w:jc w:val="center"/>
        <w:rPr>
          <w:rFonts w:ascii="Tahoma" w:hAnsi="Tahoma" w:cs="Tahoma"/>
          <w:sz w:val="48"/>
        </w:rPr>
      </w:pPr>
      <w:r>
        <w:rPr>
          <w:rFonts w:hint="eastAsia" w:ascii="Tahoma" w:hAnsi="Tahoma" w:cs="Tahoma"/>
          <w:sz w:val="48"/>
        </w:rPr>
        <w:t>评</w:t>
      </w:r>
    </w:p>
    <w:p>
      <w:pPr>
        <w:spacing w:line="1600" w:lineRule="atLeast"/>
        <w:jc w:val="center"/>
        <w:rPr>
          <w:rFonts w:ascii="Tahoma" w:hAnsi="Tahoma" w:cs="Tahoma"/>
          <w:sz w:val="48"/>
        </w:rPr>
      </w:pPr>
      <w:r>
        <w:rPr>
          <w:rFonts w:hint="eastAsia" w:ascii="Tahoma" w:hAnsi="Tahoma" w:cs="Tahoma"/>
          <w:sz w:val="48"/>
        </w:rPr>
        <w:t>审</w:t>
      </w:r>
    </w:p>
    <w:p>
      <w:pPr>
        <w:spacing w:line="1600" w:lineRule="atLeast"/>
        <w:jc w:val="center"/>
        <w:rPr>
          <w:rFonts w:ascii="Tahoma" w:hAnsi="Tahoma" w:cs="Tahoma"/>
          <w:sz w:val="48"/>
        </w:rPr>
      </w:pPr>
      <w:r>
        <w:rPr>
          <w:rFonts w:hint="eastAsia" w:ascii="Tahoma" w:hAnsi="Tahoma" w:cs="Tahoma"/>
          <w:sz w:val="48"/>
        </w:rPr>
        <w:t>报</w:t>
      </w:r>
    </w:p>
    <w:p>
      <w:pPr>
        <w:spacing w:line="1600" w:lineRule="atLeast"/>
        <w:jc w:val="center"/>
        <w:rPr>
          <w:rFonts w:ascii="Tahoma" w:hAnsi="Tahoma" w:cs="Tahoma"/>
          <w:sz w:val="48"/>
        </w:rPr>
      </w:pPr>
      <w:r>
        <w:rPr>
          <w:rFonts w:hint="eastAsia" w:ascii="Tahoma" w:hAnsi="Tahoma" w:cs="Tahoma"/>
          <w:sz w:val="48"/>
        </w:rPr>
        <w:t>告</w:t>
      </w:r>
    </w:p>
    <w:p>
      <w:pPr>
        <w:spacing w:line="1000" w:lineRule="atLeast"/>
        <w:jc w:val="center"/>
        <w:rPr>
          <w:rFonts w:ascii="Tahoma" w:hAnsi="Tahoma" w:cs="Tahoma"/>
          <w:sz w:val="44"/>
        </w:rPr>
      </w:pPr>
    </w:p>
    <w:p>
      <w:pPr>
        <w:spacing w:line="400" w:lineRule="atLeast"/>
        <w:jc w:val="center"/>
        <w:rPr>
          <w:rFonts w:ascii="Tahoma" w:hAnsi="Tahoma" w:cs="Tahoma"/>
          <w:b/>
          <w:spacing w:val="20"/>
          <w:sz w:val="30"/>
        </w:rPr>
      </w:pPr>
      <w:r>
        <w:rPr>
          <w:rFonts w:hint="eastAsia" w:ascii="Tahoma" w:hAnsi="Tahoma" w:cs="Tahoma"/>
          <w:b/>
          <w:spacing w:val="20"/>
          <w:sz w:val="30"/>
        </w:rPr>
        <w:t>广东省消防救援总队</w:t>
      </w:r>
    </w:p>
    <w:p>
      <w:pPr>
        <w:spacing w:line="400" w:lineRule="atLeast"/>
        <w:jc w:val="center"/>
        <w:rPr>
          <w:rFonts w:ascii="Tahoma" w:hAnsi="Tahoma" w:cs="Tahoma"/>
          <w:b/>
          <w:spacing w:val="20"/>
          <w:sz w:val="30"/>
        </w:rPr>
      </w:pPr>
      <w:r>
        <w:rPr>
          <w:rFonts w:hint="eastAsia" w:ascii="Tahoma" w:hAnsi="Tahoma" w:cs="Tahoma"/>
          <w:b/>
          <w:spacing w:val="20"/>
          <w:sz w:val="30"/>
        </w:rPr>
        <w:br w:type="page"/>
      </w:r>
    </w:p>
    <w:p>
      <w:pPr>
        <w:spacing w:line="400" w:lineRule="atLeast"/>
        <w:jc w:val="center"/>
        <w:rPr>
          <w:rFonts w:ascii="Tahoma" w:hAnsi="Tahoma" w:cs="Tahoma"/>
          <w:b/>
          <w:spacing w:val="200"/>
          <w:sz w:val="32"/>
        </w:rPr>
      </w:pPr>
      <w:r>
        <w:rPr>
          <w:rFonts w:hint="eastAsia" w:ascii="Tahoma" w:hAnsi="Tahoma" w:cs="Tahoma"/>
          <w:b/>
          <w:spacing w:val="200"/>
          <w:sz w:val="32"/>
        </w:rPr>
        <w:t>评审报告</w:t>
      </w:r>
    </w:p>
    <w:p>
      <w:pPr>
        <w:spacing w:line="400" w:lineRule="atLeast"/>
        <w:jc w:val="center"/>
        <w:rPr>
          <w:rFonts w:ascii="Tahoma" w:hAnsi="Tahoma" w:cs="Tahoma"/>
          <w:b/>
          <w:szCs w:val="21"/>
        </w:rPr>
      </w:pPr>
    </w:p>
    <w:tbl>
      <w:tblPr>
        <w:tblStyle w:val="25"/>
        <w:tblW w:w="0" w:type="auto"/>
        <w:tblInd w:w="0" w:type="dxa"/>
        <w:tblLayout w:type="fixed"/>
        <w:tblCellMar>
          <w:top w:w="0" w:type="dxa"/>
          <w:left w:w="108" w:type="dxa"/>
          <w:bottom w:w="0" w:type="dxa"/>
          <w:right w:w="108" w:type="dxa"/>
        </w:tblCellMar>
      </w:tblPr>
      <w:tblGrid>
        <w:gridCol w:w="1683"/>
        <w:gridCol w:w="7604"/>
      </w:tblGrid>
      <w:tr>
        <w:tblPrEx>
          <w:tblCellMar>
            <w:top w:w="0" w:type="dxa"/>
            <w:left w:w="108" w:type="dxa"/>
            <w:bottom w:w="0" w:type="dxa"/>
            <w:right w:w="108" w:type="dxa"/>
          </w:tblCellMar>
        </w:tblPrEx>
        <w:tc>
          <w:tcPr>
            <w:tcW w:w="1683" w:type="dxa"/>
            <w:noWrap w:val="0"/>
            <w:vAlign w:val="top"/>
          </w:tcPr>
          <w:p>
            <w:pPr>
              <w:keepNext w:val="0"/>
              <w:keepLines w:val="0"/>
              <w:suppressLineNumbers w:val="0"/>
              <w:spacing w:before="0" w:beforeAutospacing="0" w:after="0" w:afterAutospacing="0" w:line="400" w:lineRule="atLeast"/>
              <w:ind w:left="0" w:right="0"/>
              <w:jc w:val="distribute"/>
              <w:rPr>
                <w:rFonts w:hint="default" w:ascii="Tahoma" w:hAnsi="Tahoma" w:cs="Tahoma"/>
                <w:szCs w:val="21"/>
              </w:rPr>
            </w:pPr>
            <w:r>
              <w:rPr>
                <w:rFonts w:hint="eastAsia" w:ascii="Tahoma" w:hAnsi="Tahoma" w:cs="Tahoma"/>
                <w:szCs w:val="21"/>
              </w:rPr>
              <w:t>采购人</w:t>
            </w:r>
          </w:p>
        </w:tc>
        <w:tc>
          <w:tcPr>
            <w:tcW w:w="7604" w:type="dxa"/>
            <w:noWrap w:val="0"/>
            <w:vAlign w:val="top"/>
          </w:tcPr>
          <w:p>
            <w:pPr>
              <w:keepNext w:val="0"/>
              <w:keepLines w:val="0"/>
              <w:suppressLineNumbers w:val="0"/>
              <w:spacing w:before="0" w:beforeAutospacing="0" w:after="0" w:afterAutospacing="0" w:line="400" w:lineRule="atLeast"/>
              <w:ind w:left="0" w:right="0"/>
              <w:rPr>
                <w:rFonts w:hint="default" w:ascii="宋体"/>
                <w:kern w:val="28"/>
                <w:szCs w:val="21"/>
              </w:rPr>
            </w:pPr>
            <w:r>
              <w:rPr>
                <w:rFonts w:hint="eastAsia" w:ascii="Tahoma" w:hAnsi="Tahoma" w:cs="Tahoma"/>
                <w:szCs w:val="21"/>
              </w:rPr>
              <w:t>：广东省消防救援总队</w:t>
            </w:r>
          </w:p>
        </w:tc>
      </w:tr>
      <w:tr>
        <w:tblPrEx>
          <w:tblCellMar>
            <w:top w:w="0" w:type="dxa"/>
            <w:left w:w="108" w:type="dxa"/>
            <w:bottom w:w="0" w:type="dxa"/>
            <w:right w:w="108" w:type="dxa"/>
          </w:tblCellMar>
        </w:tblPrEx>
        <w:tc>
          <w:tcPr>
            <w:tcW w:w="1683" w:type="dxa"/>
            <w:noWrap w:val="0"/>
            <w:vAlign w:val="top"/>
          </w:tcPr>
          <w:p>
            <w:pPr>
              <w:keepNext w:val="0"/>
              <w:keepLines w:val="0"/>
              <w:suppressLineNumbers w:val="0"/>
              <w:spacing w:before="0" w:beforeAutospacing="0" w:after="0" w:afterAutospacing="0" w:line="400" w:lineRule="atLeast"/>
              <w:ind w:left="0" w:right="0"/>
              <w:jc w:val="distribute"/>
              <w:rPr>
                <w:rFonts w:hint="default" w:ascii="Tahoma" w:hAnsi="Tahoma" w:cs="Tahoma"/>
                <w:szCs w:val="21"/>
              </w:rPr>
            </w:pPr>
            <w:r>
              <w:rPr>
                <w:rFonts w:hint="eastAsia" w:ascii="Tahoma" w:hAnsi="Tahoma" w:cs="Tahoma"/>
                <w:szCs w:val="21"/>
              </w:rPr>
              <w:t>招标编号</w:t>
            </w:r>
          </w:p>
        </w:tc>
        <w:tc>
          <w:tcPr>
            <w:tcW w:w="7604" w:type="dxa"/>
            <w:noWrap w:val="0"/>
            <w:vAlign w:val="top"/>
          </w:tcPr>
          <w:p>
            <w:pPr>
              <w:keepNext w:val="0"/>
              <w:keepLines w:val="0"/>
              <w:suppressLineNumbers w:val="0"/>
              <w:spacing w:before="0" w:beforeAutospacing="0" w:after="0" w:afterAutospacing="0" w:line="400" w:lineRule="atLeast"/>
              <w:ind w:left="0" w:right="0"/>
              <w:rPr>
                <w:rFonts w:hint="default" w:ascii="Tahoma" w:hAnsi="Tahoma" w:cs="Tahoma"/>
                <w:szCs w:val="21"/>
              </w:rPr>
            </w:pPr>
            <w:r>
              <w:rPr>
                <w:rFonts w:hint="eastAsia" w:ascii="Tahoma" w:hAnsi="Tahoma" w:cs="Tahoma"/>
                <w:szCs w:val="21"/>
              </w:rPr>
              <w:t>：</w:t>
            </w:r>
            <w:r>
              <w:rPr>
                <w:rFonts w:hint="eastAsia" w:hAnsi="Tahoma"/>
                <w:szCs w:val="21"/>
              </w:rPr>
              <w:t>（项目编号）</w:t>
            </w:r>
          </w:p>
        </w:tc>
      </w:tr>
      <w:tr>
        <w:tblPrEx>
          <w:tblCellMar>
            <w:top w:w="0" w:type="dxa"/>
            <w:left w:w="108" w:type="dxa"/>
            <w:bottom w:w="0" w:type="dxa"/>
            <w:right w:w="108" w:type="dxa"/>
          </w:tblCellMar>
        </w:tblPrEx>
        <w:tc>
          <w:tcPr>
            <w:tcW w:w="1683" w:type="dxa"/>
            <w:noWrap w:val="0"/>
            <w:vAlign w:val="top"/>
          </w:tcPr>
          <w:p>
            <w:pPr>
              <w:keepNext w:val="0"/>
              <w:keepLines w:val="0"/>
              <w:suppressLineNumbers w:val="0"/>
              <w:spacing w:before="0" w:beforeAutospacing="0" w:after="0" w:afterAutospacing="0" w:line="400" w:lineRule="atLeast"/>
              <w:ind w:left="0" w:right="0"/>
              <w:jc w:val="distribute"/>
              <w:rPr>
                <w:rFonts w:hint="default" w:ascii="Tahoma" w:hAnsi="Tahoma" w:cs="Tahoma"/>
                <w:szCs w:val="21"/>
              </w:rPr>
            </w:pPr>
            <w:r>
              <w:rPr>
                <w:rFonts w:hint="eastAsia" w:ascii="Tahoma" w:hAnsi="Tahoma" w:cs="Tahoma"/>
                <w:szCs w:val="21"/>
              </w:rPr>
              <w:t>招标内容</w:t>
            </w:r>
          </w:p>
        </w:tc>
        <w:tc>
          <w:tcPr>
            <w:tcW w:w="7604" w:type="dxa"/>
            <w:noWrap w:val="0"/>
            <w:vAlign w:val="top"/>
          </w:tcPr>
          <w:p>
            <w:pPr>
              <w:keepNext w:val="0"/>
              <w:keepLines w:val="0"/>
              <w:suppressLineNumbers w:val="0"/>
              <w:spacing w:before="0" w:beforeAutospacing="0" w:after="0" w:afterAutospacing="0" w:line="400" w:lineRule="atLeast"/>
              <w:ind w:left="0" w:right="0"/>
              <w:rPr>
                <w:rFonts w:hint="default"/>
                <w:szCs w:val="21"/>
              </w:rPr>
            </w:pPr>
            <w:r>
              <w:rPr>
                <w:rFonts w:hint="eastAsia" w:ascii="Tahoma" w:hAnsi="Tahoma" w:cs="Tahoma"/>
                <w:szCs w:val="21"/>
              </w:rPr>
              <w:t>：（项目名称）</w:t>
            </w:r>
          </w:p>
        </w:tc>
      </w:tr>
      <w:tr>
        <w:tc>
          <w:tcPr>
            <w:tcW w:w="1683" w:type="dxa"/>
            <w:noWrap w:val="0"/>
            <w:vAlign w:val="top"/>
          </w:tcPr>
          <w:p>
            <w:pPr>
              <w:keepNext w:val="0"/>
              <w:keepLines w:val="0"/>
              <w:suppressLineNumbers w:val="0"/>
              <w:spacing w:before="0" w:beforeAutospacing="0" w:after="0" w:afterAutospacing="0" w:line="400" w:lineRule="atLeast"/>
              <w:ind w:left="0" w:right="0"/>
              <w:jc w:val="distribute"/>
              <w:rPr>
                <w:rFonts w:hint="default" w:ascii="Tahoma" w:hAnsi="Tahoma" w:cs="Tahoma"/>
                <w:szCs w:val="21"/>
              </w:rPr>
            </w:pPr>
            <w:r>
              <w:rPr>
                <w:rFonts w:hint="eastAsia" w:ascii="Tahoma" w:hAnsi="Tahoma" w:cs="Tahoma"/>
                <w:szCs w:val="21"/>
              </w:rPr>
              <w:t>预算金额</w:t>
            </w:r>
          </w:p>
        </w:tc>
        <w:tc>
          <w:tcPr>
            <w:tcW w:w="7604" w:type="dxa"/>
            <w:noWrap w:val="0"/>
            <w:vAlign w:val="top"/>
          </w:tcPr>
          <w:p>
            <w:pPr>
              <w:keepNext w:val="0"/>
              <w:keepLines w:val="0"/>
              <w:suppressLineNumbers w:val="0"/>
              <w:spacing w:before="0" w:beforeAutospacing="0" w:after="0" w:afterAutospacing="0" w:line="400" w:lineRule="atLeast"/>
              <w:ind w:left="0" w:right="0"/>
              <w:rPr>
                <w:rFonts w:hint="default" w:ascii="Tahoma" w:hAnsi="Tahoma" w:cs="Tahoma"/>
                <w:szCs w:val="21"/>
              </w:rPr>
            </w:pPr>
            <w:r>
              <w:rPr>
                <w:rFonts w:hint="eastAsia" w:ascii="Tahoma" w:hAnsi="Tahoma" w:cs="Tahoma"/>
                <w:szCs w:val="21"/>
              </w:rPr>
              <w:t>：</w:t>
            </w:r>
            <w:r>
              <w:rPr>
                <w:rFonts w:hint="eastAsia" w:ascii="宋体" w:hAnsi="宋体" w:cs="Tahoma"/>
                <w:kern w:val="28"/>
                <w:szCs w:val="20"/>
              </w:rPr>
              <w:t>人民币  万元</w:t>
            </w:r>
          </w:p>
        </w:tc>
      </w:tr>
    </w:tbl>
    <w:p>
      <w:pPr>
        <w:spacing w:line="400" w:lineRule="atLeast"/>
        <w:ind w:firstLine="420"/>
        <w:rPr>
          <w:rFonts w:ascii="Tahoma" w:hAnsi="Tahoma" w:cs="Tahoma"/>
          <w:szCs w:val="21"/>
        </w:rPr>
      </w:pPr>
    </w:p>
    <w:p>
      <w:pPr>
        <w:spacing w:line="400" w:lineRule="atLeast"/>
        <w:ind w:firstLine="420"/>
        <w:rPr>
          <w:rFonts w:ascii="Tahoma" w:hAnsi="Tahoma" w:cs="Tahoma"/>
          <w:szCs w:val="21"/>
        </w:rPr>
      </w:pPr>
      <w:r>
        <w:rPr>
          <w:rFonts w:hint="eastAsia" w:ascii="Tahoma" w:hAnsi="Tahoma" w:cs="Tahoma"/>
          <w:szCs w:val="21"/>
        </w:rPr>
        <w:t>广东省消防救援总队对***（项目名称）项目的供货商选择进行了遴选采购。有关采购、响应和评审情况如下：</w:t>
      </w:r>
    </w:p>
    <w:p>
      <w:pPr>
        <w:numPr>
          <w:ilvl w:val="0"/>
          <w:numId w:val="8"/>
        </w:numPr>
        <w:tabs>
          <w:tab w:val="clear" w:pos="840"/>
        </w:tabs>
        <w:spacing w:line="400" w:lineRule="atLeast"/>
        <w:ind w:left="945" w:hanging="525"/>
        <w:rPr>
          <w:rFonts w:ascii="Tahoma" w:hAnsi="Tahoma" w:cs="Tahoma"/>
          <w:szCs w:val="21"/>
        </w:rPr>
      </w:pPr>
      <w:r>
        <w:rPr>
          <w:rFonts w:hint="eastAsia" w:ascii="Tahoma" w:hAnsi="Tahoma" w:cs="Tahoma"/>
          <w:szCs w:val="21"/>
        </w:rPr>
        <w:t>采购、响应的基本情况</w:t>
      </w:r>
    </w:p>
    <w:p>
      <w:pPr>
        <w:spacing w:after="156" w:afterLines="50" w:line="400" w:lineRule="atLeast"/>
        <w:ind w:firstLine="420"/>
        <w:rPr>
          <w:rFonts w:ascii="Tahoma" w:hAnsi="Tahoma" w:cs="Tahoma"/>
          <w:szCs w:val="21"/>
        </w:rPr>
      </w:pPr>
      <w:r>
        <w:rPr>
          <w:rFonts w:hint="eastAsia" w:ascii="Tahoma" w:hAnsi="Tahoma" w:cs="Tahoma"/>
          <w:szCs w:val="21"/>
        </w:rPr>
        <w:t>于2024年</w:t>
      </w:r>
      <w:r>
        <w:rPr>
          <w:rFonts w:hint="eastAsia" w:ascii="Tahoma" w:hAnsi="Tahoma" w:cs="Tahoma"/>
          <w:szCs w:val="21"/>
          <w:lang w:val="en-US" w:eastAsia="zh-CN"/>
        </w:rPr>
        <w:t>5</w:t>
      </w:r>
      <w:r>
        <w:rPr>
          <w:rFonts w:hint="eastAsia" w:ascii="Tahoma" w:hAnsi="Tahoma" w:cs="Tahoma"/>
          <w:szCs w:val="21"/>
        </w:rPr>
        <w:t>月</w:t>
      </w:r>
      <w:r>
        <w:rPr>
          <w:rFonts w:hint="eastAsia" w:ascii="Tahoma" w:hAnsi="Tahoma" w:cs="Tahoma"/>
          <w:szCs w:val="21"/>
          <w:lang w:val="en-US" w:eastAsia="zh-CN"/>
        </w:rPr>
        <w:t>22</w:t>
      </w:r>
      <w:r>
        <w:rPr>
          <w:rFonts w:hint="eastAsia" w:ascii="Tahoma" w:hAnsi="Tahoma" w:cs="Tahoma"/>
          <w:szCs w:val="21"/>
        </w:rPr>
        <w:t>日在采购人指定网站上发布遴选公告，并于当天开始发出遴选文件。至2024年</w:t>
      </w:r>
      <w:r>
        <w:rPr>
          <w:rFonts w:hint="eastAsia" w:ascii="Tahoma" w:hAnsi="Tahoma" w:cs="Tahoma"/>
          <w:szCs w:val="21"/>
          <w:lang w:val="en-US" w:eastAsia="zh-CN"/>
        </w:rPr>
        <w:t>6</w:t>
      </w:r>
      <w:r>
        <w:rPr>
          <w:rFonts w:hint="eastAsia" w:ascii="Tahoma" w:hAnsi="Tahoma" w:cs="Tahoma"/>
          <w:szCs w:val="21"/>
        </w:rPr>
        <w:t>月</w:t>
      </w:r>
      <w:r>
        <w:rPr>
          <w:rFonts w:hint="eastAsia" w:ascii="Tahoma" w:hAnsi="Tahoma" w:cs="Tahoma"/>
          <w:szCs w:val="21"/>
          <w:lang w:val="en-US" w:eastAsia="zh-CN"/>
        </w:rPr>
        <w:t>1</w:t>
      </w:r>
      <w:r>
        <w:rPr>
          <w:rFonts w:hint="eastAsia" w:ascii="Tahoma" w:hAnsi="Tahoma" w:cs="Tahoma"/>
          <w:szCs w:val="21"/>
        </w:rPr>
        <w:t>日</w:t>
      </w:r>
      <w:r>
        <w:rPr>
          <w:rFonts w:ascii="Tahoma" w:hAnsi="Tahoma" w:cs="Tahoma"/>
          <w:szCs w:val="21"/>
        </w:rPr>
        <w:t>17</w:t>
      </w:r>
      <w:r>
        <w:rPr>
          <w:rFonts w:hint="eastAsia" w:ascii="Tahoma" w:hAnsi="Tahoma" w:cs="Tahoma"/>
          <w:szCs w:val="21"/>
          <w:lang w:val="en-US" w:eastAsia="zh-CN"/>
        </w:rPr>
        <w:t>:</w:t>
      </w:r>
      <w:r>
        <w:rPr>
          <w:rFonts w:hint="eastAsia" w:ascii="Tahoma" w:hAnsi="Tahoma" w:cs="Tahoma"/>
          <w:szCs w:val="21"/>
        </w:rPr>
        <w:t>30（北京时间）共有？家供应商获取了遴选文件。投标截止时间为2024年</w:t>
      </w:r>
      <w:r>
        <w:rPr>
          <w:rFonts w:hint="eastAsia" w:ascii="Tahoma" w:hAnsi="Tahoma" w:cs="Tahoma"/>
          <w:szCs w:val="21"/>
          <w:lang w:val="en-US" w:eastAsia="zh-CN"/>
        </w:rPr>
        <w:t>6</w:t>
      </w:r>
      <w:r>
        <w:rPr>
          <w:rFonts w:hint="eastAsia" w:ascii="Tahoma" w:hAnsi="Tahoma" w:cs="Tahoma"/>
          <w:szCs w:val="21"/>
        </w:rPr>
        <w:t>月</w:t>
      </w:r>
      <w:r>
        <w:rPr>
          <w:rFonts w:hint="eastAsia" w:ascii="Tahoma" w:hAnsi="Tahoma" w:cs="Tahoma"/>
          <w:szCs w:val="21"/>
          <w:lang w:val="en-US" w:eastAsia="zh-CN"/>
        </w:rPr>
        <w:t>3</w:t>
      </w:r>
      <w:r>
        <w:rPr>
          <w:rFonts w:hint="eastAsia" w:ascii="Tahoma" w:hAnsi="Tahoma" w:cs="Tahoma"/>
          <w:szCs w:val="21"/>
        </w:rPr>
        <w:t xml:space="preserve">日 </w:t>
      </w:r>
      <w:r>
        <w:rPr>
          <w:rFonts w:hint="eastAsia" w:ascii="Tahoma" w:hAnsi="Tahoma" w:cs="Tahoma"/>
          <w:szCs w:val="21"/>
          <w:lang w:val="en-US" w:eastAsia="zh-CN"/>
        </w:rPr>
        <w:t>12</w:t>
      </w:r>
      <w:r>
        <w:rPr>
          <w:rFonts w:hint="eastAsia" w:ascii="Tahoma" w:hAnsi="Tahoma" w:cs="Tahoma"/>
          <w:szCs w:val="21"/>
        </w:rPr>
        <w:t>:</w:t>
      </w:r>
      <w:r>
        <w:rPr>
          <w:rFonts w:hint="eastAsia" w:ascii="Tahoma" w:hAnsi="Tahoma" w:cs="Tahoma"/>
          <w:szCs w:val="21"/>
          <w:lang w:val="en-US" w:eastAsia="zh-CN"/>
        </w:rPr>
        <w:t>00</w:t>
      </w:r>
      <w:r>
        <w:rPr>
          <w:rFonts w:hint="eastAsia" w:ascii="Tahoma" w:hAnsi="Tahoma" w:cs="Tahoma"/>
          <w:szCs w:val="21"/>
        </w:rPr>
        <w:t>（北京时间），在（开标地点）公开</w:t>
      </w:r>
      <w:r>
        <w:rPr>
          <w:rFonts w:hint="eastAsia" w:ascii="Tahoma" w:hAnsi="Tahoma" w:cs="Tahoma"/>
          <w:szCs w:val="21"/>
          <w:lang w:eastAsia="zh-CN"/>
        </w:rPr>
        <w:t>评选时间不晚于2024年6月</w:t>
      </w:r>
      <w:r>
        <w:rPr>
          <w:rFonts w:hint="eastAsia" w:ascii="Tahoma" w:hAnsi="Tahoma" w:cs="Tahoma"/>
          <w:szCs w:val="21"/>
          <w:lang w:val="en-US" w:eastAsia="zh-CN"/>
        </w:rPr>
        <w:t>5</w:t>
      </w:r>
      <w:r>
        <w:rPr>
          <w:rFonts w:hint="eastAsia" w:ascii="Tahoma" w:hAnsi="Tahoma" w:cs="Tahoma"/>
          <w:szCs w:val="21"/>
          <w:lang w:eastAsia="zh-CN"/>
        </w:rPr>
        <w:t>日</w:t>
      </w:r>
      <w:r>
        <w:rPr>
          <w:rFonts w:hint="eastAsia" w:ascii="Tahoma" w:hAnsi="Tahoma" w:cs="Tahoma"/>
          <w:szCs w:val="21"/>
        </w:rPr>
        <w:t>。共有？名供应商递交了响应文件，获取评选文件及开标情况如下：</w:t>
      </w:r>
    </w:p>
    <w:tbl>
      <w:tblPr>
        <w:tblStyle w:val="25"/>
        <w:tblW w:w="5000"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13" w:type="dxa"/>
          <w:left w:w="113" w:type="dxa"/>
          <w:bottom w:w="113" w:type="dxa"/>
          <w:right w:w="113" w:type="dxa"/>
        </w:tblCellMar>
      </w:tblPr>
      <w:tblGrid>
        <w:gridCol w:w="669"/>
        <w:gridCol w:w="3469"/>
        <w:gridCol w:w="1807"/>
        <w:gridCol w:w="258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Style w:val="28"/>
                <w:rFonts w:hint="default"/>
                <w:szCs w:val="20"/>
              </w:rPr>
              <w:t>序号</w:t>
            </w:r>
          </w:p>
        </w:tc>
        <w:tc>
          <w:tcPr>
            <w:tcW w:w="203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投标(报价)人名称</w:t>
            </w:r>
          </w:p>
        </w:tc>
        <w:tc>
          <w:tcPr>
            <w:tcW w:w="105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投标函</w:t>
            </w:r>
          </w:p>
        </w:tc>
        <w:tc>
          <w:tcPr>
            <w:tcW w:w="1516"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投标总报价（人民币元）</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1</w:t>
            </w:r>
          </w:p>
        </w:tc>
        <w:tc>
          <w:tcPr>
            <w:tcW w:w="203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c>
          <w:tcPr>
            <w:tcW w:w="105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c>
          <w:tcPr>
            <w:tcW w:w="1516"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2</w:t>
            </w:r>
          </w:p>
        </w:tc>
        <w:tc>
          <w:tcPr>
            <w:tcW w:w="203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c>
          <w:tcPr>
            <w:tcW w:w="105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c>
          <w:tcPr>
            <w:tcW w:w="1516"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3</w:t>
            </w:r>
          </w:p>
        </w:tc>
        <w:tc>
          <w:tcPr>
            <w:tcW w:w="203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c>
          <w:tcPr>
            <w:tcW w:w="1059"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c>
          <w:tcPr>
            <w:tcW w:w="1516"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r>
    </w:tbl>
    <w:p>
      <w:pPr>
        <w:spacing w:line="400" w:lineRule="atLeast"/>
        <w:ind w:firstLine="420"/>
        <w:rPr>
          <w:rFonts w:ascii="Tahoma" w:hAnsi="Tahoma" w:cs="Tahoma"/>
          <w:szCs w:val="21"/>
        </w:rPr>
      </w:pPr>
    </w:p>
    <w:p>
      <w:pPr>
        <w:numPr>
          <w:ilvl w:val="0"/>
          <w:numId w:val="8"/>
        </w:numPr>
        <w:tabs>
          <w:tab w:val="clear" w:pos="840"/>
        </w:tabs>
        <w:spacing w:line="400" w:lineRule="atLeast"/>
        <w:ind w:left="945" w:hanging="525"/>
        <w:rPr>
          <w:rFonts w:ascii="Tahoma" w:hAnsi="Tahoma" w:cs="Tahoma"/>
          <w:szCs w:val="21"/>
        </w:rPr>
      </w:pPr>
      <w:r>
        <w:rPr>
          <w:rFonts w:hint="eastAsia" w:ascii="Tahoma" w:hAnsi="Tahoma" w:cs="Tahoma"/>
          <w:szCs w:val="21"/>
        </w:rPr>
        <w:t>评审小组成员名单</w:t>
      </w:r>
    </w:p>
    <w:p>
      <w:pPr>
        <w:spacing w:line="400" w:lineRule="atLeast"/>
        <w:ind w:firstLine="420"/>
        <w:rPr>
          <w:rFonts w:hint="eastAsia" w:ascii="Tahoma" w:hAnsi="Tahoma" w:cs="Tahoma"/>
          <w:szCs w:val="21"/>
        </w:rPr>
      </w:pPr>
      <w:r>
        <w:rPr>
          <w:rFonts w:hint="eastAsia" w:ascii="Tahoma" w:hAnsi="Tahoma" w:cs="Tahoma"/>
          <w:szCs w:val="21"/>
        </w:rPr>
        <w:t>评审小组依法组建，成员共3人。确认评审小组组成名单如下：</w:t>
      </w:r>
    </w:p>
    <w:p>
      <w:pPr>
        <w:spacing w:line="400" w:lineRule="atLeast"/>
        <w:ind w:firstLine="420"/>
        <w:rPr>
          <w:rFonts w:hint="eastAsia" w:ascii="Tahoma" w:hAnsi="Tahoma" w:cs="Tahoma"/>
          <w:szCs w:val="21"/>
        </w:rPr>
      </w:pPr>
    </w:p>
    <w:p>
      <w:pPr>
        <w:numPr>
          <w:ilvl w:val="0"/>
          <w:numId w:val="8"/>
        </w:numPr>
        <w:tabs>
          <w:tab w:val="clear" w:pos="840"/>
        </w:tabs>
        <w:spacing w:line="400" w:lineRule="atLeast"/>
        <w:ind w:left="945" w:hanging="525"/>
        <w:rPr>
          <w:rFonts w:ascii="Tahoma" w:hAnsi="Tahoma" w:cs="Tahoma"/>
          <w:szCs w:val="21"/>
        </w:rPr>
      </w:pPr>
      <w:r>
        <w:rPr>
          <w:rFonts w:hint="eastAsia" w:ascii="Tahoma" w:hAnsi="Tahoma" w:cs="Tahoma"/>
          <w:szCs w:val="21"/>
        </w:rPr>
        <w:t>评审过程</w:t>
      </w:r>
    </w:p>
    <w:p>
      <w:pPr>
        <w:spacing w:line="400" w:lineRule="atLeast"/>
        <w:ind w:firstLine="420"/>
        <w:rPr>
          <w:rFonts w:ascii="Tahoma" w:hAnsi="Tahoma" w:cs="Tahoma"/>
          <w:szCs w:val="21"/>
        </w:rPr>
      </w:pPr>
      <w:r>
        <w:rPr>
          <w:rFonts w:hint="eastAsia" w:ascii="Tahoma" w:hAnsi="Tahoma" w:cs="Tahoma"/>
          <w:szCs w:val="21"/>
        </w:rPr>
        <w:t>评审小组按照评选文件确定的评审标准和方法，对响应文件进行评审和比较，评审基本情况如下：</w:t>
      </w:r>
    </w:p>
    <w:p>
      <w:pPr>
        <w:numPr>
          <w:ilvl w:val="2"/>
          <w:numId w:val="8"/>
        </w:numPr>
        <w:tabs>
          <w:tab w:val="left" w:pos="840"/>
          <w:tab w:val="clear" w:pos="1680"/>
        </w:tabs>
        <w:spacing w:line="400" w:lineRule="atLeast"/>
        <w:ind w:left="840"/>
        <w:rPr>
          <w:rFonts w:ascii="Tahoma" w:hAnsi="Tahoma" w:cs="Tahoma"/>
          <w:szCs w:val="21"/>
        </w:rPr>
      </w:pPr>
      <w:r>
        <w:rPr>
          <w:rFonts w:hint="eastAsia" w:ascii="Tahoma" w:hAnsi="Tahoma" w:cs="Tahoma"/>
          <w:szCs w:val="21"/>
        </w:rPr>
        <w:t>评审标准、方法及因素</w:t>
      </w:r>
    </w:p>
    <w:p>
      <w:pPr>
        <w:spacing w:line="400" w:lineRule="atLeast"/>
        <w:ind w:firstLine="420"/>
        <w:rPr>
          <w:rFonts w:ascii="Tahoma" w:hAnsi="Tahoma" w:cs="Tahoma"/>
        </w:rPr>
      </w:pPr>
      <w:r>
        <w:rPr>
          <w:rFonts w:hint="eastAsia" w:ascii="Tahoma" w:hAnsi="Tahoma" w:cs="Tahoma"/>
          <w:szCs w:val="21"/>
        </w:rPr>
        <w:t>评审办法采用综合评分法。在</w:t>
      </w:r>
      <w:r>
        <w:rPr>
          <w:rFonts w:ascii="Tahoma" w:hAnsi="Tahoma" w:cs="Tahoma"/>
          <w:szCs w:val="21"/>
        </w:rPr>
        <w:t>供应商资格审查后，</w:t>
      </w:r>
      <w:r>
        <w:rPr>
          <w:rFonts w:hint="eastAsia" w:ascii="Tahoma" w:hAnsi="Tahoma" w:cs="Tahoma"/>
        </w:rPr>
        <w:t>评审分两阶段进行。第一阶段为符合性审查，第二阶段为对技术、商务及价格的详细评审。已</w:t>
      </w:r>
      <w:r>
        <w:rPr>
          <w:rFonts w:ascii="Tahoma" w:hAnsi="Tahoma" w:cs="Tahoma"/>
        </w:rPr>
        <w:t>通过供应商资格审查并</w:t>
      </w:r>
      <w:r>
        <w:rPr>
          <w:rFonts w:hint="eastAsia" w:ascii="Tahoma" w:hAnsi="Tahoma" w:cs="Tahoma"/>
        </w:rPr>
        <w:t>通过第一阶段评审的供应商方为有效供应商，方能进入第二阶段的评审。</w:t>
      </w:r>
      <w:r>
        <w:rPr>
          <w:rFonts w:hint="eastAsia" w:ascii="Tahoma" w:hAnsi="Tahoma" w:cs="Tahoma"/>
          <w:szCs w:val="21"/>
        </w:rPr>
        <w:t>技术、商务、价格得分的分值分别为：？分、？分、？分。</w:t>
      </w:r>
    </w:p>
    <w:p>
      <w:pPr>
        <w:spacing w:line="400" w:lineRule="atLeast"/>
        <w:ind w:firstLine="420"/>
        <w:rPr>
          <w:rFonts w:ascii="Tahoma" w:hAnsi="Tahoma" w:cs="Tahoma"/>
          <w:b/>
        </w:rPr>
      </w:pPr>
      <w:r>
        <w:rPr>
          <w:rFonts w:hint="eastAsia" w:ascii="宋体" w:hAnsi="宋体"/>
        </w:rPr>
        <w:t>按照评审程序、评分标准以及权重分配的规定，评选小组成员分别就各有效供应商的技术状况、商务状况及其对评选文件要求的响应情况进行评分。各评委评分的算术平均值即为该供应商的技术评分或商务评分。然后，根据比价原则评出价格评分</w:t>
      </w:r>
      <w:r>
        <w:rPr>
          <w:rFonts w:hint="eastAsia" w:ascii="Tahoma" w:hAnsi="Tahoma" w:cs="Tahoma"/>
        </w:rPr>
        <w:t>，各有效供应商的评审价中，取最低者作为基准价，各有效供应商的价格评分统一按照下列公式计算：价格评分</w:t>
      </w:r>
      <w:r>
        <w:rPr>
          <w:rFonts w:ascii="Tahoma" w:hAnsi="Tahoma" w:cs="Tahoma"/>
        </w:rPr>
        <w:t>=</w:t>
      </w:r>
      <w:r>
        <w:rPr>
          <w:rFonts w:hint="eastAsia" w:ascii="Tahoma" w:hAnsi="Tahoma" w:cs="Tahoma"/>
        </w:rPr>
        <w:t>（基准价</w:t>
      </w:r>
      <w:r>
        <w:rPr>
          <w:rFonts w:ascii="Tahoma" w:hAnsi="Tahoma" w:cs="Tahoma"/>
        </w:rPr>
        <w:t>÷</w:t>
      </w:r>
      <w:r>
        <w:rPr>
          <w:rFonts w:hint="eastAsia" w:ascii="Tahoma" w:hAnsi="Tahoma" w:cs="Tahoma"/>
        </w:rPr>
        <w:t>评审价）</w:t>
      </w:r>
      <w:r>
        <w:rPr>
          <w:rFonts w:ascii="Tahoma" w:hAnsi="Tahoma" w:cs="Tahoma"/>
        </w:rPr>
        <w:t>×</w:t>
      </w:r>
      <w:r>
        <w:rPr>
          <w:rFonts w:hint="eastAsia" w:ascii="Tahoma" w:hAnsi="Tahoma" w:cs="Tahoma"/>
        </w:rPr>
        <w:t>价格权重。</w:t>
      </w:r>
      <w:r>
        <w:rPr>
          <w:rFonts w:hint="eastAsia" w:ascii="宋体" w:hAnsi="宋体"/>
        </w:rPr>
        <w:t>将技术评分、商务评分和价格评分相加得出评审总得分（评审总得分分值按四舍五入原则精确到小数点后两位）。</w:t>
      </w:r>
    </w:p>
    <w:p>
      <w:pPr>
        <w:spacing w:line="400" w:lineRule="atLeast"/>
        <w:ind w:firstLine="420"/>
        <w:rPr>
          <w:rFonts w:ascii="Tahoma" w:hAnsi="Tahoma" w:cs="Tahoma"/>
          <w:szCs w:val="21"/>
        </w:rPr>
      </w:pPr>
      <w:r>
        <w:rPr>
          <w:rFonts w:hint="eastAsia" w:hAnsi="宋体"/>
        </w:rPr>
        <w:t>评审小组对满足评选文件实质性要求的响应文件，按照评分标准进行打分，并按综合得分由高到低顺序推荐中标候选人，但报价低于其成本的除外。综合得分相等时，以报价低的优先；报价也相等的，以技术得分高的优先；如果技术得分也相等，通过评审小组投票确定其排名顺序。</w:t>
      </w:r>
    </w:p>
    <w:p>
      <w:pPr>
        <w:numPr>
          <w:ilvl w:val="2"/>
          <w:numId w:val="8"/>
        </w:numPr>
        <w:tabs>
          <w:tab w:val="left" w:pos="840"/>
          <w:tab w:val="clear" w:pos="1680"/>
        </w:tabs>
        <w:spacing w:line="400" w:lineRule="atLeast"/>
        <w:ind w:left="840"/>
        <w:rPr>
          <w:rFonts w:ascii="Tahoma" w:hAnsi="Tahoma" w:cs="Tahoma"/>
          <w:szCs w:val="21"/>
        </w:rPr>
      </w:pPr>
      <w:r>
        <w:rPr>
          <w:rFonts w:hint="eastAsia" w:ascii="Tahoma" w:hAnsi="Tahoma" w:cs="Tahoma"/>
          <w:szCs w:val="21"/>
        </w:rPr>
        <w:t>评审情况：</w:t>
      </w:r>
    </w:p>
    <w:p>
      <w:pPr>
        <w:numPr>
          <w:ilvl w:val="0"/>
          <w:numId w:val="9"/>
        </w:numPr>
        <w:spacing w:after="120" w:line="400" w:lineRule="atLeast"/>
        <w:ind w:left="777" w:hanging="357"/>
        <w:rPr>
          <w:rFonts w:ascii="Tahoma" w:hAnsi="Tahoma" w:cs="Tahoma"/>
          <w:szCs w:val="21"/>
        </w:rPr>
      </w:pPr>
      <w:r>
        <w:rPr>
          <w:rFonts w:ascii="Tahoma" w:hAnsi="Tahoma" w:cs="Tahoma"/>
          <w:szCs w:val="21"/>
        </w:rPr>
        <w:t>资格审查</w:t>
      </w:r>
      <w:r>
        <w:rPr>
          <w:rFonts w:hint="eastAsia" w:ascii="Tahoma" w:hAnsi="Tahoma" w:cs="Tahoma"/>
          <w:szCs w:val="21"/>
        </w:rPr>
        <w:t>情况如下：</w:t>
      </w:r>
    </w:p>
    <w:tbl>
      <w:tblPr>
        <w:tblStyle w:val="25"/>
        <w:tblW w:w="5000"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13" w:type="dxa"/>
          <w:left w:w="113" w:type="dxa"/>
          <w:bottom w:w="113" w:type="dxa"/>
          <w:right w:w="113" w:type="dxa"/>
        </w:tblCellMar>
      </w:tblPr>
      <w:tblGrid>
        <w:gridCol w:w="998"/>
        <w:gridCol w:w="1971"/>
        <w:gridCol w:w="3268"/>
        <w:gridCol w:w="229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序号</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eastAsia"/>
                <w:szCs w:val="20"/>
              </w:rPr>
              <w:t>供应商</w:t>
            </w:r>
            <w:r>
              <w:rPr>
                <w:rFonts w:hint="default"/>
                <w:szCs w:val="20"/>
              </w:rPr>
              <w:t>名称</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是否通过资格性审查</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不通过的原因</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1</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通过</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无</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2</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通过</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无</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3</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通过</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无</w:t>
            </w:r>
          </w:p>
        </w:tc>
      </w:tr>
    </w:tbl>
    <w:p>
      <w:pPr>
        <w:spacing w:after="120" w:line="400" w:lineRule="atLeast"/>
        <w:ind w:left="777"/>
        <w:rPr>
          <w:rFonts w:ascii="Tahoma" w:hAnsi="Tahoma" w:cs="Tahoma"/>
          <w:szCs w:val="21"/>
        </w:rPr>
      </w:pPr>
    </w:p>
    <w:p>
      <w:pPr>
        <w:numPr>
          <w:ilvl w:val="0"/>
          <w:numId w:val="9"/>
        </w:numPr>
        <w:spacing w:after="120" w:line="400" w:lineRule="atLeast"/>
        <w:ind w:left="777" w:hanging="357"/>
        <w:rPr>
          <w:rFonts w:ascii="Tahoma" w:hAnsi="Tahoma" w:cs="Tahoma"/>
          <w:szCs w:val="21"/>
        </w:rPr>
      </w:pPr>
      <w:r>
        <w:rPr>
          <w:rFonts w:hint="eastAsia" w:ascii="Tahoma" w:hAnsi="Tahoma" w:cs="Tahoma"/>
          <w:szCs w:val="21"/>
        </w:rPr>
        <w:t>符合性审查情况如下：</w:t>
      </w:r>
    </w:p>
    <w:tbl>
      <w:tblPr>
        <w:tblStyle w:val="25"/>
        <w:tblW w:w="5000"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13" w:type="dxa"/>
          <w:left w:w="113" w:type="dxa"/>
          <w:bottom w:w="113" w:type="dxa"/>
          <w:right w:w="113" w:type="dxa"/>
        </w:tblCellMar>
      </w:tblPr>
      <w:tblGrid>
        <w:gridCol w:w="998"/>
        <w:gridCol w:w="1971"/>
        <w:gridCol w:w="3268"/>
        <w:gridCol w:w="229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序号</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eastAsia"/>
                <w:szCs w:val="20"/>
              </w:rPr>
              <w:t>供应商</w:t>
            </w:r>
            <w:r>
              <w:rPr>
                <w:rFonts w:hint="default"/>
                <w:szCs w:val="20"/>
              </w:rPr>
              <w:t>名称</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是否通过符合性审查</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不通过的原因</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1</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通过</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无</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2</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通过</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无</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3</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通过</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无</w:t>
            </w:r>
          </w:p>
        </w:tc>
      </w:tr>
    </w:tbl>
    <w:p>
      <w:pPr>
        <w:numPr>
          <w:ilvl w:val="0"/>
          <w:numId w:val="9"/>
        </w:numPr>
        <w:spacing w:after="120" w:line="400" w:lineRule="atLeast"/>
        <w:ind w:left="777" w:hanging="357"/>
        <w:rPr>
          <w:rFonts w:ascii="Tahoma" w:hAnsi="Tahoma" w:cs="Tahoma"/>
          <w:szCs w:val="21"/>
        </w:rPr>
      </w:pPr>
      <w:r>
        <w:rPr>
          <w:rFonts w:hint="eastAsia" w:ascii="Tahoma" w:hAnsi="Tahoma" w:cs="Tahoma"/>
          <w:szCs w:val="21"/>
        </w:rPr>
        <w:t>详细评审情况如下：</w:t>
      </w:r>
    </w:p>
    <w:tbl>
      <w:tblPr>
        <w:tblStyle w:val="25"/>
        <w:tblW w:w="5000"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13" w:type="dxa"/>
          <w:left w:w="113" w:type="dxa"/>
          <w:bottom w:w="113" w:type="dxa"/>
          <w:right w:w="113" w:type="dxa"/>
        </w:tblCellMar>
      </w:tblPr>
      <w:tblGrid>
        <w:gridCol w:w="1299"/>
        <w:gridCol w:w="2411"/>
        <w:gridCol w:w="2411"/>
        <w:gridCol w:w="241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761"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各项评分</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761"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技术得分</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761"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商务得分</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761"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投标报价</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761"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核实价</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761"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价格减扣</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￥0.00</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￥0.00</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￥0.00</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761"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评审价</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761"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价格得分</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761"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eastAsia"/>
                <w:szCs w:val="20"/>
              </w:rPr>
              <w:t>评审</w:t>
            </w:r>
            <w:r>
              <w:rPr>
                <w:rFonts w:hint="default"/>
                <w:szCs w:val="20"/>
              </w:rPr>
              <w:t>总得分</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761"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名次</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1</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2</w:t>
            </w:r>
          </w:p>
        </w:tc>
        <w:tc>
          <w:tcPr>
            <w:tcW w:w="1413" w:type="pc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szCs w:val="20"/>
              </w:rPr>
            </w:pPr>
            <w:r>
              <w:rPr>
                <w:rFonts w:hint="default"/>
                <w:szCs w:val="20"/>
              </w:rPr>
              <w:t>3</w:t>
            </w:r>
          </w:p>
        </w:tc>
      </w:tr>
    </w:tbl>
    <w:p>
      <w:pPr>
        <w:spacing w:after="120" w:line="400" w:lineRule="atLeast"/>
        <w:ind w:left="777"/>
        <w:rPr>
          <w:rFonts w:ascii="Tahoma" w:hAnsi="Tahoma" w:cs="Tahoma"/>
          <w:szCs w:val="21"/>
        </w:rPr>
      </w:pPr>
    </w:p>
    <w:p>
      <w:pPr>
        <w:numPr>
          <w:ilvl w:val="0"/>
          <w:numId w:val="8"/>
        </w:numPr>
        <w:tabs>
          <w:tab w:val="clear" w:pos="840"/>
        </w:tabs>
        <w:spacing w:line="400" w:lineRule="atLeast"/>
        <w:ind w:left="945" w:hanging="525"/>
        <w:rPr>
          <w:rFonts w:ascii="Tahoma" w:hAnsi="Tahoma" w:cs="Tahoma"/>
          <w:szCs w:val="21"/>
        </w:rPr>
      </w:pPr>
      <w:r>
        <w:rPr>
          <w:rFonts w:hint="eastAsia" w:ascii="Tahoma" w:hAnsi="Tahoma" w:cs="Tahoma"/>
          <w:szCs w:val="21"/>
        </w:rPr>
        <w:t>评审结果</w:t>
      </w:r>
    </w:p>
    <w:p>
      <w:pPr>
        <w:pStyle w:val="13"/>
        <w:spacing w:line="400" w:lineRule="atLeast"/>
        <w:rPr>
          <w:rFonts w:ascii="Tahoma" w:hAnsi="Tahoma" w:cs="Tahoma"/>
          <w:szCs w:val="21"/>
        </w:rPr>
      </w:pPr>
      <w:r>
        <w:rPr>
          <w:rFonts w:hint="eastAsia" w:ascii="Tahoma" w:hAnsi="Tahoma" w:cs="Tahoma"/>
          <w:szCs w:val="21"/>
        </w:rPr>
        <w:t>评审小组按照评选文件规定推荐中标候选人。结果如下：</w:t>
      </w:r>
    </w:p>
    <w:tbl>
      <w:tblPr>
        <w:tblStyle w:val="25"/>
        <w:tblW w:w="5000"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13" w:type="dxa"/>
          <w:left w:w="113" w:type="dxa"/>
          <w:bottom w:w="113" w:type="dxa"/>
          <w:right w:w="113" w:type="dxa"/>
        </w:tblCellMar>
      </w:tblPr>
      <w:tblGrid>
        <w:gridCol w:w="1934"/>
        <w:gridCol w:w="3119"/>
        <w:gridCol w:w="1363"/>
        <w:gridCol w:w="211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eastAsia"/>
                <w:szCs w:val="20"/>
              </w:rPr>
              <w:t>供应商</w:t>
            </w:r>
          </w:p>
        </w:tc>
        <w:tc>
          <w:tcPr>
            <w:tcW w:w="0" w:type="auto"/>
            <w:gridSpan w:val="3"/>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eastAsia"/>
                <w:szCs w:val="20"/>
              </w:rPr>
              <w:t>评审</w:t>
            </w:r>
            <w:r>
              <w:rPr>
                <w:rFonts w:hint="default"/>
                <w:szCs w:val="20"/>
              </w:rPr>
              <w:t>情况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vMerge w:val="restar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第一中标候选人</w:t>
            </w:r>
          </w:p>
        </w:tc>
        <w:tc>
          <w:tcPr>
            <w:tcW w:w="0" w:type="auto"/>
            <w:gridSpan w:val="3"/>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vMerge w:val="continue"/>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eastAsia"/>
                <w:szCs w:val="20"/>
              </w:rPr>
              <w:t>评审</w:t>
            </w:r>
            <w:r>
              <w:rPr>
                <w:rFonts w:hint="default"/>
                <w:szCs w:val="20"/>
              </w:rPr>
              <w:t>总得分：</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中标价</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￥元</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0" w:type="auto"/>
            <w:vMerge w:val="restart"/>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第二中标候选人</w:t>
            </w:r>
          </w:p>
        </w:tc>
        <w:tc>
          <w:tcPr>
            <w:tcW w:w="0" w:type="auto"/>
            <w:gridSpan w:val="3"/>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vMerge w:val="continue"/>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c>
          <w:tcPr>
            <w:tcW w:w="311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eastAsia"/>
                <w:szCs w:val="20"/>
              </w:rPr>
              <w:t>评审</w:t>
            </w:r>
            <w:r>
              <w:rPr>
                <w:rFonts w:hint="default"/>
                <w:szCs w:val="20"/>
              </w:rPr>
              <w:t>总得分：</w:t>
            </w:r>
          </w:p>
        </w:tc>
        <w:tc>
          <w:tcPr>
            <w:tcW w:w="136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中标价</w:t>
            </w:r>
          </w:p>
        </w:tc>
        <w:tc>
          <w:tcPr>
            <w:tcW w:w="211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r>
              <w:rPr>
                <w:rFonts w:hint="default"/>
                <w:szCs w:val="20"/>
              </w:rPr>
              <w:t>￥元</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vMerge w:val="restart"/>
            <w:tcBorders>
              <w:top w:val="outset" w:color="111111" w:sz="6" w:space="0"/>
              <w:left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1"/>
                <w:szCs w:val="21"/>
              </w:rPr>
            </w:pPr>
            <w:r>
              <w:rPr>
                <w:rFonts w:hint="eastAsia" w:ascii="宋体" w:hAnsi="宋体" w:cs="宋体"/>
                <w:sz w:val="21"/>
                <w:szCs w:val="21"/>
              </w:rPr>
              <w:t>第三中标候选人</w:t>
            </w:r>
          </w:p>
        </w:tc>
        <w:tc>
          <w:tcPr>
            <w:tcW w:w="6598" w:type="dxa"/>
            <w:gridSpan w:val="3"/>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szCs w:val="20"/>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13" w:type="dxa"/>
            <w:left w:w="113" w:type="dxa"/>
            <w:bottom w:w="113" w:type="dxa"/>
            <w:right w:w="113" w:type="dxa"/>
          </w:tblCellMar>
        </w:tblPrEx>
        <w:tc>
          <w:tcPr>
            <w:tcW w:w="0" w:type="auto"/>
            <w:vMerge w:val="continue"/>
            <w:tcBorders>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4"/>
                <w:szCs w:val="20"/>
              </w:rPr>
            </w:pPr>
          </w:p>
        </w:tc>
        <w:tc>
          <w:tcPr>
            <w:tcW w:w="311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eastAsia"/>
                <w:szCs w:val="20"/>
              </w:rPr>
            </w:pPr>
            <w:r>
              <w:rPr>
                <w:rFonts w:hint="eastAsia"/>
                <w:szCs w:val="20"/>
              </w:rPr>
              <w:t>评审</w:t>
            </w:r>
            <w:r>
              <w:rPr>
                <w:rFonts w:hint="default"/>
                <w:szCs w:val="20"/>
              </w:rPr>
              <w:t>总得分：</w:t>
            </w:r>
          </w:p>
        </w:tc>
        <w:tc>
          <w:tcPr>
            <w:tcW w:w="136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szCs w:val="20"/>
              </w:rPr>
            </w:pPr>
            <w:r>
              <w:rPr>
                <w:rFonts w:hint="default"/>
                <w:szCs w:val="20"/>
              </w:rPr>
              <w:t>中标价</w:t>
            </w:r>
          </w:p>
        </w:tc>
        <w:tc>
          <w:tcPr>
            <w:tcW w:w="211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default"/>
                <w:szCs w:val="20"/>
              </w:rPr>
            </w:pPr>
            <w:r>
              <w:rPr>
                <w:rFonts w:hint="default"/>
                <w:szCs w:val="20"/>
              </w:rPr>
              <w:t>￥元</w:t>
            </w:r>
          </w:p>
        </w:tc>
      </w:tr>
    </w:tbl>
    <w:p>
      <w:pPr>
        <w:pStyle w:val="13"/>
        <w:spacing w:line="400" w:lineRule="atLeast"/>
        <w:rPr>
          <w:rFonts w:ascii="Tahoma" w:hAnsi="Tahoma" w:cs="Tahoma"/>
          <w:szCs w:val="21"/>
        </w:rPr>
      </w:pPr>
    </w:p>
    <w:p>
      <w:pPr>
        <w:numPr>
          <w:ilvl w:val="0"/>
          <w:numId w:val="8"/>
        </w:numPr>
        <w:tabs>
          <w:tab w:val="clear" w:pos="840"/>
        </w:tabs>
        <w:spacing w:line="400" w:lineRule="atLeast"/>
        <w:ind w:left="945" w:hanging="525"/>
        <w:rPr>
          <w:rFonts w:ascii="Tahoma" w:hAnsi="Tahoma" w:cs="Tahoma"/>
          <w:szCs w:val="21"/>
        </w:rPr>
      </w:pPr>
      <w:r>
        <w:rPr>
          <w:rFonts w:hint="eastAsia" w:ascii="Tahoma" w:hAnsi="Tahoma" w:cs="Tahoma"/>
          <w:szCs w:val="21"/>
        </w:rPr>
        <w:t>其他说明</w:t>
      </w:r>
    </w:p>
    <w:p>
      <w:pPr>
        <w:spacing w:line="400" w:lineRule="atLeast"/>
        <w:ind w:left="420"/>
        <w:rPr>
          <w:rFonts w:ascii="Tahoma" w:hAnsi="Tahoma" w:cs="Tahoma"/>
          <w:szCs w:val="21"/>
        </w:rPr>
      </w:pPr>
      <w:r>
        <w:rPr>
          <w:rFonts w:hint="eastAsia" w:ascii="Tahoma" w:hAnsi="Tahoma" w:cs="Tahoma"/>
          <w:szCs w:val="21"/>
        </w:rPr>
        <w:t>供应商有关资料详见响应文件。</w:t>
      </w:r>
    </w:p>
    <w:p>
      <w:pPr>
        <w:spacing w:line="400" w:lineRule="atLeast"/>
        <w:ind w:left="3825"/>
        <w:jc w:val="right"/>
        <w:rPr>
          <w:rFonts w:ascii="Tahoma" w:hAnsi="Tahoma" w:cs="Tahoma"/>
          <w:szCs w:val="21"/>
        </w:rPr>
      </w:pPr>
    </w:p>
    <w:p>
      <w:pPr>
        <w:spacing w:line="400" w:lineRule="atLeast"/>
        <w:ind w:left="2692" w:leftChars="1282"/>
        <w:jc w:val="right"/>
        <w:rPr>
          <w:rFonts w:ascii="Tahoma" w:hAnsi="Tahoma" w:cs="Tahoma"/>
          <w:szCs w:val="21"/>
        </w:rPr>
      </w:pPr>
    </w:p>
    <w:p>
      <w:pPr>
        <w:spacing w:line="400" w:lineRule="atLeast"/>
        <w:ind w:left="2692" w:leftChars="1282"/>
        <w:jc w:val="right"/>
        <w:rPr>
          <w:rFonts w:ascii="Tahoma" w:hAnsi="Tahoma" w:cs="Tahoma"/>
          <w:szCs w:val="21"/>
        </w:rPr>
      </w:pPr>
      <w:r>
        <w:rPr>
          <w:rFonts w:hint="eastAsia" w:ascii="Tahoma" w:hAnsi="Tahoma" w:cs="Tahoma"/>
          <w:szCs w:val="21"/>
        </w:rPr>
        <w:t>（项目名称）</w:t>
      </w:r>
    </w:p>
    <w:p>
      <w:pPr>
        <w:wordWrap w:val="0"/>
        <w:spacing w:line="400" w:lineRule="atLeast"/>
        <w:ind w:left="4725"/>
        <w:jc w:val="right"/>
        <w:rPr>
          <w:rFonts w:ascii="Tahoma" w:hAnsi="Tahoma" w:cs="Tahoma"/>
          <w:szCs w:val="21"/>
        </w:rPr>
      </w:pPr>
      <w:r>
        <w:rPr>
          <w:rFonts w:ascii="Tahoma" w:hAnsi="Tahoma" w:cs="Tahoma"/>
          <w:szCs w:val="21"/>
        </w:rPr>
        <w:t>[</w:t>
      </w:r>
      <w:r>
        <w:rPr>
          <w:rFonts w:hint="eastAsia" w:ascii="Tahoma" w:hAnsi="Tahoma" w:cs="Tahoma"/>
          <w:szCs w:val="21"/>
        </w:rPr>
        <w:t>招标编号：（项目编号）</w:t>
      </w:r>
      <w:r>
        <w:rPr>
          <w:rFonts w:ascii="Tahoma" w:hAnsi="Tahoma" w:cs="Tahoma"/>
          <w:szCs w:val="21"/>
        </w:rPr>
        <w:t>]</w:t>
      </w:r>
      <w:r>
        <w:rPr>
          <w:rFonts w:hint="eastAsia" w:ascii="Tahoma" w:hAnsi="Tahoma" w:cs="Tahoma"/>
          <w:szCs w:val="21"/>
        </w:rPr>
        <w:t>评审小组</w:t>
      </w:r>
    </w:p>
    <w:p>
      <w:pPr>
        <w:spacing w:line="400" w:lineRule="atLeast"/>
        <w:ind w:left="4725" w:leftChars="2250" w:firstLine="630" w:firstLineChars="300"/>
        <w:jc w:val="right"/>
        <w:rPr>
          <w:rFonts w:ascii="Tahoma" w:hAnsi="Tahoma" w:cs="Tahoma"/>
          <w:szCs w:val="21"/>
        </w:rPr>
      </w:pPr>
      <w:r>
        <w:rPr>
          <w:rFonts w:hint="eastAsia" w:ascii="Tahoma" w:hAnsi="Tahoma" w:cs="Tahoma"/>
          <w:szCs w:val="21"/>
        </w:rPr>
        <w:t>日期：2024年  月  日</w:t>
      </w:r>
    </w:p>
    <w:p>
      <w:pPr>
        <w:pStyle w:val="7"/>
        <w:rPr>
          <w:rFonts w:ascii="Tahoma" w:hAnsi="Tahoma" w:cs="Tahoma"/>
          <w:szCs w:val="21"/>
        </w:rPr>
      </w:pPr>
    </w:p>
    <w:p>
      <w:pPr>
        <w:pStyle w:val="7"/>
        <w:rPr>
          <w:rFonts w:ascii="Tahoma" w:hAnsi="Tahoma" w:cs="Tahoma"/>
          <w:szCs w:val="21"/>
        </w:rPr>
        <w:sectPr>
          <w:footerReference r:id="rId4" w:type="default"/>
          <w:pgSz w:w="11906" w:h="16838"/>
          <w:pgMar w:top="1440" w:right="1800" w:bottom="1440" w:left="1800" w:header="851" w:footer="992" w:gutter="0"/>
          <w:pgNumType w:fmt="decimal"/>
          <w:cols w:space="720" w:num="1"/>
          <w:docGrid w:type="lines" w:linePitch="312" w:charSpace="0"/>
        </w:sectPr>
      </w:pPr>
      <w:r>
        <w:rPr>
          <w:rFonts w:hint="eastAsia" w:ascii="Tahoma" w:hAnsi="Tahoma" w:cs="Tahoma"/>
          <w:szCs w:val="21"/>
        </w:rPr>
        <w:t>专家签字：</w:t>
      </w:r>
    </w:p>
    <w:p>
      <w:pPr>
        <w:keepNext/>
        <w:keepLines/>
        <w:adjustRightInd w:val="0"/>
        <w:spacing w:line="360" w:lineRule="auto"/>
        <w:jc w:val="center"/>
        <w:textAlignment w:val="baseline"/>
        <w:outlineLvl w:val="1"/>
        <w:rPr>
          <w:rFonts w:ascii="宋体" w:hAnsi="宋体"/>
          <w:b/>
          <w:sz w:val="32"/>
          <w:szCs w:val="32"/>
        </w:rPr>
      </w:pPr>
      <w:r>
        <w:rPr>
          <w:rFonts w:hint="eastAsia" w:ascii="宋体" w:hAnsi="宋体"/>
          <w:b/>
          <w:sz w:val="32"/>
          <w:szCs w:val="32"/>
        </w:rPr>
        <w:t>第四章  合同格式</w:t>
      </w:r>
    </w:p>
    <w:p>
      <w:pPr>
        <w:pStyle w:val="7"/>
      </w:pPr>
    </w:p>
    <w:p>
      <w:pPr>
        <w:tabs>
          <w:tab w:val="left" w:pos="8591"/>
        </w:tabs>
        <w:spacing w:before="50"/>
        <w:ind w:left="4529"/>
        <w:rPr>
          <w:rFonts w:ascii="黑体" w:hAnsi="黑体" w:eastAsia="黑体"/>
          <w:b/>
          <w:sz w:val="27"/>
        </w:rPr>
      </w:pPr>
      <w:r>
        <w:rPr>
          <w:rFonts w:hint="eastAsia" w:ascii="黑体" w:hAnsi="黑体" w:eastAsia="黑体"/>
          <w:b/>
          <w:sz w:val="27"/>
        </w:rPr>
        <w:t>合同号：</w:t>
      </w:r>
      <w:r>
        <w:rPr>
          <w:rFonts w:ascii="黑体" w:hAnsi="黑体" w:eastAsia="黑体"/>
          <w:b/>
          <w:w w:val="103"/>
          <w:sz w:val="27"/>
          <w:u w:val="single"/>
        </w:rPr>
        <w:t xml:space="preserve"> </w:t>
      </w:r>
      <w:r>
        <w:rPr>
          <w:rFonts w:ascii="黑体" w:hAnsi="黑体" w:eastAsia="黑体"/>
          <w:b/>
          <w:sz w:val="27"/>
          <w:u w:val="single"/>
        </w:rPr>
        <w:tab/>
      </w:r>
    </w:p>
    <w:p>
      <w:pPr>
        <w:pStyle w:val="10"/>
        <w:rPr>
          <w:rFonts w:ascii="仿宋" w:hAnsi="仿宋" w:eastAsia="仿宋"/>
          <w:b/>
          <w:sz w:val="20"/>
        </w:rPr>
      </w:pPr>
    </w:p>
    <w:p>
      <w:pPr>
        <w:pStyle w:val="10"/>
        <w:rPr>
          <w:rFonts w:ascii="仿宋" w:hAnsi="仿宋" w:eastAsia="仿宋"/>
          <w:b/>
          <w:sz w:val="20"/>
        </w:rPr>
      </w:pPr>
    </w:p>
    <w:p>
      <w:pPr>
        <w:tabs>
          <w:tab w:val="left" w:pos="720"/>
        </w:tabs>
        <w:spacing w:line="360" w:lineRule="auto"/>
        <w:jc w:val="center"/>
        <w:rPr>
          <w:rFonts w:ascii="宋体" w:hAnsi="宋体"/>
          <w:b/>
          <w:sz w:val="30"/>
          <w:szCs w:val="30"/>
        </w:rPr>
      </w:pPr>
      <w:r>
        <w:rPr>
          <w:rFonts w:hint="eastAsia" w:ascii="宋体" w:hAnsi="宋体"/>
          <w:b/>
          <w:sz w:val="30"/>
          <w:szCs w:val="30"/>
        </w:rPr>
        <w:t>广东省政府采购</w:t>
      </w:r>
    </w:p>
    <w:p>
      <w:pPr>
        <w:tabs>
          <w:tab w:val="left" w:pos="720"/>
        </w:tabs>
        <w:spacing w:line="360" w:lineRule="auto"/>
        <w:rPr>
          <w:rFonts w:ascii="宋体" w:hAnsi="宋体"/>
          <w:b/>
          <w:szCs w:val="21"/>
        </w:rPr>
      </w:pPr>
    </w:p>
    <w:p>
      <w:pPr>
        <w:tabs>
          <w:tab w:val="left" w:pos="720"/>
        </w:tabs>
        <w:spacing w:line="360" w:lineRule="auto"/>
        <w:jc w:val="center"/>
        <w:rPr>
          <w:rFonts w:ascii="宋体" w:hAnsi="宋体"/>
          <w:b/>
          <w:sz w:val="48"/>
          <w:szCs w:val="48"/>
        </w:rPr>
      </w:pPr>
      <w:r>
        <w:rPr>
          <w:rFonts w:hint="eastAsia" w:ascii="宋体" w:hAnsi="宋体"/>
          <w:b/>
          <w:sz w:val="48"/>
          <w:szCs w:val="48"/>
        </w:rPr>
        <w:t>合　同　书</w:t>
      </w:r>
    </w:p>
    <w:p>
      <w:pPr>
        <w:tabs>
          <w:tab w:val="left" w:pos="720"/>
        </w:tabs>
        <w:spacing w:line="360" w:lineRule="auto"/>
        <w:jc w:val="center"/>
        <w:rPr>
          <w:rFonts w:ascii="宋体" w:hAnsi="宋体"/>
          <w:b/>
          <w:sz w:val="36"/>
          <w:szCs w:val="36"/>
        </w:rPr>
      </w:pPr>
    </w:p>
    <w:p>
      <w:pPr>
        <w:tabs>
          <w:tab w:val="left" w:pos="720"/>
        </w:tabs>
        <w:spacing w:line="360" w:lineRule="auto"/>
        <w:rPr>
          <w:rFonts w:ascii="宋体" w:hAnsi="宋体"/>
          <w:b/>
          <w:szCs w:val="21"/>
        </w:rPr>
      </w:pPr>
    </w:p>
    <w:p>
      <w:pPr>
        <w:tabs>
          <w:tab w:val="left" w:pos="720"/>
        </w:tabs>
        <w:spacing w:line="360" w:lineRule="auto"/>
        <w:rPr>
          <w:rFonts w:ascii="宋体" w:hAnsi="宋体"/>
          <w:b/>
          <w:szCs w:val="21"/>
        </w:rPr>
      </w:pPr>
    </w:p>
    <w:p>
      <w:pPr>
        <w:tabs>
          <w:tab w:val="left" w:pos="720"/>
        </w:tabs>
        <w:spacing w:line="360" w:lineRule="auto"/>
        <w:rPr>
          <w:rFonts w:ascii="宋体" w:hAnsi="宋体"/>
          <w:b/>
          <w:szCs w:val="21"/>
        </w:rPr>
      </w:pPr>
    </w:p>
    <w:p>
      <w:pPr>
        <w:tabs>
          <w:tab w:val="left" w:pos="720"/>
        </w:tabs>
        <w:spacing w:line="360" w:lineRule="auto"/>
        <w:rPr>
          <w:rFonts w:ascii="宋体" w:hAnsi="宋体"/>
          <w:b/>
          <w:szCs w:val="21"/>
        </w:rPr>
      </w:pPr>
    </w:p>
    <w:p>
      <w:pPr>
        <w:tabs>
          <w:tab w:val="left" w:pos="720"/>
        </w:tabs>
        <w:spacing w:line="360" w:lineRule="auto"/>
        <w:rPr>
          <w:rFonts w:ascii="宋体" w:hAnsi="宋体"/>
          <w:b/>
          <w:szCs w:val="21"/>
        </w:rPr>
      </w:pPr>
    </w:p>
    <w:tbl>
      <w:tblPr>
        <w:tblStyle w:val="25"/>
        <w:tblW w:w="0" w:type="auto"/>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noWrap w:val="0"/>
            <w:vAlign w:val="top"/>
          </w:tcPr>
          <w:p>
            <w:pPr>
              <w:keepNext w:val="0"/>
              <w:keepLines w:val="0"/>
              <w:suppressLineNumbers w:val="0"/>
              <w:tabs>
                <w:tab w:val="left" w:pos="720"/>
              </w:tabs>
              <w:spacing w:before="0" w:beforeAutospacing="0" w:after="0" w:afterAutospacing="0" w:line="360" w:lineRule="auto"/>
              <w:ind w:left="0" w:right="0"/>
              <w:rPr>
                <w:rFonts w:hint="default" w:ascii="宋体" w:hAnsi="宋体"/>
                <w:b/>
                <w:szCs w:val="21"/>
                <w:u w:val="single"/>
              </w:rPr>
            </w:pPr>
            <w:r>
              <w:rPr>
                <w:rFonts w:hint="eastAsia" w:ascii="宋体" w:hAnsi="宋体"/>
                <w:b/>
                <w:szCs w:val="21"/>
              </w:rPr>
              <w:t>采购编号：</w:t>
            </w:r>
            <w:r>
              <w:rPr>
                <w:rFonts w:hint="eastAsia" w:ascii="宋体" w:hAnsi="宋体"/>
                <w:b/>
                <w:szCs w:val="21"/>
                <w:u w:val="single"/>
              </w:rPr>
              <w:t xml:space="preserve">            GDXF202</w:t>
            </w:r>
            <w:r>
              <w:rPr>
                <w:rFonts w:hint="eastAsia" w:ascii="宋体" w:hAnsi="宋体"/>
                <w:b/>
                <w:szCs w:val="21"/>
                <w:u w:val="single"/>
                <w:lang w:val="en-US" w:eastAsia="zh-CN"/>
              </w:rPr>
              <w:t>4</w:t>
            </w:r>
            <w:r>
              <w:rPr>
                <w:rFonts w:hint="eastAsia" w:ascii="宋体" w:hAnsi="宋体"/>
                <w:b/>
                <w:szCs w:val="21"/>
                <w:u w:val="single"/>
              </w:rPr>
              <w:t xml:space="preserve">XFCPJY               </w:t>
            </w:r>
          </w:p>
        </w:tc>
      </w:tr>
      <w:tr>
        <w:tblPrEx>
          <w:tblCellMar>
            <w:top w:w="0" w:type="dxa"/>
            <w:left w:w="108" w:type="dxa"/>
            <w:bottom w:w="0" w:type="dxa"/>
            <w:right w:w="108" w:type="dxa"/>
          </w:tblCellMar>
        </w:tblPrEx>
        <w:trPr>
          <w:trHeight w:val="446" w:hRule="atLeast"/>
          <w:jc w:val="center"/>
        </w:trPr>
        <w:tc>
          <w:tcPr>
            <w:tcW w:w="5400" w:type="dxa"/>
            <w:noWrap w:val="0"/>
            <w:vAlign w:val="top"/>
          </w:tcPr>
          <w:p>
            <w:pPr>
              <w:keepNext w:val="0"/>
              <w:keepLines w:val="0"/>
              <w:suppressLineNumbers w:val="0"/>
              <w:tabs>
                <w:tab w:val="left" w:pos="720"/>
              </w:tabs>
              <w:spacing w:before="0" w:beforeAutospacing="0" w:after="0" w:afterAutospacing="0" w:line="360" w:lineRule="auto"/>
              <w:ind w:left="0" w:right="0"/>
              <w:rPr>
                <w:rFonts w:hint="default" w:ascii="宋体" w:hAnsi="宋体"/>
                <w:b/>
                <w:szCs w:val="21"/>
                <w:u w:val="single"/>
              </w:rPr>
            </w:pPr>
          </w:p>
        </w:tc>
      </w:tr>
      <w:tr>
        <w:tblPrEx>
          <w:tblCellMar>
            <w:top w:w="0" w:type="dxa"/>
            <w:left w:w="108" w:type="dxa"/>
            <w:bottom w:w="0" w:type="dxa"/>
            <w:right w:w="108" w:type="dxa"/>
          </w:tblCellMar>
        </w:tblPrEx>
        <w:trPr>
          <w:trHeight w:val="446" w:hRule="atLeast"/>
          <w:jc w:val="center"/>
        </w:trPr>
        <w:tc>
          <w:tcPr>
            <w:tcW w:w="5400" w:type="dxa"/>
            <w:noWrap w:val="0"/>
            <w:vAlign w:val="top"/>
          </w:tcPr>
          <w:p>
            <w:pPr>
              <w:keepNext w:val="0"/>
              <w:keepLines w:val="0"/>
              <w:suppressLineNumbers w:val="0"/>
              <w:tabs>
                <w:tab w:val="left" w:pos="720"/>
              </w:tabs>
              <w:spacing w:before="0" w:beforeAutospacing="0" w:after="0" w:afterAutospacing="0" w:line="360" w:lineRule="auto"/>
              <w:ind w:left="1033" w:right="0" w:hanging="1033" w:hangingChars="490"/>
              <w:rPr>
                <w:rFonts w:hint="default" w:ascii="宋体" w:hAnsi="宋体"/>
                <w:b/>
                <w:szCs w:val="21"/>
              </w:rPr>
            </w:pPr>
            <w:r>
              <w:rPr>
                <w:rFonts w:hint="eastAsia" w:ascii="宋体" w:hAnsi="宋体"/>
                <w:b/>
                <w:szCs w:val="21"/>
              </w:rPr>
              <w:t>项目名称：</w:t>
            </w:r>
            <w:r>
              <w:rPr>
                <w:rFonts w:hint="eastAsia" w:ascii="宋体" w:hAnsi="宋体"/>
                <w:b/>
                <w:szCs w:val="21"/>
                <w:u w:val="single"/>
              </w:rPr>
              <w:t>广东省消防救援总队2024年度使用领域消防产品专项监督抽查检验购买服务项目</w:t>
            </w:r>
          </w:p>
        </w:tc>
      </w:tr>
      <w:tr>
        <w:tblPrEx>
          <w:tblCellMar>
            <w:top w:w="0" w:type="dxa"/>
            <w:left w:w="108" w:type="dxa"/>
            <w:bottom w:w="0" w:type="dxa"/>
            <w:right w:w="108" w:type="dxa"/>
          </w:tblCellMar>
        </w:tblPrEx>
        <w:trPr>
          <w:trHeight w:val="460" w:hRule="atLeast"/>
          <w:jc w:val="center"/>
        </w:trPr>
        <w:tc>
          <w:tcPr>
            <w:tcW w:w="5400" w:type="dxa"/>
            <w:noWrap w:val="0"/>
            <w:vAlign w:val="top"/>
          </w:tcPr>
          <w:p>
            <w:pPr>
              <w:keepNext w:val="0"/>
              <w:keepLines w:val="0"/>
              <w:suppressLineNumbers w:val="0"/>
              <w:tabs>
                <w:tab w:val="left" w:pos="720"/>
              </w:tabs>
              <w:spacing w:before="0" w:beforeAutospacing="0" w:after="0" w:afterAutospacing="0" w:line="360" w:lineRule="auto"/>
              <w:ind w:left="0" w:right="0"/>
              <w:rPr>
                <w:rFonts w:hint="default" w:ascii="宋体" w:hAnsi="宋体"/>
                <w:b/>
                <w:szCs w:val="21"/>
              </w:rPr>
            </w:pPr>
          </w:p>
        </w:tc>
      </w:tr>
    </w:tbl>
    <w:p>
      <w:pPr>
        <w:spacing w:line="360" w:lineRule="auto"/>
        <w:rPr>
          <w:rFonts w:ascii="宋体" w:hAnsi="宋体"/>
          <w:szCs w:val="21"/>
        </w:rPr>
      </w:pPr>
    </w:p>
    <w:p>
      <w:pPr>
        <w:spacing w:line="360" w:lineRule="auto"/>
        <w:rPr>
          <w:rFonts w:ascii="宋体" w:hAnsi="宋体"/>
          <w:szCs w:val="21"/>
        </w:rPr>
      </w:pPr>
    </w:p>
    <w:p>
      <w:pPr>
        <w:rPr>
          <w:rFonts w:ascii="宋体" w:hAnsi="宋体"/>
          <w:szCs w:val="21"/>
        </w:rPr>
      </w:pPr>
      <w:r>
        <w:rPr>
          <w:rFonts w:ascii="宋体" w:hAnsi="宋体"/>
          <w:szCs w:val="21"/>
        </w:rPr>
        <w:br w:type="page"/>
      </w:r>
    </w:p>
    <w:p>
      <w:pPr>
        <w:pStyle w:val="41"/>
      </w:pPr>
    </w:p>
    <w:p>
      <w:pPr>
        <w:spacing w:line="360" w:lineRule="auto"/>
        <w:rPr>
          <w:rFonts w:ascii="宋体" w:hAnsi="宋体"/>
          <w:szCs w:val="21"/>
        </w:rPr>
      </w:pPr>
    </w:p>
    <w:p>
      <w:pPr>
        <w:spacing w:line="276" w:lineRule="auto"/>
        <w:rPr>
          <w:rFonts w:ascii="宋体" w:hAnsi="宋体"/>
          <w:b/>
          <w:szCs w:val="21"/>
        </w:rPr>
      </w:pPr>
      <w:r>
        <w:rPr>
          <w:rFonts w:hint="eastAsia" w:ascii="宋体" w:hAnsi="宋体"/>
          <w:b/>
          <w:szCs w:val="21"/>
        </w:rPr>
        <w:t>甲　　方：</w:t>
      </w:r>
      <w:r>
        <w:rPr>
          <w:rFonts w:hint="eastAsia" w:ascii="宋体" w:hAnsi="宋体"/>
          <w:b/>
          <w:szCs w:val="21"/>
          <w:u w:val="single"/>
        </w:rPr>
        <w:t>广东省消防救援总队　</w:t>
      </w:r>
    </w:p>
    <w:p>
      <w:pPr>
        <w:spacing w:line="276" w:lineRule="auto"/>
        <w:rPr>
          <w:rFonts w:ascii="宋体" w:hAnsi="宋体"/>
          <w:szCs w:val="21"/>
        </w:rPr>
      </w:pPr>
      <w:r>
        <w:rPr>
          <w:rFonts w:hint="eastAsia" w:ascii="宋体" w:hAnsi="宋体"/>
          <w:szCs w:val="21"/>
        </w:rPr>
        <w:t>电　　话：</w:t>
      </w:r>
      <w:r>
        <w:rPr>
          <w:rFonts w:hint="eastAsia" w:ascii="宋体" w:hAnsi="宋体"/>
          <w:b/>
          <w:szCs w:val="21"/>
          <w:u w:val="single"/>
        </w:rPr>
        <w:t>　020-87119888　</w:t>
      </w:r>
      <w:r>
        <w:rPr>
          <w:rFonts w:hint="eastAsia" w:ascii="宋体" w:hAnsi="宋体"/>
          <w:szCs w:val="21"/>
        </w:rPr>
        <w:t>　传　　真：</w:t>
      </w:r>
      <w:r>
        <w:rPr>
          <w:rFonts w:hint="eastAsia" w:ascii="宋体" w:hAnsi="宋体"/>
          <w:b/>
          <w:szCs w:val="21"/>
          <w:u w:val="single"/>
        </w:rPr>
        <w:t>020-871198309</w:t>
      </w:r>
      <w:r>
        <w:rPr>
          <w:rFonts w:hint="eastAsia" w:ascii="宋体" w:hAnsi="宋体"/>
          <w:szCs w:val="21"/>
        </w:rPr>
        <w:t>　</w:t>
      </w:r>
    </w:p>
    <w:p>
      <w:pPr>
        <w:spacing w:line="276" w:lineRule="auto"/>
        <w:rPr>
          <w:rFonts w:hint="eastAsia" w:ascii="宋体" w:hAnsi="宋体" w:eastAsia="宋体"/>
          <w:b/>
          <w:szCs w:val="21"/>
          <w:u w:val="single"/>
          <w:lang w:eastAsia="zh-CN"/>
        </w:rPr>
      </w:pPr>
      <w:r>
        <w:rPr>
          <w:rFonts w:hint="eastAsia" w:ascii="宋体" w:hAnsi="宋体"/>
          <w:szCs w:val="21"/>
        </w:rPr>
        <w:t>地　　址：</w:t>
      </w:r>
      <w:r>
        <w:rPr>
          <w:rFonts w:ascii="宋体" w:hAnsi="宋体"/>
          <w:b/>
          <w:szCs w:val="21"/>
          <w:u w:val="single"/>
        </w:rPr>
        <w:t>广州市天河区瘦狗岭路483号</w:t>
      </w:r>
      <w:r>
        <w:rPr>
          <w:rFonts w:hint="eastAsia" w:ascii="宋体" w:hAnsi="宋体"/>
          <w:b/>
          <w:szCs w:val="21"/>
          <w:u w:val="single"/>
        </w:rPr>
        <w:t>　</w:t>
      </w:r>
    </w:p>
    <w:p>
      <w:pPr>
        <w:spacing w:line="276" w:lineRule="auto"/>
        <w:rPr>
          <w:rFonts w:ascii="宋体" w:hAnsi="宋体"/>
          <w:b/>
          <w:szCs w:val="21"/>
          <w:u w:val="single"/>
        </w:rPr>
      </w:pPr>
      <w:r>
        <w:rPr>
          <w:rFonts w:hint="eastAsia" w:ascii="宋体" w:hAnsi="宋体"/>
          <w:b/>
          <w:szCs w:val="21"/>
        </w:rPr>
        <w:t>乙　　方：</w:t>
      </w:r>
      <w:r>
        <w:rPr>
          <w:rFonts w:hint="eastAsia" w:ascii="宋体" w:hAnsi="宋体"/>
          <w:b/>
          <w:szCs w:val="21"/>
          <w:u w:val="single"/>
        </w:rPr>
        <w:t xml:space="preserve">                   </w:t>
      </w:r>
    </w:p>
    <w:p>
      <w:pPr>
        <w:spacing w:line="276" w:lineRule="auto"/>
        <w:rPr>
          <w:rFonts w:ascii="宋体" w:hAnsi="宋体"/>
          <w:szCs w:val="21"/>
        </w:rPr>
      </w:pPr>
      <w:r>
        <w:rPr>
          <w:rFonts w:hint="eastAsia" w:ascii="宋体" w:hAnsi="宋体"/>
          <w:szCs w:val="21"/>
        </w:rPr>
        <w:t>电　　话：</w:t>
      </w:r>
      <w:r>
        <w:rPr>
          <w:rFonts w:hint="eastAsia" w:ascii="宋体" w:hAnsi="宋体"/>
          <w:b/>
          <w:szCs w:val="21"/>
          <w:u w:val="single"/>
        </w:rPr>
        <w:t xml:space="preserve">                </w:t>
      </w:r>
      <w:r>
        <w:rPr>
          <w:rFonts w:hint="eastAsia" w:ascii="宋体" w:hAnsi="宋体"/>
          <w:b/>
          <w:szCs w:val="21"/>
        </w:rPr>
        <w:t xml:space="preserve">  </w:t>
      </w:r>
      <w:r>
        <w:rPr>
          <w:rFonts w:hint="eastAsia" w:ascii="宋体" w:hAnsi="宋体"/>
          <w:szCs w:val="21"/>
        </w:rPr>
        <w:t>传　　真：</w:t>
      </w:r>
      <w:r>
        <w:rPr>
          <w:rFonts w:hint="eastAsia" w:ascii="宋体" w:hAnsi="宋体"/>
          <w:b/>
          <w:szCs w:val="21"/>
          <w:u w:val="single"/>
        </w:rPr>
        <w:t xml:space="preserve">             </w:t>
      </w:r>
    </w:p>
    <w:p>
      <w:pPr>
        <w:spacing w:line="276" w:lineRule="auto"/>
        <w:rPr>
          <w:rFonts w:ascii="宋体" w:hAnsi="宋体"/>
          <w:szCs w:val="21"/>
        </w:rPr>
      </w:pPr>
      <w:r>
        <w:rPr>
          <w:rFonts w:hint="eastAsia" w:ascii="宋体" w:hAnsi="宋体"/>
          <w:szCs w:val="21"/>
        </w:rPr>
        <w:t>地　　址：</w:t>
      </w:r>
      <w:r>
        <w:rPr>
          <w:rFonts w:hint="eastAsia" w:ascii="宋体" w:hAnsi="宋体"/>
          <w:b/>
          <w:szCs w:val="21"/>
          <w:u w:val="single"/>
        </w:rPr>
        <w:t xml:space="preserve">                            </w:t>
      </w:r>
    </w:p>
    <w:p>
      <w:pPr>
        <w:spacing w:line="276" w:lineRule="auto"/>
        <w:rPr>
          <w:rFonts w:ascii="宋体" w:hAnsi="宋体"/>
          <w:b/>
          <w:szCs w:val="21"/>
          <w:u w:val="single"/>
        </w:rPr>
      </w:pPr>
      <w:r>
        <w:rPr>
          <w:rFonts w:hint="eastAsia" w:ascii="宋体" w:hAnsi="宋体"/>
          <w:szCs w:val="21"/>
        </w:rPr>
        <w:t>项目名称：</w:t>
      </w:r>
      <w:r>
        <w:rPr>
          <w:rFonts w:hint="eastAsia" w:ascii="宋体" w:hAnsi="宋体"/>
          <w:b/>
          <w:szCs w:val="21"/>
          <w:u w:val="single"/>
        </w:rPr>
        <w:t>广东省消防救援总队2024年度使用领域消防产品专项监督抽查检验购买服务项目</w:t>
      </w:r>
    </w:p>
    <w:p>
      <w:pPr>
        <w:spacing w:line="276" w:lineRule="auto"/>
        <w:rPr>
          <w:rFonts w:ascii="宋体" w:hAnsi="宋体"/>
          <w:b/>
          <w:szCs w:val="21"/>
        </w:rPr>
      </w:pPr>
      <w:r>
        <w:rPr>
          <w:rFonts w:hint="eastAsia" w:ascii="宋体" w:hAnsi="宋体"/>
          <w:szCs w:val="21"/>
        </w:rPr>
        <w:t>采购编号：</w:t>
      </w:r>
      <w:r>
        <w:rPr>
          <w:rFonts w:hint="eastAsia" w:ascii="宋体" w:hAnsi="宋体"/>
          <w:b/>
          <w:szCs w:val="21"/>
          <w:u w:val="single"/>
        </w:rPr>
        <w:t>GDXF202</w:t>
      </w:r>
      <w:r>
        <w:rPr>
          <w:rFonts w:hint="eastAsia" w:ascii="宋体" w:hAnsi="宋体"/>
          <w:b/>
          <w:szCs w:val="21"/>
          <w:u w:val="single"/>
          <w:lang w:val="en-US" w:eastAsia="zh-CN"/>
        </w:rPr>
        <w:t>4</w:t>
      </w:r>
      <w:r>
        <w:rPr>
          <w:rFonts w:hint="eastAsia" w:ascii="宋体" w:hAnsi="宋体"/>
          <w:b/>
          <w:szCs w:val="21"/>
          <w:u w:val="single"/>
        </w:rPr>
        <w:t xml:space="preserve">XFCPJY </w:t>
      </w:r>
    </w:p>
    <w:p>
      <w:pPr>
        <w:spacing w:line="276" w:lineRule="auto"/>
        <w:ind w:firstLine="424" w:firstLineChars="202"/>
        <w:rPr>
          <w:rFonts w:ascii="宋体" w:hAnsi="宋体"/>
          <w:szCs w:val="21"/>
        </w:rPr>
      </w:pPr>
      <w:r>
        <w:rPr>
          <w:rFonts w:hint="eastAsia" w:ascii="宋体" w:hAnsi="宋体"/>
          <w:szCs w:val="21"/>
        </w:rPr>
        <w:t>根据</w:t>
      </w:r>
      <w:r>
        <w:rPr>
          <w:rFonts w:hint="eastAsia" w:ascii="宋体" w:hAnsi="宋体"/>
          <w:b/>
          <w:szCs w:val="21"/>
          <w:u w:val="single"/>
        </w:rPr>
        <w:t>广东省消防救援总队2024年度使用领域消防产品专项监督抽查检验购买服务项目</w:t>
      </w:r>
      <w:r>
        <w:rPr>
          <w:rFonts w:hint="eastAsia" w:ascii="宋体" w:hAnsi="宋体"/>
          <w:szCs w:val="21"/>
        </w:rPr>
        <w:t>的采购结果，按照《中华人民共和国政府采购法》、《</w:t>
      </w:r>
      <w:r>
        <w:rPr>
          <w:rFonts w:hint="eastAsia" w:ascii="宋体" w:hAnsi="宋体"/>
          <w:szCs w:val="21"/>
          <w:lang w:eastAsia="zh-Hans"/>
        </w:rPr>
        <w:t>中华人民共和国民法典</w:t>
      </w:r>
      <w:r>
        <w:rPr>
          <w:rFonts w:hint="eastAsia" w:ascii="宋体" w:hAnsi="宋体"/>
          <w:szCs w:val="21"/>
        </w:rPr>
        <w:t>》的规定，</w:t>
      </w:r>
      <w:r>
        <w:rPr>
          <w:rFonts w:hint="eastAsia" w:ascii="宋体" w:hAnsi="宋体"/>
          <w:kern w:val="28"/>
          <w:szCs w:val="21"/>
        </w:rPr>
        <w:t>经双方协商，</w:t>
      </w:r>
      <w:r>
        <w:rPr>
          <w:rFonts w:hint="eastAsia" w:ascii="宋体" w:hAnsi="宋体"/>
          <w:szCs w:val="21"/>
        </w:rPr>
        <w:t>本着平等互利和诚实信用的原则，</w:t>
      </w:r>
      <w:r>
        <w:rPr>
          <w:rFonts w:hint="eastAsia" w:ascii="宋体" w:hAnsi="宋体"/>
          <w:kern w:val="28"/>
          <w:szCs w:val="21"/>
        </w:rPr>
        <w:t>一致同意签订本合同。</w:t>
      </w:r>
    </w:p>
    <w:p>
      <w:pPr>
        <w:spacing w:line="276" w:lineRule="auto"/>
        <w:rPr>
          <w:rFonts w:ascii="宋体" w:hAnsi="宋体"/>
          <w:b/>
          <w:szCs w:val="21"/>
        </w:rPr>
      </w:pPr>
      <w:r>
        <w:rPr>
          <w:rFonts w:hint="eastAsia" w:ascii="宋体" w:hAnsi="宋体"/>
          <w:b/>
          <w:szCs w:val="21"/>
        </w:rPr>
        <w:t>一、合同金额</w:t>
      </w:r>
    </w:p>
    <w:p>
      <w:pPr>
        <w:tabs>
          <w:tab w:val="left" w:pos="435"/>
        </w:tabs>
        <w:spacing w:line="276" w:lineRule="auto"/>
        <w:ind w:left="851" w:hanging="851"/>
        <w:rPr>
          <w:rFonts w:ascii="宋体" w:hAnsi="宋体"/>
          <w:szCs w:val="21"/>
        </w:rPr>
      </w:pPr>
      <w:r>
        <w:rPr>
          <w:rFonts w:hint="eastAsia" w:hAnsi="宋体"/>
        </w:rPr>
        <w:tab/>
      </w:r>
      <w:r>
        <w:rPr>
          <w:rFonts w:hint="eastAsia" w:hAnsi="宋体"/>
        </w:rPr>
        <w:t>合同金额为（大写）：人民币</w:t>
      </w:r>
      <w:r>
        <w:rPr>
          <w:rFonts w:hint="eastAsia" w:hAnsi="宋体"/>
          <w:u w:val="single"/>
        </w:rPr>
        <w:t xml:space="preserve"> 捌拾万元</w:t>
      </w:r>
      <w:r>
        <w:rPr>
          <w:rFonts w:hint="eastAsia" w:hAnsi="宋体"/>
        </w:rPr>
        <w:t>整（￥</w:t>
      </w:r>
      <w:r>
        <w:rPr>
          <w:rFonts w:hint="eastAsia" w:hAnsi="宋体"/>
          <w:u w:val="single"/>
        </w:rPr>
        <w:t xml:space="preserve"> 800000 </w:t>
      </w:r>
      <w:r>
        <w:rPr>
          <w:rFonts w:hint="eastAsia" w:hAnsi="宋体"/>
        </w:rPr>
        <w:t>元）。</w:t>
      </w:r>
    </w:p>
    <w:p>
      <w:pPr>
        <w:spacing w:line="276" w:lineRule="auto"/>
        <w:rPr>
          <w:rFonts w:ascii="宋体" w:hAnsi="宋体"/>
          <w:b/>
          <w:szCs w:val="21"/>
        </w:rPr>
      </w:pPr>
      <w:r>
        <w:rPr>
          <w:rFonts w:hint="eastAsia" w:ascii="宋体" w:hAnsi="宋体"/>
          <w:b/>
          <w:szCs w:val="21"/>
        </w:rPr>
        <w:t>二、服务范围</w:t>
      </w:r>
    </w:p>
    <w:p>
      <w:pPr>
        <w:spacing w:line="276" w:lineRule="auto"/>
        <w:ind w:firstLine="420" w:firstLineChars="200"/>
        <w:contextualSpacing/>
        <w:rPr>
          <w:rFonts w:hAnsi="宋体"/>
        </w:rPr>
      </w:pPr>
      <w:r>
        <w:rPr>
          <w:rFonts w:hint="eastAsia" w:hAnsi="宋体"/>
        </w:rPr>
        <w:t>甲方聘请乙方提供以下服务：</w:t>
      </w:r>
    </w:p>
    <w:p>
      <w:pPr>
        <w:spacing w:line="276" w:lineRule="auto"/>
        <w:ind w:firstLine="420" w:firstLineChars="200"/>
        <w:contextualSpacing/>
        <w:rPr>
          <w:rFonts w:hAnsi="宋体"/>
        </w:rPr>
      </w:pPr>
      <w:r>
        <w:rPr>
          <w:rFonts w:hint="eastAsia" w:hAnsi="宋体"/>
        </w:rPr>
        <w:t>1.乙方按照甲方的要求和国家现行有效标准对</w:t>
      </w:r>
      <w:r>
        <w:rPr>
          <w:rFonts w:hint="eastAsia" w:hAnsi="宋体"/>
          <w:lang w:eastAsia="zh-Hans"/>
        </w:rPr>
        <w:t>社会单位使用领域和消防队伍</w:t>
      </w:r>
      <w:r>
        <w:rPr>
          <w:rFonts w:hint="eastAsia" w:hAnsi="宋体"/>
        </w:rPr>
        <w:t>所选用的强制性产品认证类、自愿性产品认证类或技术鉴定类消防产品和出厂不满一年的各地市消防救援队伍库存装备产品，包括有衬里消防水带、逃生缓降器等18项消防产品进行检验，总计320批次。（具体项目详见遴选文件采购需求）。</w:t>
      </w:r>
    </w:p>
    <w:p>
      <w:pPr>
        <w:adjustRightInd w:val="0"/>
        <w:spacing w:line="276" w:lineRule="auto"/>
        <w:ind w:firstLine="420" w:firstLineChars="200"/>
        <w:contextualSpacing/>
        <w:jc w:val="left"/>
        <w:outlineLvl w:val="0"/>
        <w:rPr>
          <w:rFonts w:hAnsi="宋体"/>
        </w:rPr>
      </w:pPr>
      <w:r>
        <w:rPr>
          <w:rFonts w:hint="eastAsia" w:hAnsi="宋体"/>
        </w:rPr>
        <w:t>2.乙方按照甲方的要求及甲方规定的时间内及时把消防产品质量监督抽查抽样单信息、检验报告信息录入消防产品质量监管信息系统，同时按甲方的要求使用工作文书对检验结果进行汇总。</w:t>
      </w:r>
    </w:p>
    <w:p>
      <w:pPr>
        <w:adjustRightInd w:val="0"/>
        <w:spacing w:line="276" w:lineRule="auto"/>
        <w:ind w:firstLine="420" w:firstLineChars="200"/>
        <w:contextualSpacing/>
        <w:jc w:val="left"/>
        <w:outlineLvl w:val="0"/>
        <w:rPr>
          <w:rFonts w:hAnsi="宋体"/>
        </w:rPr>
      </w:pPr>
      <w:r>
        <w:rPr>
          <w:rFonts w:hint="eastAsia" w:hAnsi="宋体"/>
        </w:rPr>
        <w:t>3.乙方配合甲方负责后续的复查、复检、异议解答等工作，并协助开展技术培训指导及标准宣贯等活动。</w:t>
      </w:r>
    </w:p>
    <w:p>
      <w:pPr>
        <w:spacing w:line="276" w:lineRule="auto"/>
        <w:rPr>
          <w:rFonts w:ascii="宋体" w:hAnsi="宋体"/>
          <w:b/>
          <w:szCs w:val="21"/>
        </w:rPr>
      </w:pPr>
      <w:r>
        <w:rPr>
          <w:rFonts w:hint="eastAsia" w:ascii="宋体" w:hAnsi="宋体"/>
          <w:b/>
          <w:szCs w:val="21"/>
        </w:rPr>
        <w:t>三、甲方乙方的权利和义务</w:t>
      </w:r>
    </w:p>
    <w:p>
      <w:pPr>
        <w:tabs>
          <w:tab w:val="left" w:pos="851"/>
        </w:tabs>
        <w:spacing w:line="276" w:lineRule="auto"/>
        <w:rPr>
          <w:rFonts w:ascii="宋体" w:hAnsi="宋体"/>
          <w:b/>
          <w:szCs w:val="21"/>
        </w:rPr>
      </w:pPr>
      <w:r>
        <w:rPr>
          <w:rFonts w:hint="eastAsia" w:ascii="宋体" w:hAnsi="宋体"/>
          <w:b/>
          <w:szCs w:val="21"/>
        </w:rPr>
        <w:t>1.甲方的权利和义务</w:t>
      </w:r>
    </w:p>
    <w:p>
      <w:pPr>
        <w:autoSpaceDE w:val="0"/>
        <w:autoSpaceDN w:val="0"/>
        <w:adjustRightInd w:val="0"/>
        <w:spacing w:line="276" w:lineRule="auto"/>
        <w:ind w:firstLine="315" w:firstLineChars="150"/>
        <w:jc w:val="left"/>
        <w:rPr>
          <w:rFonts w:ascii="宋体" w:hAnsi="宋体"/>
          <w:szCs w:val="21"/>
        </w:rPr>
      </w:pPr>
      <w:r>
        <w:rPr>
          <w:rFonts w:hint="eastAsia" w:ascii="宋体" w:hAnsi="宋体"/>
          <w:szCs w:val="21"/>
        </w:rPr>
        <w:t>（1）甲方作为本项目的组织单位，有权在抽查检验过程中监督乙方的具体工作，如果出现偏离合同、遴选文件、实施方案等情况时，甲方有权终止合同并追究乙方的相关责任。</w:t>
      </w:r>
    </w:p>
    <w:p>
      <w:pPr>
        <w:autoSpaceDE w:val="0"/>
        <w:autoSpaceDN w:val="0"/>
        <w:adjustRightInd w:val="0"/>
        <w:spacing w:line="276" w:lineRule="auto"/>
        <w:ind w:firstLine="315" w:firstLineChars="150"/>
        <w:jc w:val="left"/>
        <w:rPr>
          <w:rFonts w:ascii="宋体" w:hAnsi="宋体"/>
          <w:szCs w:val="21"/>
        </w:rPr>
      </w:pPr>
      <w:r>
        <w:rPr>
          <w:rFonts w:hint="eastAsia" w:ascii="宋体" w:hAnsi="宋体"/>
          <w:szCs w:val="21"/>
        </w:rPr>
        <w:t>（2）甲方应当在抽查检验工作开始前下发抽查检验通知，安排并告知乙方具体工作内容。</w:t>
      </w:r>
    </w:p>
    <w:p>
      <w:pPr>
        <w:autoSpaceDE w:val="0"/>
        <w:autoSpaceDN w:val="0"/>
        <w:adjustRightInd w:val="0"/>
        <w:spacing w:line="276" w:lineRule="auto"/>
        <w:ind w:firstLine="315" w:firstLineChars="150"/>
        <w:jc w:val="left"/>
        <w:rPr>
          <w:rFonts w:ascii="宋体" w:hAnsi="宋体"/>
          <w:szCs w:val="21"/>
        </w:rPr>
      </w:pPr>
      <w:r>
        <w:rPr>
          <w:rFonts w:hint="eastAsia" w:ascii="宋体" w:hAnsi="宋体"/>
          <w:szCs w:val="21"/>
        </w:rPr>
        <w:t>（3）现场监督抽样时，甲方安排有相关消防产品监督经验的人员，按照《建设工程消防监督管理规定》查验消防产品质量合格证明文件、出厂合格证的真实性、合法性进行监督，同时严格按照《消防产品现场检查判定规则》（</w:t>
      </w:r>
      <w:r>
        <w:rPr>
          <w:rFonts w:ascii="宋体" w:hAnsi="宋体"/>
          <w:szCs w:val="21"/>
        </w:rPr>
        <w:t>XF</w:t>
      </w:r>
      <w:r>
        <w:rPr>
          <w:rFonts w:hint="eastAsia" w:ascii="宋体" w:hAnsi="宋体"/>
          <w:szCs w:val="21"/>
        </w:rPr>
        <w:t xml:space="preserve"> 588-2012）规定进行现场检查判定，并填写《消防产品监督检查记录》。现场检查判定为不合格的，应当出具《消防产品现场检查判定不合格通知书》，并依法作出处理。</w:t>
      </w:r>
    </w:p>
    <w:p>
      <w:pPr>
        <w:autoSpaceDE w:val="0"/>
        <w:autoSpaceDN w:val="0"/>
        <w:adjustRightInd w:val="0"/>
        <w:spacing w:line="276" w:lineRule="auto"/>
        <w:ind w:firstLine="420" w:firstLineChars="200"/>
        <w:jc w:val="left"/>
        <w:rPr>
          <w:rFonts w:ascii="宋体" w:hAnsi="宋体"/>
          <w:szCs w:val="21"/>
        </w:rPr>
      </w:pPr>
      <w:r>
        <w:rPr>
          <w:rFonts w:hint="eastAsia" w:ascii="宋体" w:hAnsi="宋体"/>
          <w:szCs w:val="21"/>
        </w:rPr>
        <w:t>（4）甲方按照合同要求，按期向乙方支付本合同应付款项。</w:t>
      </w:r>
    </w:p>
    <w:p>
      <w:pPr>
        <w:tabs>
          <w:tab w:val="left" w:pos="851"/>
        </w:tabs>
        <w:spacing w:line="276" w:lineRule="auto"/>
        <w:ind w:left="851" w:hanging="851"/>
        <w:rPr>
          <w:rFonts w:ascii="宋体" w:hAnsi="宋体"/>
          <w:b/>
          <w:szCs w:val="21"/>
        </w:rPr>
      </w:pPr>
      <w:r>
        <w:rPr>
          <w:rFonts w:hint="eastAsia" w:ascii="宋体" w:hAnsi="宋体"/>
          <w:b/>
          <w:szCs w:val="21"/>
        </w:rPr>
        <w:t>2.乙方的权利和义务</w:t>
      </w:r>
    </w:p>
    <w:p>
      <w:pPr>
        <w:autoSpaceDE w:val="0"/>
        <w:autoSpaceDN w:val="0"/>
        <w:adjustRightInd w:val="0"/>
        <w:spacing w:line="276" w:lineRule="auto"/>
        <w:ind w:firstLine="315" w:firstLineChars="150"/>
        <w:jc w:val="left"/>
        <w:rPr>
          <w:rFonts w:ascii="宋体" w:hAnsi="宋体"/>
          <w:szCs w:val="21"/>
        </w:rPr>
      </w:pPr>
      <w:r>
        <w:rPr>
          <w:rFonts w:hint="eastAsia" w:ascii="宋体" w:hAnsi="宋体"/>
          <w:szCs w:val="21"/>
        </w:rPr>
        <w:t>（1）抽检过程中和抽检实施地的协调工作由乙方负责。所需抽检经费包括购样费、抽样费、检验费、邮寄费、复检费用和复查费用等由乙方承担。</w:t>
      </w:r>
    </w:p>
    <w:p>
      <w:pPr>
        <w:autoSpaceDE w:val="0"/>
        <w:autoSpaceDN w:val="0"/>
        <w:adjustRightInd w:val="0"/>
        <w:spacing w:line="276" w:lineRule="auto"/>
        <w:ind w:firstLine="315" w:firstLineChars="150"/>
        <w:jc w:val="left"/>
        <w:rPr>
          <w:rFonts w:ascii="宋体" w:hAnsi="宋体"/>
          <w:szCs w:val="21"/>
        </w:rPr>
      </w:pPr>
      <w:r>
        <w:rPr>
          <w:rFonts w:hint="eastAsia" w:ascii="宋体" w:hAnsi="宋体"/>
          <w:szCs w:val="21"/>
        </w:rPr>
        <w:t>（2）乙方在签订合同后5个工作日内安排抽样人员到达抽查检验地点开展抽样和封样送检工作，抽封样人员和设备的配置必须符合乙方投标文件的承诺。</w:t>
      </w:r>
    </w:p>
    <w:p>
      <w:pPr>
        <w:autoSpaceDE w:val="0"/>
        <w:autoSpaceDN w:val="0"/>
        <w:adjustRightInd w:val="0"/>
        <w:spacing w:line="276" w:lineRule="auto"/>
        <w:ind w:firstLine="315" w:firstLineChars="150"/>
        <w:jc w:val="left"/>
        <w:rPr>
          <w:rFonts w:ascii="宋体" w:hAnsi="宋体"/>
          <w:szCs w:val="21"/>
        </w:rPr>
      </w:pPr>
      <w:r>
        <w:rPr>
          <w:rFonts w:hint="eastAsia" w:ascii="宋体" w:hAnsi="宋体"/>
          <w:szCs w:val="21"/>
        </w:rPr>
        <w:t>（3）乙方应于2024年 月 日前完成商品初检工作并进行报告送达工作，提交检验报告、分析报告、统计报表等。</w:t>
      </w:r>
    </w:p>
    <w:p>
      <w:pPr>
        <w:autoSpaceDE w:val="0"/>
        <w:autoSpaceDN w:val="0"/>
        <w:adjustRightInd w:val="0"/>
        <w:spacing w:line="276" w:lineRule="auto"/>
        <w:ind w:firstLine="315" w:firstLineChars="150"/>
        <w:jc w:val="left"/>
        <w:rPr>
          <w:rFonts w:ascii="宋体" w:hAnsi="宋体"/>
          <w:szCs w:val="21"/>
        </w:rPr>
      </w:pPr>
      <w:r>
        <w:rPr>
          <w:rFonts w:hint="eastAsia" w:ascii="宋体" w:hAnsi="宋体"/>
          <w:szCs w:val="21"/>
        </w:rPr>
        <w:t>（4）乙方应于2024年 月 日前完成所有抽查检验工作，包括所有复检程序，如需延期，乙方需征得甲方书面同意</w:t>
      </w:r>
      <w:bookmarkStart w:id="15" w:name="OLE_LINK1"/>
      <w:r>
        <w:rPr>
          <w:rFonts w:hint="eastAsia" w:ascii="宋体" w:hAnsi="宋体"/>
          <w:szCs w:val="21"/>
        </w:rPr>
        <w:t>。如需复检，甲方需在复检申请最后期限届满前5日内向乙方出具同意复检的通知书。</w:t>
      </w:r>
      <w:bookmarkEnd w:id="15"/>
    </w:p>
    <w:p>
      <w:pPr>
        <w:autoSpaceDE w:val="0"/>
        <w:autoSpaceDN w:val="0"/>
        <w:adjustRightInd w:val="0"/>
        <w:spacing w:line="276" w:lineRule="auto"/>
        <w:ind w:firstLine="315" w:firstLineChars="150"/>
        <w:jc w:val="left"/>
        <w:rPr>
          <w:rFonts w:ascii="宋体" w:hAnsi="宋体"/>
          <w:szCs w:val="21"/>
        </w:rPr>
      </w:pPr>
      <w:r>
        <w:rPr>
          <w:rFonts w:hint="eastAsia" w:ascii="宋体" w:hAnsi="宋体"/>
          <w:szCs w:val="21"/>
        </w:rPr>
        <w:t>（5）抽查检验过程中涉及的所有文书、报表、检验报告等的信息内容严格按甲方的要求填写，如出现重大填写错误由乙方更正。</w:t>
      </w:r>
    </w:p>
    <w:p>
      <w:pPr>
        <w:autoSpaceDE w:val="0"/>
        <w:autoSpaceDN w:val="0"/>
        <w:adjustRightInd w:val="0"/>
        <w:spacing w:line="276" w:lineRule="auto"/>
        <w:ind w:firstLine="315" w:firstLineChars="150"/>
        <w:jc w:val="left"/>
        <w:rPr>
          <w:rFonts w:ascii="宋体" w:hAnsi="宋体"/>
          <w:szCs w:val="21"/>
        </w:rPr>
      </w:pPr>
      <w:r>
        <w:rPr>
          <w:rFonts w:hint="eastAsia" w:ascii="宋体" w:hAnsi="宋体"/>
          <w:szCs w:val="21"/>
        </w:rPr>
        <w:t>（6）乙方应出具真实、有效和合法的检验报告，并承担相关的法律责任。</w:t>
      </w:r>
    </w:p>
    <w:p>
      <w:pPr>
        <w:autoSpaceDE w:val="0"/>
        <w:autoSpaceDN w:val="0"/>
        <w:adjustRightInd w:val="0"/>
        <w:spacing w:line="276" w:lineRule="auto"/>
        <w:ind w:firstLine="315" w:firstLineChars="150"/>
        <w:jc w:val="left"/>
        <w:rPr>
          <w:rFonts w:hint="eastAsia" w:ascii="宋体" w:hAnsi="宋体"/>
          <w:szCs w:val="21"/>
        </w:rPr>
      </w:pPr>
      <w:r>
        <w:rPr>
          <w:rFonts w:hint="eastAsia" w:ascii="宋体" w:hAnsi="宋体"/>
          <w:szCs w:val="21"/>
        </w:rPr>
        <w:t>（7）乙方在对使用领域消防产品进行监督抽查时，聘请消防领域有现场检查经验的技术专家作为技术顾问进行现场检查和判定，并按相关规定支付现场检查的技术专家劳务费用，按照实际工作日进行结算。</w:t>
      </w:r>
    </w:p>
    <w:p>
      <w:pPr>
        <w:autoSpaceDE w:val="0"/>
        <w:autoSpaceDN w:val="0"/>
        <w:adjustRightInd w:val="0"/>
        <w:spacing w:line="276" w:lineRule="auto"/>
        <w:ind w:firstLine="315" w:firstLineChars="150"/>
        <w:jc w:val="left"/>
        <w:rPr>
          <w:rFonts w:hint="eastAsia" w:ascii="宋体" w:hAnsi="宋体"/>
          <w:szCs w:val="21"/>
        </w:rPr>
      </w:pPr>
      <w:r>
        <w:rPr>
          <w:rFonts w:hint="eastAsia" w:ascii="宋体" w:hAnsi="宋体"/>
          <w:szCs w:val="21"/>
        </w:rPr>
        <w:t>（8）乙方在抽检过程中应严格执行本项目的合同文件，必须坚持公正、诚信、透明的原则，不得以任何理由向本项目相关的社会单位受贿、行贿，串通、弄虚作假，以谋取不正当利益或降低服务质量。否则视为严重违约，相关法律责任由乙方承担，涉嫌刑事犯罪的，甲方有权依法追究其刑事责任。</w:t>
      </w:r>
    </w:p>
    <w:p>
      <w:pPr>
        <w:autoSpaceDE w:val="0"/>
        <w:autoSpaceDN w:val="0"/>
        <w:adjustRightInd w:val="0"/>
        <w:spacing w:line="276" w:lineRule="auto"/>
        <w:ind w:firstLine="315" w:firstLineChars="150"/>
        <w:jc w:val="left"/>
        <w:rPr>
          <w:rFonts w:hint="eastAsia" w:ascii="宋体" w:hAnsi="宋体"/>
          <w:szCs w:val="21"/>
        </w:rPr>
      </w:pPr>
      <w:r>
        <w:rPr>
          <w:rFonts w:hint="eastAsia" w:ascii="宋体" w:hAnsi="宋体"/>
          <w:szCs w:val="21"/>
        </w:rPr>
        <w:t>（9）除甲方事先书面同意外，乙方不得以任何方式转包、分包、挂靠本项目以及不得部分或全部转让其应履行的合同项下的义务。否则视为乙方严重违约，甲方有权单方解除合同，乙方应按本合同总价20%的标准向甲方支付违约金，由此造成的甲方经济损失由乙方承担。</w:t>
      </w:r>
    </w:p>
    <w:p>
      <w:pPr>
        <w:spacing w:line="276" w:lineRule="auto"/>
        <w:rPr>
          <w:rFonts w:ascii="宋体" w:hAnsi="宋体"/>
          <w:b/>
          <w:szCs w:val="21"/>
        </w:rPr>
      </w:pPr>
      <w:r>
        <w:rPr>
          <w:rFonts w:hint="eastAsia" w:ascii="宋体" w:hAnsi="宋体"/>
          <w:b/>
          <w:szCs w:val="21"/>
        </w:rPr>
        <w:t>四、服务期间（项目完成期限）</w:t>
      </w:r>
    </w:p>
    <w:p>
      <w:pPr>
        <w:tabs>
          <w:tab w:val="left" w:pos="851"/>
        </w:tabs>
        <w:spacing w:line="276" w:lineRule="auto"/>
        <w:ind w:left="844" w:leftChars="200" w:hanging="424" w:hangingChars="202"/>
        <w:rPr>
          <w:rFonts w:ascii="宋体" w:hAnsi="宋体"/>
          <w:szCs w:val="21"/>
        </w:rPr>
      </w:pPr>
      <w:r>
        <w:rPr>
          <w:rFonts w:hint="eastAsia" w:ascii="宋体" w:hAnsi="宋体"/>
          <w:szCs w:val="21"/>
        </w:rPr>
        <w:t>1.委托服务期间自2024年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5</w:t>
      </w:r>
      <w:r>
        <w:rPr>
          <w:rFonts w:hint="eastAsia" w:ascii="宋体" w:hAnsi="宋体"/>
          <w:szCs w:val="21"/>
        </w:rPr>
        <w:t>日至2024年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31</w:t>
      </w:r>
      <w:r>
        <w:rPr>
          <w:rFonts w:hint="eastAsia" w:ascii="宋体" w:hAnsi="宋体"/>
          <w:szCs w:val="21"/>
          <w:lang w:eastAsia="zh-Hans"/>
        </w:rPr>
        <w:t>日</w:t>
      </w:r>
      <w:r>
        <w:rPr>
          <w:rFonts w:hint="eastAsia" w:ascii="宋体" w:hAnsi="宋体"/>
          <w:szCs w:val="21"/>
        </w:rPr>
        <w:t>止。</w:t>
      </w:r>
    </w:p>
    <w:p>
      <w:pPr>
        <w:spacing w:line="276" w:lineRule="auto"/>
        <w:rPr>
          <w:rFonts w:ascii="宋体" w:hAnsi="宋体"/>
          <w:szCs w:val="21"/>
        </w:rPr>
      </w:pPr>
      <w:r>
        <w:rPr>
          <w:rFonts w:hint="eastAsia" w:ascii="宋体" w:hAnsi="宋体"/>
          <w:b/>
          <w:szCs w:val="21"/>
        </w:rPr>
        <w:t>五、付款方式</w:t>
      </w:r>
    </w:p>
    <w:p>
      <w:pPr>
        <w:spacing w:line="276" w:lineRule="auto"/>
        <w:ind w:firstLine="420" w:firstLineChars="200"/>
        <w:rPr>
          <w:rFonts w:ascii="宋体" w:hAnsi="宋体"/>
          <w:szCs w:val="21"/>
        </w:rPr>
      </w:pPr>
      <w:r>
        <w:rPr>
          <w:rFonts w:hint="eastAsia" w:ascii="宋体" w:hAnsi="宋体"/>
          <w:szCs w:val="21"/>
        </w:rPr>
        <w:t>付款分二个阶段进行：</w:t>
      </w:r>
    </w:p>
    <w:p>
      <w:pPr>
        <w:spacing w:line="276" w:lineRule="auto"/>
        <w:ind w:firstLine="420" w:firstLineChars="200"/>
        <w:rPr>
          <w:rFonts w:ascii="宋体" w:hAnsi="宋体"/>
          <w:szCs w:val="21"/>
        </w:rPr>
      </w:pPr>
      <w:r>
        <w:rPr>
          <w:rFonts w:hint="eastAsia" w:ascii="宋体" w:hAnsi="宋体"/>
          <w:szCs w:val="21"/>
        </w:rPr>
        <w:t>1.合同签订</w:t>
      </w:r>
      <w:r>
        <w:rPr>
          <w:rFonts w:hint="eastAsia" w:ascii="宋体" w:hAnsi="宋体"/>
          <w:szCs w:val="21"/>
          <w:lang w:eastAsia="zh-Hans"/>
        </w:rPr>
        <w:t>生效</w:t>
      </w:r>
      <w:r>
        <w:rPr>
          <w:rFonts w:hint="eastAsia" w:ascii="宋体" w:hAnsi="宋体"/>
          <w:szCs w:val="21"/>
        </w:rPr>
        <w:t>之后，一个月内支付总费用的40%，即人民币叁拾贰万元整（</w:t>
      </w:r>
      <w:r>
        <w:rPr>
          <w:rFonts w:hint="eastAsia" w:hAnsi="宋体"/>
        </w:rPr>
        <w:t>￥320</w:t>
      </w:r>
      <w:r>
        <w:rPr>
          <w:rFonts w:hAnsi="宋体"/>
        </w:rPr>
        <w:t>,</w:t>
      </w:r>
      <w:r>
        <w:rPr>
          <w:rFonts w:hint="eastAsia" w:hAnsi="宋体"/>
        </w:rPr>
        <w:t>00</w:t>
      </w:r>
      <w:r>
        <w:rPr>
          <w:rFonts w:hAnsi="宋体"/>
        </w:rPr>
        <w:t>0.00</w:t>
      </w:r>
      <w:r>
        <w:rPr>
          <w:rFonts w:hint="eastAsia" w:ascii="宋体" w:hAnsi="宋体"/>
          <w:szCs w:val="21"/>
        </w:rPr>
        <w:t>）；</w:t>
      </w:r>
    </w:p>
    <w:p>
      <w:pPr>
        <w:spacing w:line="276" w:lineRule="auto"/>
        <w:ind w:firstLine="420" w:firstLineChars="200"/>
        <w:rPr>
          <w:rFonts w:ascii="宋体" w:hAnsi="宋体"/>
          <w:szCs w:val="21"/>
        </w:rPr>
      </w:pPr>
      <w:r>
        <w:rPr>
          <w:rFonts w:hint="eastAsia" w:ascii="宋体" w:hAnsi="宋体"/>
          <w:szCs w:val="21"/>
        </w:rPr>
        <w:t>2.完成商品初检工作并进行报告送达且经甲方验收合格后</w:t>
      </w:r>
      <w:r>
        <w:rPr>
          <w:rFonts w:ascii="宋体" w:hAnsi="宋体"/>
          <w:szCs w:val="21"/>
        </w:rPr>
        <w:t>15</w:t>
      </w:r>
      <w:r>
        <w:rPr>
          <w:rFonts w:hint="eastAsia" w:ascii="宋体" w:hAnsi="宋体"/>
          <w:szCs w:val="21"/>
          <w:lang w:eastAsia="zh-Hans"/>
        </w:rPr>
        <w:t>个工作日内</w:t>
      </w:r>
      <w:r>
        <w:rPr>
          <w:rFonts w:hint="eastAsia" w:ascii="宋体" w:hAnsi="宋体"/>
          <w:szCs w:val="21"/>
        </w:rPr>
        <w:t>付总费用的60%，即人民币肆拾捌万元整（</w:t>
      </w:r>
      <w:r>
        <w:rPr>
          <w:rFonts w:hint="eastAsia" w:hAnsi="宋体"/>
        </w:rPr>
        <w:t>￥480</w:t>
      </w:r>
      <w:r>
        <w:rPr>
          <w:rFonts w:hAnsi="宋体"/>
        </w:rPr>
        <w:t>,</w:t>
      </w:r>
      <w:r>
        <w:rPr>
          <w:rFonts w:hint="eastAsia" w:hAnsi="宋体"/>
        </w:rPr>
        <w:t>00</w:t>
      </w:r>
      <w:r>
        <w:rPr>
          <w:rFonts w:hAnsi="宋体"/>
        </w:rPr>
        <w:t>0.00</w:t>
      </w:r>
      <w:r>
        <w:rPr>
          <w:rFonts w:hint="eastAsia" w:ascii="宋体" w:hAnsi="宋体"/>
          <w:szCs w:val="21"/>
        </w:rPr>
        <w:t>）；</w:t>
      </w:r>
    </w:p>
    <w:p>
      <w:pPr>
        <w:spacing w:line="276" w:lineRule="auto"/>
        <w:ind w:firstLine="420" w:firstLineChars="200"/>
        <w:rPr>
          <w:rFonts w:hint="eastAsia" w:ascii="宋体" w:hAnsi="宋体"/>
          <w:szCs w:val="21"/>
        </w:rPr>
      </w:pPr>
      <w:r>
        <w:rPr>
          <w:rFonts w:hint="eastAsia" w:ascii="宋体" w:hAnsi="宋体"/>
          <w:szCs w:val="21"/>
        </w:rPr>
        <w:t xml:space="preserve">3.以上款项的支付需在甲方收到乙方交付的合法有效的增值税发票后进行。若乙方未能按时提交发票的。甲方有权拒绝付款，且乙方仍需按本合同约定履行各项义务。因甲方使用财政资金付款，需执行财政国库集中支付制度及单位内部资金支付管理审批等有关规定，乙方同意如因财政支付审查、财政支付管理流程、预算下达及单位内部支付审批流程等非甲方主观原因导致合同价款实际到达乙方账户时间延迟的，不视为甲方违约，乙方亦不得以此为由迟延履行或不履行合同义务。 </w:t>
      </w:r>
    </w:p>
    <w:p>
      <w:pPr>
        <w:spacing w:line="276" w:lineRule="auto"/>
        <w:ind w:firstLine="420" w:firstLineChars="200"/>
        <w:rPr>
          <w:rFonts w:hint="eastAsia" w:ascii="宋体" w:hAnsi="宋体"/>
          <w:szCs w:val="21"/>
        </w:rPr>
      </w:pPr>
      <w:r>
        <w:rPr>
          <w:rFonts w:hint="eastAsia" w:ascii="宋体" w:hAnsi="宋体"/>
          <w:szCs w:val="21"/>
        </w:rPr>
        <w:t>4.乙方对其向甲方提供的收款银行账户信息的真实性、合法性、有效性、准确性、完整性负责。乙方需变更其银行账户的，应当提前3日以书面方式通知甲方。如因乙方提供的银行账户信息不准确或乙方不适当、不及时通知甲方，导致费用的支付发生任何不利后果的，由乙方承担全部责任。</w:t>
      </w:r>
    </w:p>
    <w:p>
      <w:pPr>
        <w:spacing w:line="276" w:lineRule="auto"/>
        <w:ind w:firstLine="420" w:firstLineChars="200"/>
        <w:rPr>
          <w:rFonts w:hint="eastAsia" w:ascii="宋体" w:hAnsi="宋体"/>
          <w:szCs w:val="21"/>
        </w:rPr>
      </w:pPr>
      <w:r>
        <w:rPr>
          <w:rFonts w:hint="eastAsia" w:ascii="宋体" w:hAnsi="宋体"/>
          <w:szCs w:val="21"/>
        </w:rPr>
        <w:t>5.乙方确认收款账户信息如下：</w:t>
      </w:r>
    </w:p>
    <w:p>
      <w:pPr>
        <w:spacing w:line="276" w:lineRule="auto"/>
        <w:ind w:firstLine="420" w:firstLineChars="200"/>
        <w:rPr>
          <w:rFonts w:hint="eastAsia" w:ascii="宋体" w:hAnsi="宋体"/>
          <w:szCs w:val="21"/>
        </w:rPr>
      </w:pPr>
      <w:r>
        <w:rPr>
          <w:rFonts w:hint="eastAsia" w:ascii="宋体" w:hAnsi="宋体"/>
          <w:szCs w:val="21"/>
        </w:rPr>
        <w:t>开户名;</w:t>
      </w:r>
    </w:p>
    <w:p>
      <w:pPr>
        <w:spacing w:line="276" w:lineRule="auto"/>
        <w:ind w:firstLine="420" w:firstLineChars="200"/>
        <w:rPr>
          <w:rFonts w:hint="eastAsia" w:ascii="宋体" w:hAnsi="宋体"/>
          <w:szCs w:val="21"/>
        </w:rPr>
      </w:pPr>
      <w:r>
        <w:rPr>
          <w:rFonts w:hint="eastAsia" w:ascii="宋体" w:hAnsi="宋体"/>
          <w:szCs w:val="21"/>
        </w:rPr>
        <w:t>账号：</w:t>
      </w:r>
    </w:p>
    <w:p>
      <w:pPr>
        <w:spacing w:line="276" w:lineRule="auto"/>
        <w:ind w:firstLine="420" w:firstLineChars="200"/>
        <w:rPr>
          <w:rFonts w:hint="eastAsia" w:ascii="宋体" w:hAnsi="宋体"/>
          <w:b/>
          <w:szCs w:val="21"/>
        </w:rPr>
      </w:pPr>
      <w:r>
        <w:rPr>
          <w:rFonts w:hint="eastAsia" w:ascii="宋体" w:hAnsi="宋体"/>
          <w:szCs w:val="21"/>
        </w:rPr>
        <w:t>开户行：</w:t>
      </w:r>
    </w:p>
    <w:p>
      <w:pPr>
        <w:spacing w:line="276" w:lineRule="auto"/>
        <w:rPr>
          <w:rFonts w:ascii="宋体" w:hAnsi="宋体"/>
          <w:b/>
          <w:szCs w:val="21"/>
        </w:rPr>
      </w:pPr>
      <w:r>
        <w:rPr>
          <w:rFonts w:hint="eastAsia" w:ascii="宋体" w:hAnsi="宋体"/>
          <w:b/>
          <w:szCs w:val="21"/>
        </w:rPr>
        <w:t>六、知识产权归属</w:t>
      </w:r>
    </w:p>
    <w:p>
      <w:pPr>
        <w:spacing w:line="276" w:lineRule="auto"/>
        <w:ind w:firstLine="420" w:firstLineChars="200"/>
        <w:rPr>
          <w:rFonts w:ascii="宋体" w:hAnsi="宋体"/>
          <w:b/>
          <w:szCs w:val="21"/>
        </w:rPr>
      </w:pPr>
      <w:r>
        <w:rPr>
          <w:rFonts w:hint="eastAsia" w:ascii="宋体" w:hAnsi="宋体"/>
          <w:szCs w:val="21"/>
        </w:rPr>
        <w:t>检验报告的所有权</w:t>
      </w:r>
      <w:r>
        <w:rPr>
          <w:rFonts w:hint="eastAsia" w:ascii="宋体" w:hAnsi="宋体"/>
          <w:szCs w:val="21"/>
          <w:lang w:eastAsia="zh-Hans"/>
        </w:rPr>
        <w:t>及知识产权</w:t>
      </w:r>
      <w:r>
        <w:rPr>
          <w:rFonts w:hint="eastAsia" w:ascii="宋体" w:hAnsi="宋体"/>
          <w:szCs w:val="21"/>
        </w:rPr>
        <w:t>归甲方</w:t>
      </w:r>
      <w:r>
        <w:rPr>
          <w:rFonts w:hint="eastAsia" w:ascii="宋体" w:hAnsi="宋体"/>
          <w:szCs w:val="21"/>
          <w:lang w:eastAsia="zh-Hans"/>
        </w:rPr>
        <w:t>所有</w:t>
      </w:r>
      <w:r>
        <w:rPr>
          <w:rFonts w:hint="eastAsia" w:ascii="宋体" w:hAnsi="宋体"/>
          <w:szCs w:val="21"/>
        </w:rPr>
        <w:t>，乙方对检验报告的内容的真实性负责。</w:t>
      </w:r>
    </w:p>
    <w:p>
      <w:pPr>
        <w:spacing w:line="276" w:lineRule="auto"/>
        <w:rPr>
          <w:rFonts w:ascii="宋体" w:hAnsi="宋体"/>
          <w:szCs w:val="21"/>
        </w:rPr>
      </w:pPr>
      <w:r>
        <w:rPr>
          <w:rFonts w:hint="eastAsia" w:ascii="宋体" w:hAnsi="宋体"/>
          <w:b/>
          <w:szCs w:val="21"/>
        </w:rPr>
        <w:t>七、保密</w:t>
      </w:r>
    </w:p>
    <w:p>
      <w:pPr>
        <w:spacing w:line="276" w:lineRule="auto"/>
        <w:ind w:firstLine="420" w:firstLineChars="200"/>
        <w:rPr>
          <w:rFonts w:ascii="宋体" w:hAnsi="宋体"/>
          <w:szCs w:val="21"/>
        </w:rPr>
      </w:pPr>
      <w:r>
        <w:rPr>
          <w:rFonts w:hint="eastAsia" w:ascii="宋体" w:hAnsi="宋体"/>
          <w:szCs w:val="21"/>
        </w:rPr>
        <w:t>双方在抽查未结束之前不得把抽查结果向外界公布</w:t>
      </w:r>
      <w:r>
        <w:rPr>
          <w:rFonts w:hint="eastAsia" w:ascii="宋体" w:hAnsi="宋体"/>
          <w:szCs w:val="21"/>
          <w:lang w:eastAsia="zh-Hans"/>
        </w:rPr>
        <w:t>或向任何第三方</w:t>
      </w:r>
      <w:r>
        <w:rPr>
          <w:rFonts w:hint="eastAsia" w:ascii="宋体" w:hAnsi="宋体"/>
          <w:szCs w:val="21"/>
        </w:rPr>
        <w:t>透</w:t>
      </w:r>
      <w:r>
        <w:rPr>
          <w:rFonts w:hint="eastAsia" w:ascii="宋体" w:hAnsi="宋体"/>
          <w:szCs w:val="21"/>
          <w:lang w:eastAsia="zh-Hans"/>
        </w:rPr>
        <w:t>露</w:t>
      </w:r>
      <w:r>
        <w:rPr>
          <w:rFonts w:hint="eastAsia" w:ascii="宋体" w:hAnsi="宋体"/>
          <w:szCs w:val="21"/>
        </w:rPr>
        <w:t>。</w:t>
      </w:r>
    </w:p>
    <w:p>
      <w:pPr>
        <w:spacing w:line="276" w:lineRule="auto"/>
        <w:rPr>
          <w:rFonts w:ascii="宋体" w:hAnsi="宋体"/>
          <w:b/>
          <w:szCs w:val="21"/>
        </w:rPr>
      </w:pPr>
      <w:r>
        <w:rPr>
          <w:rFonts w:hint="eastAsia" w:ascii="宋体" w:hAnsi="宋体"/>
          <w:b/>
          <w:szCs w:val="21"/>
        </w:rPr>
        <w:t>八、违约责任与赔偿损失</w:t>
      </w:r>
    </w:p>
    <w:p>
      <w:pPr>
        <w:tabs>
          <w:tab w:val="left" w:pos="851"/>
        </w:tabs>
        <w:spacing w:line="276" w:lineRule="auto"/>
        <w:ind w:firstLine="420" w:firstLineChars="200"/>
        <w:rPr>
          <w:rFonts w:ascii="宋体" w:hAnsi="宋体"/>
          <w:szCs w:val="21"/>
        </w:rPr>
      </w:pPr>
      <w:r>
        <w:rPr>
          <w:rFonts w:hint="eastAsia" w:ascii="宋体" w:hAnsi="宋体"/>
          <w:szCs w:val="21"/>
        </w:rPr>
        <w:t>1.乙方提供的服务不符合本合同约定及甲方</w:t>
      </w:r>
      <w:r>
        <w:rPr>
          <w:rFonts w:hint="eastAsia" w:ascii="宋体" w:hAnsi="宋体"/>
          <w:szCs w:val="21"/>
          <w:lang w:eastAsia="zh-Hans"/>
        </w:rPr>
        <w:t>遴选</w:t>
      </w:r>
      <w:r>
        <w:rPr>
          <w:rFonts w:hint="eastAsia" w:ascii="宋体" w:hAnsi="宋体"/>
          <w:szCs w:val="21"/>
        </w:rPr>
        <w:t>文件、乙方报价文件、成交通知书、会议纪要、补充协议等要求的，甲方有权拒收，并有权单方面解除合同</w:t>
      </w:r>
      <w:r>
        <w:rPr>
          <w:rFonts w:hint="eastAsia" w:ascii="宋体" w:hAnsi="宋体"/>
          <w:szCs w:val="21"/>
          <w:lang w:eastAsia="zh-Hans"/>
        </w:rPr>
        <w:t>，乙方应退还甲方已支付的费用，同时向甲方支付合同总费用</w:t>
      </w:r>
      <w:r>
        <w:rPr>
          <w:rFonts w:ascii="宋体" w:hAnsi="宋体"/>
          <w:szCs w:val="21"/>
          <w:lang w:eastAsia="zh-Hans"/>
        </w:rPr>
        <w:t>20%</w:t>
      </w:r>
      <w:r>
        <w:rPr>
          <w:rFonts w:hint="eastAsia" w:ascii="宋体" w:hAnsi="宋体"/>
          <w:szCs w:val="21"/>
          <w:lang w:eastAsia="zh-Hans"/>
        </w:rPr>
        <w:t>的违约金</w:t>
      </w:r>
      <w:r>
        <w:rPr>
          <w:rFonts w:hint="eastAsia" w:ascii="宋体" w:hAnsi="宋体"/>
          <w:szCs w:val="21"/>
        </w:rPr>
        <w:t>。</w:t>
      </w:r>
    </w:p>
    <w:p>
      <w:pPr>
        <w:tabs>
          <w:tab w:val="left" w:pos="851"/>
        </w:tabs>
        <w:spacing w:line="276" w:lineRule="auto"/>
        <w:ind w:firstLine="420" w:firstLineChars="200"/>
        <w:rPr>
          <w:rFonts w:ascii="宋体" w:hAnsi="宋体"/>
          <w:szCs w:val="21"/>
        </w:rPr>
      </w:pPr>
      <w:r>
        <w:rPr>
          <w:rFonts w:hint="eastAsia" w:ascii="宋体" w:hAnsi="宋体"/>
          <w:szCs w:val="21"/>
        </w:rPr>
        <w:t>2.乙方未能按本合同约定的时间提供服务，甲方有权</w:t>
      </w:r>
      <w:r>
        <w:rPr>
          <w:rFonts w:hint="eastAsia" w:ascii="宋体" w:hAnsi="宋体"/>
          <w:szCs w:val="21"/>
          <w:lang w:eastAsia="zh-Hans"/>
        </w:rPr>
        <w:t>单方解除</w:t>
      </w:r>
      <w:r>
        <w:rPr>
          <w:rFonts w:hint="eastAsia" w:ascii="宋体" w:hAnsi="宋体"/>
          <w:szCs w:val="21"/>
        </w:rPr>
        <w:t>合同，</w:t>
      </w:r>
      <w:r>
        <w:rPr>
          <w:rFonts w:hint="eastAsia" w:ascii="宋体" w:hAnsi="宋体"/>
          <w:szCs w:val="21"/>
          <w:lang w:eastAsia="zh-Hans"/>
        </w:rPr>
        <w:t>乙方应退还甲方已支付的费用，</w:t>
      </w:r>
      <w:r>
        <w:rPr>
          <w:rFonts w:hint="eastAsia" w:ascii="宋体" w:hAnsi="宋体"/>
          <w:szCs w:val="21"/>
        </w:rPr>
        <w:t>乙方应按本合同总价</w:t>
      </w:r>
      <w:r>
        <w:rPr>
          <w:rFonts w:ascii="宋体" w:hAnsi="宋体"/>
          <w:szCs w:val="21"/>
        </w:rPr>
        <w:t>20</w:t>
      </w:r>
      <w:r>
        <w:rPr>
          <w:rFonts w:hint="eastAsia" w:ascii="宋体" w:hAnsi="宋体"/>
          <w:szCs w:val="21"/>
        </w:rPr>
        <w:t>%的标准向甲方支付违约金，由此造成的甲方经济损失由乙方承担。</w:t>
      </w:r>
    </w:p>
    <w:p>
      <w:pPr>
        <w:tabs>
          <w:tab w:val="left" w:pos="851"/>
        </w:tabs>
        <w:spacing w:line="276" w:lineRule="auto"/>
        <w:ind w:firstLine="420" w:firstLineChars="200"/>
        <w:rPr>
          <w:rFonts w:ascii="宋体" w:hAnsi="宋体"/>
          <w:szCs w:val="21"/>
        </w:rPr>
      </w:pPr>
      <w:r>
        <w:rPr>
          <w:rFonts w:hint="eastAsia" w:ascii="宋体" w:hAnsi="宋体"/>
          <w:szCs w:val="21"/>
        </w:rPr>
        <w:t>3.甲方不得无正当理由拒收接受服务。甲方逾期付款的，每逾期一日，甲方应按应付未付金额的万分之一承担违约金，违约金合计不超过合同总金额的5%。因财政审批支付流程导致到账延期的，不视为甲方逾期付款。</w:t>
      </w:r>
    </w:p>
    <w:p>
      <w:pPr>
        <w:tabs>
          <w:tab w:val="left" w:pos="851"/>
        </w:tabs>
        <w:spacing w:line="276" w:lineRule="auto"/>
        <w:ind w:firstLine="420" w:firstLineChars="200"/>
        <w:rPr>
          <w:rFonts w:hint="eastAsia" w:ascii="宋体" w:hAnsi="宋体"/>
          <w:szCs w:val="21"/>
        </w:rPr>
      </w:pPr>
      <w:r>
        <w:rPr>
          <w:rFonts w:hint="eastAsia" w:ascii="宋体" w:hAnsi="宋体"/>
          <w:szCs w:val="21"/>
        </w:rPr>
        <w:t>4.乙方应按照本合同内约定的内容执行，如没有特别约定或约定未详尽，相应的违约责任或补充违约责任均为：甲方有权单方解除合同，未支付的费用不予支付；同时乙方承担一切经济责任和法律责任，包括且不限于律师费、诉讼费、保全费、鉴定费用等，并向甲方支付合同总金额20%的违约金。</w:t>
      </w:r>
    </w:p>
    <w:p>
      <w:pPr>
        <w:tabs>
          <w:tab w:val="left" w:pos="851"/>
        </w:tabs>
        <w:spacing w:line="276" w:lineRule="auto"/>
        <w:ind w:firstLine="420" w:firstLineChars="200"/>
        <w:rPr>
          <w:rFonts w:hint="eastAsia" w:ascii="宋体" w:hAnsi="宋体"/>
          <w:szCs w:val="21"/>
        </w:rPr>
      </w:pPr>
      <w:r>
        <w:rPr>
          <w:rFonts w:hint="eastAsia" w:ascii="宋体" w:hAnsi="宋体"/>
          <w:szCs w:val="21"/>
        </w:rPr>
        <w:t>5.本合同项下乙方应付违约金或赔偿金的情形，均为甲方有权在未付款项中扣除，也可要求乙方另行支付。</w:t>
      </w:r>
    </w:p>
    <w:p>
      <w:pPr>
        <w:tabs>
          <w:tab w:val="left" w:pos="851"/>
        </w:tabs>
        <w:spacing w:line="276" w:lineRule="auto"/>
        <w:ind w:firstLine="420" w:firstLineChars="200"/>
        <w:rPr>
          <w:rFonts w:ascii="宋体" w:hAnsi="宋体"/>
          <w:bCs/>
          <w:szCs w:val="21"/>
        </w:rPr>
      </w:pPr>
      <w:r>
        <w:rPr>
          <w:rFonts w:hint="eastAsia" w:ascii="宋体" w:hAnsi="宋体"/>
          <w:szCs w:val="21"/>
        </w:rPr>
        <w:t>6.其它违约责任按《中华人民</w:t>
      </w:r>
      <w:r>
        <w:rPr>
          <w:rFonts w:hint="eastAsia" w:ascii="宋体" w:hAnsi="宋体"/>
          <w:bCs/>
          <w:szCs w:val="21"/>
        </w:rPr>
        <w:t>共和国</w:t>
      </w:r>
      <w:r>
        <w:rPr>
          <w:rFonts w:hint="eastAsia" w:ascii="宋体" w:hAnsi="宋体"/>
          <w:bCs/>
          <w:szCs w:val="21"/>
          <w:lang w:eastAsia="zh-Hans"/>
        </w:rPr>
        <w:t>民法典</w:t>
      </w:r>
      <w:r>
        <w:rPr>
          <w:rFonts w:hint="eastAsia" w:ascii="宋体" w:hAnsi="宋体"/>
          <w:bCs/>
          <w:szCs w:val="21"/>
        </w:rPr>
        <w:t>》处理。</w:t>
      </w:r>
    </w:p>
    <w:p>
      <w:pPr>
        <w:spacing w:line="276" w:lineRule="auto"/>
        <w:rPr>
          <w:rFonts w:ascii="宋体" w:hAnsi="宋体"/>
          <w:b/>
          <w:szCs w:val="21"/>
        </w:rPr>
      </w:pPr>
      <w:r>
        <w:rPr>
          <w:rFonts w:hint="eastAsia" w:ascii="宋体" w:hAnsi="宋体"/>
          <w:b/>
          <w:szCs w:val="21"/>
        </w:rPr>
        <w:t>九、争议的解决</w:t>
      </w:r>
    </w:p>
    <w:p>
      <w:pPr>
        <w:tabs>
          <w:tab w:val="left" w:pos="851"/>
        </w:tabs>
        <w:spacing w:line="276" w:lineRule="auto"/>
        <w:ind w:firstLine="420" w:firstLineChars="200"/>
        <w:rPr>
          <w:rFonts w:ascii="宋体" w:hAnsi="宋体"/>
          <w:bCs/>
          <w:szCs w:val="21"/>
        </w:rPr>
      </w:pPr>
      <w:r>
        <w:rPr>
          <w:rFonts w:hint="eastAsia" w:ascii="宋体" w:hAnsi="宋体"/>
          <w:szCs w:val="21"/>
        </w:rPr>
        <w:t>合同执行过程中发生的任何争议，如双方不能通过友好协商解决，交由甲方所在地人民法院管辖处理。守约方为解决纠纷、争议而产生的维权费用，包括且不限于律师费、诉讼费、鉴定费、交通费等，均由违约方承担。</w:t>
      </w:r>
    </w:p>
    <w:p>
      <w:pPr>
        <w:spacing w:line="276" w:lineRule="auto"/>
        <w:rPr>
          <w:rFonts w:ascii="宋体" w:hAnsi="宋体"/>
          <w:szCs w:val="21"/>
        </w:rPr>
      </w:pPr>
      <w:r>
        <w:rPr>
          <w:rFonts w:hint="eastAsia" w:ascii="宋体" w:hAnsi="宋体"/>
          <w:b/>
          <w:szCs w:val="21"/>
        </w:rPr>
        <w:t>十、不可抗力</w:t>
      </w:r>
    </w:p>
    <w:p>
      <w:pPr>
        <w:tabs>
          <w:tab w:val="left" w:pos="851"/>
        </w:tabs>
        <w:spacing w:line="276" w:lineRule="auto"/>
        <w:ind w:firstLine="525" w:firstLineChars="250"/>
        <w:jc w:val="left"/>
        <w:rPr>
          <w:rFonts w:ascii="宋体" w:hAnsi="宋体"/>
          <w:szCs w:val="21"/>
        </w:rPr>
      </w:pPr>
      <w:r>
        <w:rPr>
          <w:rFonts w:hint="eastAsia" w:ascii="宋体" w:hAnsi="宋体"/>
          <w:szCs w:val="21"/>
        </w:rPr>
        <w:t>任何一方由于不可抗力原因不能履行合同时，应在不可抗力事件</w:t>
      </w:r>
      <w:r>
        <w:rPr>
          <w:rFonts w:hint="eastAsia" w:ascii="宋体" w:hAnsi="宋体"/>
          <w:szCs w:val="21"/>
          <w:lang w:eastAsia="zh-Hans"/>
        </w:rPr>
        <w:t>发生后</w:t>
      </w:r>
      <w:r>
        <w:rPr>
          <w:rFonts w:hint="eastAsia" w:ascii="宋体" w:hAnsi="宋体"/>
          <w:szCs w:val="21"/>
        </w:rPr>
        <w:t>1日内向对方通报，以减轻可能给对方造成的损失，在取得有关机构的不可抗力证明或双方谅解确认后，允许延期履行或修订合同，并根据情况可部分或全部免于承担违约责任。</w:t>
      </w:r>
    </w:p>
    <w:p>
      <w:pPr>
        <w:spacing w:line="276" w:lineRule="auto"/>
        <w:rPr>
          <w:rFonts w:ascii="宋体" w:hAnsi="宋体"/>
          <w:szCs w:val="21"/>
        </w:rPr>
      </w:pPr>
      <w:r>
        <w:rPr>
          <w:rFonts w:hint="eastAsia" w:ascii="宋体" w:hAnsi="宋体"/>
          <w:b/>
          <w:szCs w:val="21"/>
        </w:rPr>
        <w:t>十一、税费</w:t>
      </w:r>
    </w:p>
    <w:p>
      <w:pPr>
        <w:tabs>
          <w:tab w:val="left" w:pos="851"/>
        </w:tabs>
        <w:spacing w:line="276" w:lineRule="auto"/>
        <w:ind w:left="842" w:leftChars="250" w:hanging="317" w:hangingChars="151"/>
        <w:rPr>
          <w:rFonts w:ascii="宋体" w:hAnsi="宋体"/>
          <w:szCs w:val="21"/>
        </w:rPr>
      </w:pPr>
      <w:r>
        <w:rPr>
          <w:rFonts w:hint="eastAsia" w:ascii="宋体" w:hAnsi="宋体"/>
          <w:szCs w:val="21"/>
        </w:rPr>
        <w:t>在中国境内、外发生的与本合同执行有关的一切税费均由乙方负担。</w:t>
      </w:r>
    </w:p>
    <w:p>
      <w:pPr>
        <w:spacing w:line="276" w:lineRule="auto"/>
        <w:rPr>
          <w:rFonts w:ascii="宋体" w:hAnsi="宋体"/>
          <w:b/>
          <w:szCs w:val="21"/>
        </w:rPr>
      </w:pPr>
      <w:r>
        <w:rPr>
          <w:rFonts w:hint="eastAsia" w:ascii="宋体" w:hAnsi="宋体"/>
          <w:b/>
          <w:szCs w:val="21"/>
        </w:rPr>
        <w:t>十二、其它</w:t>
      </w:r>
    </w:p>
    <w:p>
      <w:pPr>
        <w:tabs>
          <w:tab w:val="left" w:pos="851"/>
        </w:tabs>
        <w:spacing w:line="276" w:lineRule="auto"/>
        <w:ind w:firstLine="420" w:firstLineChars="200"/>
        <w:rPr>
          <w:rFonts w:ascii="宋体" w:hAnsi="宋体"/>
          <w:szCs w:val="21"/>
        </w:rPr>
      </w:pPr>
      <w:r>
        <w:rPr>
          <w:rFonts w:hint="eastAsia" w:ascii="宋体" w:hAnsi="宋体"/>
          <w:szCs w:val="21"/>
        </w:rPr>
        <w:t>1.本合同所有附件、采购文件、报价文件、成交通知书均为合同的有效组成部分，与本合同具有同等法律效力。</w:t>
      </w:r>
    </w:p>
    <w:p>
      <w:pPr>
        <w:tabs>
          <w:tab w:val="left" w:pos="851"/>
        </w:tabs>
        <w:spacing w:line="276" w:lineRule="auto"/>
        <w:ind w:firstLine="420" w:firstLineChars="200"/>
        <w:rPr>
          <w:rFonts w:ascii="宋体" w:hAnsi="宋体"/>
          <w:szCs w:val="21"/>
        </w:rPr>
      </w:pPr>
      <w:r>
        <w:rPr>
          <w:rFonts w:hint="eastAsia" w:ascii="宋体" w:hAnsi="宋体"/>
          <w:szCs w:val="21"/>
        </w:rPr>
        <w:t>2.在执行本合同的过程中，所有经双方签署确认的文件（包括会议纪要、补充协议、往来信函）即成为本合同的有效组成部分。如有变更，应在变更当日内书面通知对方，否则，应承担相应责任。</w:t>
      </w:r>
    </w:p>
    <w:p>
      <w:pPr>
        <w:tabs>
          <w:tab w:val="left" w:pos="851"/>
        </w:tabs>
        <w:spacing w:line="276" w:lineRule="auto"/>
        <w:ind w:firstLine="420" w:firstLineChars="200"/>
        <w:rPr>
          <w:rFonts w:ascii="宋体" w:hAnsi="宋体"/>
          <w:szCs w:val="21"/>
        </w:rPr>
      </w:pPr>
      <w:r>
        <w:rPr>
          <w:rFonts w:hint="eastAsia" w:ascii="宋体" w:hAnsi="宋体"/>
          <w:szCs w:val="21"/>
        </w:rPr>
        <w:t>3.双方信函、文件可以通过纸质信函快递方式送达到本合同中约定的地址。一方及有权机关（包括但不限于人民法院、仲裁委员会、公证处）按此地址发出信函、文书等材料即视为相对方收到，各方通讯地址发生变动的，应即时书面通知另一方，未通知的视为未变动。</w:t>
      </w:r>
    </w:p>
    <w:p>
      <w:pPr>
        <w:spacing w:line="276" w:lineRule="auto"/>
        <w:rPr>
          <w:rFonts w:ascii="宋体" w:hAnsi="宋体"/>
          <w:b/>
          <w:szCs w:val="21"/>
        </w:rPr>
      </w:pPr>
      <w:r>
        <w:rPr>
          <w:rFonts w:hint="eastAsia" w:ascii="宋体" w:hAnsi="宋体"/>
          <w:b/>
          <w:szCs w:val="21"/>
        </w:rPr>
        <w:t>十三、合同生效：</w:t>
      </w:r>
    </w:p>
    <w:p>
      <w:pPr>
        <w:tabs>
          <w:tab w:val="left" w:pos="851"/>
        </w:tabs>
        <w:spacing w:line="276" w:lineRule="auto"/>
        <w:ind w:left="842" w:leftChars="250" w:hanging="317" w:hangingChars="151"/>
        <w:rPr>
          <w:rFonts w:ascii="宋体" w:hAnsi="宋体"/>
          <w:szCs w:val="21"/>
        </w:rPr>
      </w:pPr>
      <w:r>
        <w:rPr>
          <w:rFonts w:hint="eastAsia" w:ascii="宋体" w:hAnsi="宋体"/>
          <w:szCs w:val="21"/>
        </w:rPr>
        <w:t>1.本合同自</w:t>
      </w:r>
      <w:r>
        <w:rPr>
          <w:rFonts w:hint="eastAsia" w:ascii="宋体" w:hAnsi="宋体"/>
          <w:szCs w:val="21"/>
          <w:lang w:eastAsia="zh-Hans"/>
        </w:rPr>
        <w:t>双方法定代表人或授权代表签字并加盖公章</w:t>
      </w:r>
      <w:r>
        <w:rPr>
          <w:rFonts w:hint="eastAsia" w:ascii="宋体" w:hAnsi="宋体"/>
          <w:szCs w:val="21"/>
        </w:rPr>
        <w:t>之日起生效。</w:t>
      </w:r>
    </w:p>
    <w:p>
      <w:pPr>
        <w:tabs>
          <w:tab w:val="left" w:pos="851"/>
        </w:tabs>
        <w:spacing w:line="276" w:lineRule="auto"/>
        <w:ind w:left="842" w:leftChars="250" w:hanging="317" w:hangingChars="151"/>
        <w:rPr>
          <w:rFonts w:hint="eastAsia" w:ascii="宋体" w:hAnsi="宋体"/>
          <w:szCs w:val="21"/>
        </w:rPr>
      </w:pPr>
      <w:r>
        <w:rPr>
          <w:rFonts w:hint="eastAsia" w:ascii="宋体" w:hAnsi="宋体"/>
          <w:szCs w:val="21"/>
        </w:rPr>
        <w:t>2.合同一式</w:t>
      </w:r>
      <w:r>
        <w:rPr>
          <w:rFonts w:hint="eastAsia" w:ascii="宋体" w:hAnsi="宋体"/>
          <w:szCs w:val="21"/>
          <w:u w:val="single"/>
        </w:rPr>
        <w:t>肆</w:t>
      </w:r>
      <w:r>
        <w:rPr>
          <w:rFonts w:hint="eastAsia" w:ascii="宋体" w:hAnsi="宋体"/>
          <w:szCs w:val="21"/>
        </w:rPr>
        <w:t>份，甲乙双方各两份</w:t>
      </w:r>
      <w:r>
        <w:rPr>
          <w:rFonts w:hint="eastAsia" w:ascii="宋体" w:hAnsi="宋体"/>
          <w:szCs w:val="21"/>
          <w:lang w:eastAsia="zh-Hans"/>
        </w:rPr>
        <w:t>，具有同等法律效力</w:t>
      </w:r>
      <w:r>
        <w:rPr>
          <w:rFonts w:hint="eastAsia" w:ascii="宋体" w:hAnsi="宋体"/>
          <w:szCs w:val="21"/>
        </w:rPr>
        <w:t>。</w:t>
      </w:r>
    </w:p>
    <w:p>
      <w:pPr>
        <w:tabs>
          <w:tab w:val="left" w:pos="851"/>
        </w:tabs>
        <w:spacing w:line="276" w:lineRule="auto"/>
        <w:ind w:left="842" w:leftChars="250" w:hanging="317" w:hangingChars="151"/>
        <w:rPr>
          <w:rFonts w:hint="eastAsia" w:ascii="宋体" w:hAnsi="宋体"/>
          <w:szCs w:val="21"/>
        </w:rPr>
      </w:pPr>
      <w:r>
        <w:rPr>
          <w:rFonts w:hint="eastAsia" w:ascii="宋体" w:hAnsi="宋体"/>
          <w:szCs w:val="21"/>
        </w:rPr>
        <w:t>（以下无正文，为签署页）</w:t>
      </w:r>
    </w:p>
    <w:p>
      <w:pPr>
        <w:tabs>
          <w:tab w:val="left" w:pos="851"/>
        </w:tabs>
        <w:spacing w:line="276" w:lineRule="auto"/>
        <w:ind w:left="842" w:leftChars="250" w:hanging="317" w:hangingChars="151"/>
        <w:rPr>
          <w:rFonts w:hint="eastAsia" w:ascii="宋体" w:hAnsi="宋体"/>
          <w:szCs w:val="21"/>
        </w:rPr>
      </w:pPr>
    </w:p>
    <w:p>
      <w:pPr>
        <w:tabs>
          <w:tab w:val="left" w:pos="4395"/>
        </w:tabs>
        <w:spacing w:line="276" w:lineRule="auto"/>
        <w:rPr>
          <w:rFonts w:ascii="宋体" w:hAnsi="宋体"/>
          <w:b/>
          <w:szCs w:val="21"/>
        </w:rPr>
      </w:pPr>
      <w:r>
        <w:rPr>
          <w:rFonts w:hint="eastAsia" w:ascii="宋体" w:hAnsi="宋体"/>
          <w:b/>
          <w:szCs w:val="21"/>
        </w:rPr>
        <w:t>甲方（盖章）：</w:t>
      </w:r>
      <w:r>
        <w:rPr>
          <w:rFonts w:hint="eastAsia" w:ascii="宋体" w:hAnsi="宋体"/>
          <w:b/>
          <w:szCs w:val="21"/>
        </w:rPr>
        <w:tab/>
      </w:r>
      <w:r>
        <w:rPr>
          <w:rFonts w:hint="eastAsia" w:ascii="宋体" w:hAnsi="宋体"/>
          <w:b/>
          <w:szCs w:val="21"/>
        </w:rPr>
        <w:t>乙方（盖章）：</w:t>
      </w:r>
    </w:p>
    <w:p>
      <w:pPr>
        <w:tabs>
          <w:tab w:val="left" w:pos="4395"/>
        </w:tabs>
        <w:spacing w:line="276" w:lineRule="auto"/>
        <w:rPr>
          <w:rFonts w:ascii="宋体" w:hAnsi="宋体"/>
          <w:b/>
          <w:szCs w:val="21"/>
        </w:rPr>
      </w:pPr>
      <w:r>
        <w:rPr>
          <w:rFonts w:hint="eastAsia" w:ascii="宋体" w:hAnsi="宋体"/>
          <w:b/>
          <w:szCs w:val="21"/>
        </w:rPr>
        <w:t>法定代表人/授权代表（签字）：</w:t>
      </w:r>
      <w:r>
        <w:rPr>
          <w:rFonts w:hint="eastAsia" w:ascii="宋体" w:hAnsi="宋体"/>
          <w:b/>
          <w:szCs w:val="21"/>
        </w:rPr>
        <w:tab/>
      </w:r>
      <w:r>
        <w:rPr>
          <w:rFonts w:hint="eastAsia" w:ascii="宋体" w:hAnsi="宋体"/>
          <w:b/>
          <w:szCs w:val="21"/>
        </w:rPr>
        <w:t xml:space="preserve">法定代表人/授权代表（签字）： </w:t>
      </w:r>
    </w:p>
    <w:p>
      <w:pPr>
        <w:tabs>
          <w:tab w:val="left" w:pos="4395"/>
        </w:tabs>
        <w:spacing w:line="276" w:lineRule="auto"/>
        <w:rPr>
          <w:rFonts w:ascii="宋体" w:hAnsi="宋体"/>
          <w:szCs w:val="21"/>
        </w:rPr>
      </w:pPr>
      <w:r>
        <w:rPr>
          <w:rFonts w:hint="eastAsia" w:ascii="宋体" w:hAnsi="宋体"/>
          <w:szCs w:val="21"/>
        </w:rPr>
        <w:t>签订日期：　　　年　　月　　日</w:t>
      </w:r>
      <w:r>
        <w:rPr>
          <w:rFonts w:hint="eastAsia" w:ascii="宋体" w:hAnsi="宋体"/>
          <w:szCs w:val="21"/>
        </w:rPr>
        <w:tab/>
      </w:r>
      <w:r>
        <w:rPr>
          <w:rFonts w:hint="eastAsia" w:ascii="宋体" w:hAnsi="宋体"/>
          <w:szCs w:val="21"/>
        </w:rPr>
        <w:t>签订日期：　　　年　　月　　日</w:t>
      </w:r>
    </w:p>
    <w:p>
      <w:pPr>
        <w:tabs>
          <w:tab w:val="left" w:pos="4395"/>
        </w:tabs>
        <w:spacing w:line="276" w:lineRule="auto"/>
        <w:rPr>
          <w:rFonts w:ascii="宋体" w:hAnsi="宋体"/>
          <w:szCs w:val="21"/>
        </w:rPr>
      </w:pPr>
      <w:r>
        <w:rPr>
          <w:rFonts w:hint="eastAsia" w:ascii="宋体" w:hAnsi="宋体"/>
          <w:szCs w:val="21"/>
        </w:rPr>
        <w:tab/>
      </w:r>
    </w:p>
    <w:p>
      <w:pPr>
        <w:keepNext/>
        <w:keepLines/>
        <w:adjustRightInd w:val="0"/>
        <w:jc w:val="center"/>
        <w:textAlignment w:val="baseline"/>
        <w:outlineLvl w:val="1"/>
        <w:rPr>
          <w:b/>
          <w:sz w:val="32"/>
          <w:szCs w:val="32"/>
        </w:rPr>
      </w:pPr>
      <w:r>
        <w:rPr>
          <w:rFonts w:hint="eastAsia" w:ascii="仿宋" w:hAnsi="仿宋" w:eastAsia="仿宋" w:cs="仿宋"/>
          <w:sz w:val="28"/>
          <w:szCs w:val="28"/>
        </w:rPr>
        <w:br w:type="page"/>
      </w:r>
      <w:r>
        <w:rPr>
          <w:rFonts w:hint="eastAsia"/>
          <w:b/>
          <w:sz w:val="32"/>
          <w:szCs w:val="32"/>
        </w:rPr>
        <w:t>第五章  参评文件格式</w:t>
      </w:r>
    </w:p>
    <w:p>
      <w:pPr>
        <w:jc w:val="center"/>
        <w:rPr>
          <w:rFonts w:ascii="黑体" w:eastAsia="黑体"/>
          <w:sz w:val="57"/>
        </w:rPr>
      </w:pPr>
      <w:bookmarkStart w:id="16" w:name="_Toc368513821"/>
      <w:bookmarkStart w:id="17" w:name="_Toc388351003"/>
      <w:bookmarkStart w:id="18" w:name="_Toc323374313"/>
      <w:bookmarkStart w:id="19" w:name="_Toc42951053"/>
    </w:p>
    <w:p>
      <w:pPr>
        <w:jc w:val="center"/>
        <w:rPr>
          <w:rFonts w:ascii="黑体" w:eastAsia="黑体"/>
          <w:sz w:val="80"/>
          <w:szCs w:val="80"/>
        </w:rPr>
      </w:pPr>
    </w:p>
    <w:p>
      <w:pPr>
        <w:jc w:val="center"/>
        <w:rPr>
          <w:rFonts w:ascii="黑体" w:eastAsia="黑体"/>
          <w:sz w:val="57"/>
        </w:rPr>
      </w:pPr>
    </w:p>
    <w:p>
      <w:pPr>
        <w:jc w:val="center"/>
        <w:rPr>
          <w:rFonts w:ascii="黑体" w:eastAsia="黑体"/>
          <w:sz w:val="80"/>
          <w:szCs w:val="80"/>
        </w:rPr>
      </w:pPr>
      <w:r>
        <w:rPr>
          <w:rFonts w:hint="eastAsia" w:ascii="黑体" w:eastAsia="黑体"/>
          <w:sz w:val="80"/>
          <w:szCs w:val="80"/>
        </w:rPr>
        <w:t>参评文件</w:t>
      </w:r>
    </w:p>
    <w:p>
      <w:pPr>
        <w:jc w:val="center"/>
        <w:outlineLvl w:val="0"/>
        <w:rPr>
          <w:rFonts w:ascii="黑体" w:eastAsia="黑体"/>
          <w:sz w:val="60"/>
          <w:szCs w:val="60"/>
        </w:rPr>
      </w:pPr>
    </w:p>
    <w:p>
      <w:pPr>
        <w:jc w:val="center"/>
        <w:rPr>
          <w:sz w:val="47"/>
        </w:rPr>
      </w:pPr>
    </w:p>
    <w:p>
      <w:pPr>
        <w:jc w:val="center"/>
        <w:rPr>
          <w:color w:val="000000"/>
          <w:sz w:val="50"/>
          <w:szCs w:val="50"/>
        </w:rPr>
      </w:pPr>
      <w:r>
        <w:rPr>
          <w:rFonts w:hint="eastAsia"/>
          <w:color w:val="000000"/>
          <w:sz w:val="50"/>
          <w:szCs w:val="50"/>
        </w:rPr>
        <w:t>（</w:t>
      </w:r>
      <w:r>
        <w:rPr>
          <w:rFonts w:hint="eastAsia" w:ascii="仿宋_GB2312" w:hAnsi="仿宋_GB2312" w:eastAsia="仿宋_GB2312" w:cs="仿宋_GB2312"/>
          <w:color w:val="000000"/>
          <w:sz w:val="50"/>
          <w:szCs w:val="50"/>
        </w:rPr>
        <w:t>□</w:t>
      </w:r>
      <w:r>
        <w:rPr>
          <w:rFonts w:hint="eastAsia"/>
          <w:color w:val="000000"/>
          <w:sz w:val="50"/>
          <w:szCs w:val="50"/>
        </w:rPr>
        <w:t>正本/</w:t>
      </w:r>
      <w:r>
        <w:rPr>
          <w:rFonts w:hint="eastAsia" w:ascii="仿宋_GB2312" w:hAnsi="仿宋_GB2312" w:eastAsia="仿宋_GB2312" w:cs="仿宋_GB2312"/>
          <w:color w:val="000000"/>
          <w:sz w:val="50"/>
          <w:szCs w:val="50"/>
        </w:rPr>
        <w:t>□</w:t>
      </w:r>
      <w:r>
        <w:rPr>
          <w:rFonts w:hint="eastAsia"/>
          <w:color w:val="000000"/>
          <w:sz w:val="50"/>
          <w:szCs w:val="50"/>
        </w:rPr>
        <w:t>副本）</w:t>
      </w:r>
    </w:p>
    <w:p/>
    <w:p/>
    <w:p/>
    <w:p>
      <w:pPr>
        <w:adjustRightInd w:val="0"/>
        <w:snapToGrid w:val="0"/>
        <w:spacing w:line="360" w:lineRule="auto"/>
        <w:rPr>
          <w:sz w:val="28"/>
          <w:szCs w:val="28"/>
        </w:rPr>
      </w:pPr>
    </w:p>
    <w:p>
      <w:pPr>
        <w:adjustRightInd w:val="0"/>
        <w:snapToGrid w:val="0"/>
        <w:spacing w:line="360" w:lineRule="auto"/>
        <w:rPr>
          <w:sz w:val="28"/>
          <w:szCs w:val="28"/>
        </w:rPr>
      </w:pPr>
    </w:p>
    <w:p>
      <w:pPr>
        <w:adjustRightInd w:val="0"/>
        <w:snapToGrid w:val="0"/>
        <w:spacing w:line="360" w:lineRule="auto"/>
        <w:rPr>
          <w:sz w:val="28"/>
          <w:szCs w:val="28"/>
        </w:rPr>
      </w:pPr>
      <w:r>
        <w:rPr>
          <w:rFonts w:hint="eastAsia"/>
          <w:sz w:val="28"/>
          <w:szCs w:val="28"/>
        </w:rPr>
        <w:t>项目名称：广东省消防救援总队2024年度使用领域消防产品专项监督抽查检验购买服务项目</w:t>
      </w:r>
    </w:p>
    <w:p>
      <w:pPr>
        <w:adjustRightInd w:val="0"/>
        <w:snapToGrid w:val="0"/>
        <w:spacing w:line="360" w:lineRule="auto"/>
        <w:rPr>
          <w:sz w:val="28"/>
          <w:szCs w:val="28"/>
        </w:rPr>
      </w:pPr>
      <w:r>
        <w:rPr>
          <w:sz w:val="28"/>
          <w:szCs w:val="28"/>
        </w:rPr>
        <w:t>项目编号：</w:t>
      </w:r>
      <w:r>
        <w:rPr>
          <w:sz w:val="28"/>
          <w:szCs w:val="28"/>
          <w:u w:val="single"/>
        </w:rPr>
        <w:t xml:space="preserve">       </w:t>
      </w:r>
      <w:r>
        <w:rPr>
          <w:rFonts w:hint="eastAsia"/>
          <w:sz w:val="28"/>
          <w:szCs w:val="28"/>
          <w:u w:val="single"/>
        </w:rPr>
        <w:t xml:space="preserve">         GDXF202</w:t>
      </w:r>
      <w:r>
        <w:rPr>
          <w:rFonts w:hint="eastAsia"/>
          <w:sz w:val="28"/>
          <w:szCs w:val="28"/>
          <w:u w:val="single"/>
          <w:lang w:val="en-US" w:eastAsia="zh-CN"/>
        </w:rPr>
        <w:t>4</w:t>
      </w:r>
      <w:r>
        <w:rPr>
          <w:rFonts w:hint="eastAsia"/>
          <w:sz w:val="28"/>
          <w:szCs w:val="28"/>
          <w:u w:val="single"/>
        </w:rPr>
        <w:t>XFCPJY</w:t>
      </w:r>
      <w:r>
        <w:rPr>
          <w:sz w:val="28"/>
          <w:szCs w:val="28"/>
          <w:u w:val="single"/>
        </w:rPr>
        <w:t xml:space="preserve">                    </w:t>
      </w:r>
    </w:p>
    <w:p>
      <w:pPr>
        <w:adjustRightInd w:val="0"/>
        <w:snapToGrid w:val="0"/>
        <w:spacing w:line="360" w:lineRule="auto"/>
        <w:rPr>
          <w:sz w:val="28"/>
          <w:szCs w:val="28"/>
        </w:rPr>
      </w:pPr>
      <w:r>
        <w:rPr>
          <w:rFonts w:hint="eastAsia"/>
          <w:sz w:val="28"/>
          <w:szCs w:val="28"/>
        </w:rPr>
        <w:t xml:space="preserve">参评人名称（盖章）：                </w:t>
      </w:r>
    </w:p>
    <w:p>
      <w:pPr>
        <w:adjustRightInd w:val="0"/>
        <w:snapToGrid w:val="0"/>
        <w:spacing w:line="360" w:lineRule="auto"/>
        <w:rPr>
          <w:sz w:val="28"/>
          <w:szCs w:val="28"/>
        </w:rPr>
      </w:pPr>
      <w:r>
        <w:rPr>
          <w:rFonts w:hint="eastAsia"/>
          <w:sz w:val="28"/>
          <w:szCs w:val="28"/>
        </w:rPr>
        <w:t>日期：     年      月     日</w:t>
      </w:r>
    </w:p>
    <w:p>
      <w:pPr>
        <w:adjustRightInd w:val="0"/>
        <w:snapToGrid w:val="0"/>
        <w:spacing w:line="360" w:lineRule="auto"/>
        <w:rPr>
          <w:sz w:val="28"/>
          <w:szCs w:val="28"/>
        </w:rPr>
      </w:pPr>
    </w:p>
    <w:p>
      <w:pPr>
        <w:pStyle w:val="7"/>
        <w:rPr>
          <w:b/>
          <w:sz w:val="28"/>
          <w:szCs w:val="28"/>
        </w:rPr>
      </w:pPr>
      <w:r>
        <w:br w:type="page"/>
      </w:r>
      <w:r>
        <w:rPr>
          <w:rFonts w:hint="eastAsia"/>
          <w:b/>
          <w:sz w:val="28"/>
          <w:szCs w:val="28"/>
        </w:rPr>
        <w:t>一、资格声明函</w:t>
      </w:r>
    </w:p>
    <w:p>
      <w:pPr>
        <w:jc w:val="center"/>
        <w:rPr>
          <w:b/>
          <w:szCs w:val="21"/>
        </w:rPr>
      </w:pPr>
      <w:r>
        <w:rPr>
          <w:rFonts w:hint="eastAsia"/>
          <w:b/>
          <w:szCs w:val="21"/>
        </w:rPr>
        <w:t>资格声明函</w:t>
      </w:r>
    </w:p>
    <w:p>
      <w:pPr>
        <w:rPr>
          <w:b/>
          <w:szCs w:val="21"/>
        </w:rPr>
      </w:pPr>
      <w:r>
        <w:rPr>
          <w:rFonts w:hint="eastAsia"/>
          <w:b/>
          <w:szCs w:val="21"/>
        </w:rPr>
        <w:t>广东省消防救援总队：</w:t>
      </w:r>
    </w:p>
    <w:p>
      <w:pPr>
        <w:snapToGrid w:val="0"/>
        <w:spacing w:before="156" w:beforeLines="50" w:line="360" w:lineRule="auto"/>
        <w:ind w:firstLine="525" w:firstLineChars="250"/>
        <w:rPr>
          <w:rFonts w:ascii="宋体" w:hAnsi="宋体"/>
          <w:bCs/>
          <w:szCs w:val="21"/>
        </w:rPr>
      </w:pPr>
      <w:r>
        <w:rPr>
          <w:rFonts w:hint="eastAsia" w:ascii="宋体" w:hAnsi="宋体"/>
          <w:szCs w:val="21"/>
        </w:rPr>
        <w:t>感谢贵单位针对</w:t>
      </w:r>
      <w:r>
        <w:rPr>
          <w:rFonts w:hint="eastAsia" w:ascii="宋体" w:hAnsi="宋体"/>
          <w:szCs w:val="21"/>
          <w:u w:val="single"/>
        </w:rPr>
        <w:t>广东省消防救援总队2024年度使用领域消防产品专项监督抽查检验购买服务项目</w:t>
      </w:r>
      <w:r>
        <w:rPr>
          <w:rFonts w:hint="eastAsia" w:ascii="宋体" w:hAnsi="宋体"/>
          <w:szCs w:val="21"/>
        </w:rPr>
        <w:t>向我单位发送遴选邀请函，本单位（企业）自愿参加评审，</w:t>
      </w:r>
      <w:r>
        <w:rPr>
          <w:rFonts w:hint="eastAsia" w:ascii="宋体" w:hAnsi="宋体"/>
          <w:bCs/>
          <w:szCs w:val="21"/>
        </w:rPr>
        <w:t>现承诺如下：</w:t>
      </w:r>
    </w:p>
    <w:p>
      <w:pPr>
        <w:snapToGrid w:val="0"/>
        <w:spacing w:before="156" w:beforeLines="50" w:line="360" w:lineRule="auto"/>
        <w:ind w:firstLine="525" w:firstLineChars="250"/>
        <w:rPr>
          <w:rFonts w:ascii="宋体" w:hAnsi="宋体"/>
          <w:szCs w:val="21"/>
        </w:rPr>
      </w:pPr>
      <w:r>
        <w:rPr>
          <w:rFonts w:hint="eastAsia" w:ascii="宋体" w:hAnsi="宋体" w:cs="宋体"/>
          <w:szCs w:val="21"/>
        </w:rPr>
        <w:t>我单位具</w:t>
      </w:r>
      <w:r>
        <w:rPr>
          <w:rFonts w:hint="eastAsia"/>
          <w:color w:val="000000"/>
          <w:szCs w:val="22"/>
        </w:rPr>
        <w:t>有独立承担民事责任能力，是在中华人民共和国境内注册的企业法人</w:t>
      </w:r>
      <w:r>
        <w:rPr>
          <w:rFonts w:hint="eastAsia" w:ascii="宋体" w:hAnsi="宋体"/>
          <w:szCs w:val="21"/>
        </w:rPr>
        <w:t>。本单位的法定代表人或单位负责人与所参投的本采购项目的其他供应商的法定代表人或单位负责人不为同一人且与其他供应商之间不存在直接控股、管理关系。</w:t>
      </w:r>
    </w:p>
    <w:p>
      <w:pPr>
        <w:snapToGrid w:val="0"/>
        <w:spacing w:line="360" w:lineRule="auto"/>
        <w:ind w:firstLine="424" w:firstLineChars="202"/>
        <w:rPr>
          <w:rFonts w:ascii="宋体" w:hAnsi="宋体"/>
          <w:szCs w:val="21"/>
        </w:rPr>
      </w:pPr>
      <w:r>
        <w:rPr>
          <w:rFonts w:hint="eastAsia" w:ascii="宋体" w:hAnsi="宋体"/>
          <w:szCs w:val="21"/>
        </w:rPr>
        <w:t>本单位</w:t>
      </w:r>
      <w:r>
        <w:rPr>
          <w:rFonts w:ascii="宋体" w:hAnsi="宋体"/>
          <w:szCs w:val="21"/>
        </w:rPr>
        <w:t>具有履行合同所必需的设备和专业技术能力</w:t>
      </w:r>
      <w:r>
        <w:rPr>
          <w:rFonts w:hint="eastAsia" w:ascii="宋体" w:hAnsi="宋体"/>
          <w:szCs w:val="21"/>
        </w:rPr>
        <w:t>，且参加采购活动前</w:t>
      </w:r>
      <w:r>
        <w:rPr>
          <w:rFonts w:ascii="宋体" w:hAnsi="宋体"/>
          <w:szCs w:val="21"/>
        </w:rPr>
        <w:t>3</w:t>
      </w:r>
      <w:r>
        <w:rPr>
          <w:rFonts w:hint="eastAsia" w:ascii="宋体" w:hAnsi="宋体"/>
          <w:szCs w:val="21"/>
        </w:rPr>
        <w:t>年内在经营活动中没有重大违法记录。否则，由此所造成的损失、不良后果及法律责任，一律由我单位承担。</w:t>
      </w:r>
    </w:p>
    <w:p>
      <w:pPr>
        <w:spacing w:line="360" w:lineRule="auto"/>
        <w:ind w:firstLine="420"/>
        <w:rPr>
          <w:rFonts w:ascii="宋体" w:hAnsi="宋体"/>
          <w:szCs w:val="21"/>
        </w:rPr>
      </w:pPr>
      <w:r>
        <w:rPr>
          <w:rFonts w:hint="eastAsia" w:ascii="宋体" w:hAnsi="宋体"/>
          <w:szCs w:val="21"/>
        </w:rPr>
        <w:t>本单位为非联合体参评。</w:t>
      </w:r>
    </w:p>
    <w:p>
      <w:pPr>
        <w:spacing w:line="360" w:lineRule="auto"/>
        <w:ind w:firstLine="420"/>
        <w:rPr>
          <w:rFonts w:ascii="宋体" w:hAnsi="宋体"/>
          <w:szCs w:val="21"/>
        </w:rPr>
      </w:pPr>
      <w:r>
        <w:rPr>
          <w:rFonts w:hint="eastAsia" w:ascii="宋体" w:hAnsi="宋体"/>
          <w:szCs w:val="21"/>
        </w:rPr>
        <w:t>本次采购活动中，如有违法、违规、弄虚作假行为，所造成的损失、不良后果及法律责任，一律由我单位承担。</w:t>
      </w:r>
    </w:p>
    <w:p>
      <w:pPr>
        <w:spacing w:line="360" w:lineRule="auto"/>
        <w:ind w:firstLine="420"/>
        <w:rPr>
          <w:rFonts w:ascii="宋体" w:hAnsi="宋体"/>
          <w:color w:val="000000"/>
          <w:szCs w:val="21"/>
          <w:lang w:eastAsia="zh-Hans"/>
        </w:rPr>
      </w:pPr>
      <w:r>
        <w:rPr>
          <w:rFonts w:hint="eastAsia" w:ascii="宋体" w:hAnsi="宋体"/>
          <w:color w:val="000000"/>
          <w:szCs w:val="21"/>
          <w:lang w:eastAsia="zh-Hans"/>
        </w:rPr>
        <w:t>本单位确认并承诺：拟就项目提供服务的团队成员三年内在经营活动中没有重大违法记录。</w:t>
      </w:r>
    </w:p>
    <w:p>
      <w:pPr>
        <w:spacing w:line="360" w:lineRule="auto"/>
        <w:ind w:left="748" w:hanging="567"/>
        <w:rPr>
          <w:rFonts w:ascii="宋体" w:hAnsi="宋体"/>
          <w:szCs w:val="21"/>
        </w:rPr>
      </w:pPr>
    </w:p>
    <w:p>
      <w:pPr>
        <w:spacing w:line="360" w:lineRule="auto"/>
        <w:ind w:left="748" w:hanging="567"/>
        <w:rPr>
          <w:rFonts w:ascii="宋体" w:hAnsi="宋体"/>
          <w:szCs w:val="21"/>
        </w:rPr>
      </w:pPr>
      <w:r>
        <w:rPr>
          <w:rFonts w:hint="eastAsia" w:ascii="宋体" w:hAnsi="宋体"/>
          <w:szCs w:val="21"/>
        </w:rPr>
        <w:t>参评人名称（并加盖公章）：</w:t>
      </w:r>
    </w:p>
    <w:p>
      <w:pPr>
        <w:spacing w:line="360" w:lineRule="auto"/>
        <w:ind w:left="748" w:hanging="567"/>
        <w:rPr>
          <w:rFonts w:ascii="宋体" w:hAnsi="宋体"/>
          <w:szCs w:val="21"/>
        </w:rPr>
      </w:pPr>
      <w:r>
        <w:rPr>
          <w:rFonts w:hint="eastAsia" w:ascii="宋体" w:hAnsi="宋体" w:cs="Arial"/>
          <w:szCs w:val="21"/>
        </w:rPr>
        <w:t>参评人法定代表人或其委托人</w:t>
      </w:r>
      <w:r>
        <w:rPr>
          <w:rFonts w:hint="eastAsia" w:ascii="宋体" w:hAnsi="宋体"/>
          <w:szCs w:val="21"/>
        </w:rPr>
        <w:t>签名或印鉴</w:t>
      </w:r>
      <w:r>
        <w:rPr>
          <w:rFonts w:hint="eastAsia" w:ascii="宋体" w:hAnsi="宋体" w:cs="Arial"/>
          <w:szCs w:val="21"/>
        </w:rPr>
        <w:t>：</w:t>
      </w:r>
      <w:r>
        <w:rPr>
          <w:rFonts w:hint="eastAsia" w:ascii="宋体" w:hAnsi="宋体"/>
          <w:szCs w:val="21"/>
        </w:rPr>
        <w:t xml:space="preserve"> </w:t>
      </w:r>
      <w:r>
        <w:rPr>
          <w:rFonts w:hint="eastAsia" w:ascii="宋体" w:hAnsi="宋体"/>
          <w:szCs w:val="21"/>
          <w:u w:val="single"/>
        </w:rPr>
        <w:t xml:space="preserve">                 </w:t>
      </w:r>
    </w:p>
    <w:p>
      <w:pPr>
        <w:spacing w:line="360" w:lineRule="auto"/>
        <w:ind w:left="748" w:hanging="567"/>
        <w:rPr>
          <w:rFonts w:ascii="宋体" w:hAnsi="宋体"/>
          <w:szCs w:val="21"/>
        </w:rPr>
      </w:pPr>
      <w:r>
        <w:rPr>
          <w:rFonts w:hint="eastAsia" w:ascii="宋体" w:hAnsi="宋体"/>
          <w:szCs w:val="21"/>
        </w:rPr>
        <w:t>日期：   年   月   日</w:t>
      </w:r>
    </w:p>
    <w:p>
      <w:pPr>
        <w:pStyle w:val="41"/>
      </w:pPr>
    </w:p>
    <w:p>
      <w:pPr>
        <w:spacing w:line="360" w:lineRule="auto"/>
        <w:rPr>
          <w:rFonts w:ascii="宋体" w:hAnsi="宋体"/>
          <w:b/>
          <w:bCs/>
          <w:szCs w:val="21"/>
        </w:rPr>
      </w:pPr>
      <w:r>
        <w:rPr>
          <w:rFonts w:hint="eastAsia" w:ascii="宋体" w:hAnsi="宋体"/>
          <w:b/>
          <w:bCs/>
          <w:szCs w:val="21"/>
        </w:rPr>
        <w:t>附件</w:t>
      </w:r>
      <w:r>
        <w:rPr>
          <w:rFonts w:hint="eastAsia" w:ascii="宋体" w:hAnsi="宋体"/>
          <w:b/>
          <w:bCs/>
          <w:szCs w:val="21"/>
          <w:lang w:eastAsia="zh-Hans"/>
        </w:rPr>
        <w:t>：</w:t>
      </w:r>
    </w:p>
    <w:p>
      <w:pPr>
        <w:spacing w:line="360" w:lineRule="auto"/>
        <w:rPr>
          <w:rFonts w:ascii="宋体" w:hAnsi="宋体" w:cs="宋体"/>
          <w:szCs w:val="21"/>
        </w:rPr>
      </w:pPr>
      <w:r>
        <w:rPr>
          <w:rFonts w:hint="eastAsia" w:ascii="宋体" w:hAnsi="宋体" w:cs="宋体"/>
          <w:szCs w:val="21"/>
        </w:rPr>
        <w:t>①提供最新的参评人营业执照（或事业单位法人证书，或社会团体法人登记证书，或执业许可证）副本复印件</w:t>
      </w:r>
      <w:r>
        <w:rPr>
          <w:rFonts w:hint="eastAsia" w:ascii="宋体" w:hAnsi="宋体" w:cs="宋体"/>
          <w:szCs w:val="21"/>
          <w:lang w:eastAsia="zh-Hans"/>
        </w:rPr>
        <w:t>（</w:t>
      </w:r>
      <w:r>
        <w:rPr>
          <w:rFonts w:hint="eastAsia" w:ascii="宋体" w:hAnsi="宋体" w:cs="宋体"/>
          <w:szCs w:val="21"/>
        </w:rPr>
        <w:t>若以不具有独立承担民事责任能力的分支机构参评，须取得具有法人资格的总公司的授权书，并提供总公司营业执照副本复印件</w:t>
      </w:r>
      <w:r>
        <w:rPr>
          <w:rFonts w:hint="eastAsia" w:ascii="宋体" w:hAnsi="宋体" w:cs="宋体"/>
          <w:szCs w:val="21"/>
          <w:lang w:eastAsia="zh-Hans"/>
        </w:rPr>
        <w:t>）。</w:t>
      </w:r>
    </w:p>
    <w:p>
      <w:pPr>
        <w:spacing w:line="360" w:lineRule="auto"/>
        <w:rPr>
          <w:rFonts w:cs="宋体"/>
          <w:szCs w:val="21"/>
        </w:rPr>
      </w:pPr>
      <w:r>
        <w:rPr>
          <w:rFonts w:hint="eastAsia" w:cs="宋体"/>
          <w:szCs w:val="21"/>
          <w:lang w:eastAsia="zh-Hans"/>
        </w:rPr>
        <w:t>②</w:t>
      </w:r>
      <w:r>
        <w:rPr>
          <w:rFonts w:hint="eastAsia" w:cs="宋体"/>
          <w:szCs w:val="21"/>
        </w:rPr>
        <w:t>参评人认为必要的其他材料。</w:t>
      </w:r>
    </w:p>
    <w:p>
      <w:pPr>
        <w:widowControl/>
        <w:spacing w:line="360" w:lineRule="auto"/>
        <w:jc w:val="left"/>
        <w:rPr>
          <w:rFonts w:ascii="宋体" w:hAnsi="宋体"/>
          <w:b/>
          <w:sz w:val="28"/>
          <w:szCs w:val="28"/>
        </w:rPr>
      </w:pPr>
      <w:r>
        <w:rPr>
          <w:szCs w:val="21"/>
        </w:rPr>
        <w:br w:type="page"/>
      </w:r>
      <w:r>
        <w:rPr>
          <w:rFonts w:hint="eastAsia" w:ascii="宋体" w:hAnsi="宋体" w:cs="宋体"/>
          <w:b/>
          <w:kern w:val="0"/>
          <w:sz w:val="28"/>
          <w:szCs w:val="28"/>
        </w:rPr>
        <w:t>二、参评函</w:t>
      </w:r>
      <w:bookmarkEnd w:id="16"/>
      <w:bookmarkEnd w:id="17"/>
    </w:p>
    <w:p>
      <w:pPr>
        <w:pStyle w:val="12"/>
        <w:spacing w:line="360" w:lineRule="auto"/>
        <w:jc w:val="center"/>
        <w:rPr>
          <w:rFonts w:hAnsi="宋体"/>
          <w:b/>
          <w:szCs w:val="21"/>
        </w:rPr>
      </w:pPr>
      <w:r>
        <w:rPr>
          <w:rFonts w:hint="eastAsia" w:hAnsi="宋体"/>
          <w:b/>
          <w:szCs w:val="21"/>
        </w:rPr>
        <w:t>参评函</w:t>
      </w:r>
    </w:p>
    <w:p>
      <w:pPr>
        <w:spacing w:line="440" w:lineRule="exact"/>
        <w:ind w:left="748" w:hanging="567"/>
        <w:rPr>
          <w:rFonts w:ascii="宋体" w:hAnsi="宋体"/>
          <w:szCs w:val="21"/>
        </w:rPr>
      </w:pPr>
      <w:bookmarkStart w:id="20" w:name="_Toc72860202"/>
      <w:r>
        <w:rPr>
          <w:rFonts w:hint="eastAsia" w:ascii="宋体" w:hAnsi="宋体"/>
          <w:szCs w:val="21"/>
        </w:rPr>
        <w:t>致：</w:t>
      </w:r>
      <w:bookmarkEnd w:id="20"/>
      <w:r>
        <w:rPr>
          <w:rFonts w:hint="eastAsia" w:ascii="宋体" w:hAnsi="宋体"/>
          <w:szCs w:val="21"/>
        </w:rPr>
        <w:t>广东省消防救援总队</w:t>
      </w:r>
    </w:p>
    <w:p>
      <w:pPr>
        <w:spacing w:line="440" w:lineRule="exact"/>
        <w:ind w:firstLine="500" w:firstLineChars="200"/>
        <w:rPr>
          <w:rFonts w:ascii="宋体" w:hAnsi="宋体"/>
          <w:szCs w:val="21"/>
        </w:rPr>
      </w:pPr>
      <w:r>
        <w:rPr>
          <w:rFonts w:hint="eastAsia" w:ascii="宋体" w:hAnsi="宋体"/>
          <w:spacing w:val="20"/>
          <w:szCs w:val="21"/>
        </w:rPr>
        <w:t>根据贵方</w:t>
      </w:r>
      <w:r>
        <w:rPr>
          <w:rFonts w:hint="eastAsia" w:ascii="宋体" w:hAnsi="宋体"/>
          <w:szCs w:val="21"/>
          <w:u w:val="single"/>
        </w:rPr>
        <w:t>广东省消防救援总队2024年度使用领域消防产品专项监督抽查检验购买服务项目</w:t>
      </w:r>
      <w:r>
        <w:rPr>
          <w:rFonts w:hint="eastAsia" w:ascii="宋体" w:hAnsi="宋体"/>
          <w:spacing w:val="20"/>
          <w:szCs w:val="21"/>
        </w:rPr>
        <w:t>（项目编号：</w:t>
      </w:r>
      <w:r>
        <w:rPr>
          <w:rFonts w:ascii="宋体" w:hAnsi="宋体"/>
          <w:spacing w:val="20"/>
          <w:szCs w:val="21"/>
          <w:u w:val="single"/>
        </w:rPr>
        <w:t xml:space="preserve"> </w:t>
      </w:r>
      <w:r>
        <w:rPr>
          <w:rFonts w:hint="eastAsia" w:ascii="宋体" w:hAnsi="宋体"/>
          <w:spacing w:val="0"/>
          <w:szCs w:val="21"/>
          <w:u w:val="single"/>
        </w:rPr>
        <w:t>GDXF202</w:t>
      </w:r>
      <w:r>
        <w:rPr>
          <w:rFonts w:hint="eastAsia" w:ascii="宋体" w:hAnsi="宋体"/>
          <w:spacing w:val="0"/>
          <w:szCs w:val="21"/>
          <w:u w:val="single"/>
          <w:lang w:val="en-US" w:eastAsia="zh-CN"/>
        </w:rPr>
        <w:t>4</w:t>
      </w:r>
      <w:r>
        <w:rPr>
          <w:rFonts w:hint="eastAsia" w:ascii="宋体" w:hAnsi="宋体"/>
          <w:spacing w:val="0"/>
          <w:szCs w:val="21"/>
          <w:u w:val="single"/>
        </w:rPr>
        <w:t>XFCPJY</w:t>
      </w:r>
      <w:r>
        <w:rPr>
          <w:rFonts w:ascii="宋体" w:hAnsi="宋体"/>
          <w:spacing w:val="20"/>
          <w:szCs w:val="21"/>
          <w:u w:val="single"/>
        </w:rPr>
        <w:t xml:space="preserve"> </w:t>
      </w:r>
      <w:r>
        <w:rPr>
          <w:rFonts w:hint="eastAsia" w:ascii="宋体" w:hAnsi="宋体"/>
          <w:color w:val="000000"/>
          <w:spacing w:val="20"/>
          <w:szCs w:val="21"/>
        </w:rPr>
        <w:t>）</w:t>
      </w:r>
      <w:r>
        <w:rPr>
          <w:rFonts w:hint="eastAsia" w:ascii="宋体" w:hAnsi="宋体"/>
          <w:spacing w:val="20"/>
          <w:szCs w:val="21"/>
        </w:rPr>
        <w:t>的采购公告，</w:t>
      </w:r>
      <w:r>
        <w:rPr>
          <w:rFonts w:hint="eastAsia" w:ascii="宋体" w:hAnsi="宋体"/>
          <w:szCs w:val="21"/>
        </w:rPr>
        <w:t>本人代表参评人</w:t>
      </w:r>
      <w:r>
        <w:rPr>
          <w:rFonts w:ascii="宋体" w:hAnsi="宋体"/>
          <w:szCs w:val="21"/>
          <w:u w:val="single"/>
          <w:lang w:eastAsia="zh-Hans"/>
        </w:rPr>
        <w:t xml:space="preserve">                  </w:t>
      </w:r>
      <w:r>
        <w:rPr>
          <w:rFonts w:hint="eastAsia" w:ascii="宋体" w:hAnsi="宋体"/>
          <w:szCs w:val="21"/>
        </w:rPr>
        <w:t>参加评审，并提交参评文件。</w:t>
      </w:r>
    </w:p>
    <w:p>
      <w:pPr>
        <w:spacing w:line="440" w:lineRule="exact"/>
        <w:ind w:firstLine="420" w:firstLineChars="200"/>
        <w:rPr>
          <w:rFonts w:ascii="宋体" w:hAnsi="宋体"/>
          <w:szCs w:val="21"/>
        </w:rPr>
      </w:pPr>
      <w:r>
        <w:rPr>
          <w:rFonts w:hint="eastAsia" w:ascii="宋体" w:hAnsi="宋体"/>
          <w:szCs w:val="21"/>
        </w:rPr>
        <w:t>据此函，本人宣布同意如下：</w:t>
      </w:r>
    </w:p>
    <w:p>
      <w:pPr>
        <w:numPr>
          <w:ilvl w:val="0"/>
          <w:numId w:val="10"/>
        </w:numPr>
        <w:tabs>
          <w:tab w:val="left" w:pos="0"/>
          <w:tab w:val="clear" w:pos="1260"/>
        </w:tabs>
        <w:spacing w:line="440" w:lineRule="exact"/>
        <w:ind w:left="0" w:firstLine="540"/>
        <w:rPr>
          <w:rFonts w:ascii="宋体" w:hAnsi="宋体"/>
          <w:szCs w:val="21"/>
        </w:rPr>
      </w:pPr>
      <w:r>
        <w:rPr>
          <w:rFonts w:hint="eastAsia" w:ascii="宋体" w:hAnsi="宋体"/>
          <w:szCs w:val="21"/>
        </w:rPr>
        <w:t>我方郑重承诺：我方将全部满足遴选文件中的各项实质性要求，如果发现参评文件中另有与遴选文件中不一致的响应或没有响应，我方同意采购人有权要求我方按照遴选文件的要求提供货物或服务。我方并同意按照遴选文件的规定履行合同责任和义务。我方参评总报价包含采购需求说明的所有产品功能和服务内容，漏报的单价或每单价报价中漏报、少报的费用，视为此项费用已隐含在参评总报价中，成交后不再向采购人收取任何费用。</w:t>
      </w:r>
    </w:p>
    <w:p>
      <w:pPr>
        <w:numPr>
          <w:ilvl w:val="0"/>
          <w:numId w:val="10"/>
        </w:numPr>
        <w:tabs>
          <w:tab w:val="left" w:pos="0"/>
          <w:tab w:val="clear" w:pos="1260"/>
        </w:tabs>
        <w:spacing w:line="440" w:lineRule="exact"/>
        <w:ind w:left="0" w:firstLine="540"/>
        <w:rPr>
          <w:rFonts w:ascii="宋体" w:hAnsi="宋体"/>
          <w:szCs w:val="21"/>
        </w:rPr>
      </w:pPr>
      <w:r>
        <w:rPr>
          <w:rFonts w:hint="eastAsia" w:ascii="宋体" w:hAnsi="宋体"/>
          <w:szCs w:val="21"/>
        </w:rPr>
        <w:t>我方已详细审查全部遴选文件内容，包括澄清、延期、更正文件（如有的话）以及全部参考资料和有关附件。我们完全理解遴选文件要求并同意放弃对这方面有不明及误解的权利。</w:t>
      </w:r>
    </w:p>
    <w:p>
      <w:pPr>
        <w:numPr>
          <w:ilvl w:val="0"/>
          <w:numId w:val="10"/>
        </w:numPr>
        <w:tabs>
          <w:tab w:val="left" w:pos="0"/>
          <w:tab w:val="clear" w:pos="1260"/>
        </w:tabs>
        <w:spacing w:line="440" w:lineRule="exact"/>
        <w:ind w:left="0" w:firstLine="540"/>
        <w:rPr>
          <w:rFonts w:ascii="宋体" w:hAnsi="宋体"/>
          <w:szCs w:val="21"/>
        </w:rPr>
      </w:pPr>
      <w:r>
        <w:rPr>
          <w:rFonts w:hint="eastAsia" w:ascii="宋体" w:hAnsi="宋体"/>
          <w:szCs w:val="21"/>
        </w:rPr>
        <w:t>我方同意本项目参评有效期为自评选截止之日起90日，如我方获成交，同意评选有效期自动延长至合同终止为止。</w:t>
      </w:r>
    </w:p>
    <w:p>
      <w:pPr>
        <w:numPr>
          <w:ilvl w:val="0"/>
          <w:numId w:val="10"/>
        </w:numPr>
        <w:tabs>
          <w:tab w:val="left" w:pos="0"/>
          <w:tab w:val="clear" w:pos="1260"/>
        </w:tabs>
        <w:spacing w:line="440" w:lineRule="exact"/>
        <w:ind w:left="0" w:firstLine="540"/>
        <w:rPr>
          <w:rFonts w:ascii="宋体" w:hAnsi="宋体"/>
          <w:szCs w:val="21"/>
        </w:rPr>
      </w:pPr>
      <w:r>
        <w:rPr>
          <w:rFonts w:hint="eastAsia" w:ascii="宋体" w:hAnsi="宋体"/>
          <w:szCs w:val="21"/>
        </w:rPr>
        <w:t>我方同意提供按照贵方可能要求的与我方</w:t>
      </w:r>
      <w:r>
        <w:rPr>
          <w:rFonts w:hint="eastAsia" w:ascii="宋体" w:hAnsi="宋体" w:cs="宋体"/>
          <w:szCs w:val="21"/>
        </w:rPr>
        <w:t>参评</w:t>
      </w:r>
      <w:r>
        <w:rPr>
          <w:rFonts w:hint="eastAsia" w:ascii="宋体" w:hAnsi="宋体"/>
          <w:szCs w:val="21"/>
        </w:rPr>
        <w:t>有关的一切数据或资料，理解贵方不一定接受最低价的参评。我方提交的一切文件，无论是原件还是复印件均为准确、真实、有效、完整的，绝无任何虚假、伪造或者夸大。</w:t>
      </w:r>
    </w:p>
    <w:p>
      <w:pPr>
        <w:numPr>
          <w:ilvl w:val="0"/>
          <w:numId w:val="10"/>
        </w:numPr>
        <w:tabs>
          <w:tab w:val="left" w:pos="0"/>
          <w:tab w:val="clear" w:pos="1260"/>
        </w:tabs>
        <w:spacing w:line="440" w:lineRule="exact"/>
        <w:ind w:left="0" w:firstLine="540"/>
        <w:rPr>
          <w:rFonts w:ascii="宋体" w:hAnsi="宋体"/>
          <w:szCs w:val="21"/>
        </w:rPr>
      </w:pPr>
      <w:r>
        <w:rPr>
          <w:rFonts w:hint="eastAsia" w:ascii="宋体" w:hAnsi="宋体"/>
          <w:szCs w:val="21"/>
          <w:u w:val="single"/>
        </w:rPr>
        <w:t xml:space="preserve">          </w:t>
      </w:r>
      <w:r>
        <w:rPr>
          <w:rFonts w:hint="eastAsia" w:ascii="宋体" w:hAnsi="宋体"/>
          <w:szCs w:val="21"/>
        </w:rPr>
        <w:t>同志，现任我单位法定代表人</w:t>
      </w:r>
      <w:r>
        <w:rPr>
          <w:rFonts w:hint="eastAsia" w:ascii="宋体" w:hAnsi="宋体"/>
          <w:szCs w:val="21"/>
          <w:lang w:eastAsia="zh-Hans"/>
        </w:rPr>
        <w:t>。</w:t>
      </w:r>
    </w:p>
    <w:p>
      <w:pPr>
        <w:numPr>
          <w:ilvl w:val="0"/>
          <w:numId w:val="10"/>
        </w:numPr>
        <w:tabs>
          <w:tab w:val="left" w:pos="0"/>
          <w:tab w:val="clear" w:pos="1260"/>
        </w:tabs>
        <w:spacing w:line="440" w:lineRule="exact"/>
        <w:ind w:left="0" w:firstLine="540"/>
        <w:rPr>
          <w:rFonts w:ascii="宋体" w:hAnsi="宋体"/>
          <w:szCs w:val="21"/>
        </w:rPr>
      </w:pPr>
      <w:r>
        <w:rPr>
          <w:rFonts w:hint="eastAsia" w:ascii="宋体" w:hAnsi="宋体"/>
          <w:szCs w:val="21"/>
          <w:lang w:eastAsia="zh-Hans"/>
        </w:rPr>
        <w:t>我方</w:t>
      </w: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同志，为我方签订经济合同及办理其他事务代理人，其权限是：全权代表本公司／单位参与上述采购项目的参评，负责提供与签署确认一切文书资料，以及向贵方递交的任何补充承诺。</w:t>
      </w:r>
    </w:p>
    <w:p>
      <w:pPr>
        <w:numPr>
          <w:ilvl w:val="0"/>
          <w:numId w:val="10"/>
        </w:numPr>
        <w:tabs>
          <w:tab w:val="left" w:pos="0"/>
          <w:tab w:val="clear" w:pos="1260"/>
        </w:tabs>
        <w:spacing w:line="440" w:lineRule="exact"/>
        <w:ind w:left="0" w:firstLine="540"/>
        <w:rPr>
          <w:rFonts w:ascii="宋体" w:hAnsi="宋体"/>
          <w:szCs w:val="21"/>
        </w:rPr>
      </w:pPr>
      <w:r>
        <w:rPr>
          <w:rFonts w:hint="eastAsia" w:ascii="宋体" w:hAnsi="宋体"/>
          <w:szCs w:val="21"/>
        </w:rPr>
        <w:t>与本评选有关的一切正式往来通讯请寄：</w:t>
      </w:r>
    </w:p>
    <w:p>
      <w:pPr>
        <w:tabs>
          <w:tab w:val="left" w:pos="900"/>
          <w:tab w:val="left" w:pos="5245"/>
        </w:tabs>
        <w:spacing w:line="440" w:lineRule="exact"/>
        <w:ind w:left="540"/>
        <w:rPr>
          <w:rFonts w:ascii="宋体" w:hAnsi="宋体"/>
          <w:szCs w:val="21"/>
        </w:rPr>
      </w:pPr>
      <w:r>
        <w:rPr>
          <w:rFonts w:hint="eastAsia" w:ascii="宋体" w:hAnsi="宋体"/>
          <w:szCs w:val="21"/>
        </w:rPr>
        <w:t>地址：</w:t>
      </w:r>
      <w:r>
        <w:rPr>
          <w:rFonts w:hint="eastAsia" w:ascii="宋体" w:hAnsi="宋体"/>
          <w:szCs w:val="21"/>
        </w:rPr>
        <w:tab/>
      </w:r>
      <w:r>
        <w:rPr>
          <w:rFonts w:hint="eastAsia" w:ascii="宋体" w:hAnsi="宋体"/>
          <w:szCs w:val="21"/>
        </w:rPr>
        <w:t>电话：</w:t>
      </w:r>
    </w:p>
    <w:p>
      <w:pPr>
        <w:tabs>
          <w:tab w:val="left" w:pos="900"/>
        </w:tabs>
        <w:spacing w:line="440" w:lineRule="exact"/>
        <w:ind w:left="540"/>
        <w:rPr>
          <w:rFonts w:ascii="宋体" w:hAnsi="宋体"/>
          <w:szCs w:val="21"/>
        </w:rPr>
      </w:pPr>
    </w:p>
    <w:p>
      <w:pPr>
        <w:tabs>
          <w:tab w:val="left" w:pos="900"/>
        </w:tabs>
        <w:spacing w:line="440" w:lineRule="exact"/>
        <w:ind w:left="540"/>
        <w:rPr>
          <w:rFonts w:ascii="宋体" w:hAnsi="宋体"/>
          <w:szCs w:val="21"/>
        </w:rPr>
      </w:pPr>
      <w:r>
        <w:rPr>
          <w:rFonts w:hint="eastAsia" w:ascii="宋体" w:hAnsi="宋体"/>
          <w:szCs w:val="21"/>
        </w:rPr>
        <w:t>参评人名称（公章）：</w:t>
      </w:r>
    </w:p>
    <w:p>
      <w:pPr>
        <w:tabs>
          <w:tab w:val="left" w:pos="900"/>
        </w:tabs>
        <w:spacing w:line="440" w:lineRule="exact"/>
        <w:ind w:left="540"/>
        <w:rPr>
          <w:rFonts w:ascii="宋体" w:hAnsi="宋体"/>
          <w:szCs w:val="21"/>
        </w:rPr>
      </w:pPr>
      <w:r>
        <w:rPr>
          <w:rFonts w:hint="eastAsia" w:ascii="宋体" w:hAnsi="宋体"/>
          <w:szCs w:val="21"/>
        </w:rPr>
        <w:t>参评人法定代表人签名或印鉴</w:t>
      </w:r>
      <w:r>
        <w:rPr>
          <w:rFonts w:hint="eastAsia" w:ascii="宋体" w:hAnsi="宋体"/>
          <w:szCs w:val="21"/>
          <w:lang w:eastAsia="zh-Hans"/>
        </w:rPr>
        <w:t>：</w:t>
      </w:r>
    </w:p>
    <w:p>
      <w:pPr>
        <w:tabs>
          <w:tab w:val="left" w:pos="900"/>
        </w:tabs>
        <w:spacing w:line="440" w:lineRule="exact"/>
        <w:ind w:left="540"/>
        <w:rPr>
          <w:rFonts w:ascii="宋体" w:hAnsi="宋体"/>
          <w:szCs w:val="21"/>
        </w:rPr>
      </w:pPr>
      <w:r>
        <w:rPr>
          <w:rFonts w:hint="eastAsia" w:ascii="宋体" w:hAnsi="宋体"/>
          <w:szCs w:val="21"/>
          <w:lang w:eastAsia="zh-Hans"/>
        </w:rPr>
        <w:t>参评人</w:t>
      </w:r>
      <w:r>
        <w:rPr>
          <w:rFonts w:hint="eastAsia" w:ascii="宋体" w:hAnsi="宋体"/>
          <w:szCs w:val="21"/>
        </w:rPr>
        <w:t>委托人</w:t>
      </w:r>
      <w:r>
        <w:rPr>
          <w:rFonts w:hint="eastAsia" w:ascii="宋体" w:hAnsi="宋体"/>
          <w:szCs w:val="21"/>
          <w:lang w:eastAsia="zh-Hans"/>
        </w:rPr>
        <w:t>（代表）</w:t>
      </w:r>
      <w:r>
        <w:rPr>
          <w:rFonts w:hint="eastAsia" w:ascii="宋体" w:hAnsi="宋体"/>
          <w:szCs w:val="21"/>
        </w:rPr>
        <w:t>签名或印鉴：</w:t>
      </w:r>
    </w:p>
    <w:p>
      <w:pPr>
        <w:widowControl w:val="0"/>
        <w:tabs>
          <w:tab w:val="left" w:pos="900"/>
        </w:tabs>
        <w:spacing w:line="440" w:lineRule="exact"/>
        <w:ind w:left="540"/>
        <w:jc w:val="both"/>
        <w:rPr>
          <w:rFonts w:ascii="宋体" w:hAnsi="宋体"/>
          <w:b/>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spacing w:line="360" w:lineRule="auto"/>
        <w:jc w:val="left"/>
        <w:rPr>
          <w:rFonts w:ascii="宋体" w:hAnsi="宋体" w:cs="Arial"/>
          <w:b/>
          <w:sz w:val="28"/>
          <w:szCs w:val="28"/>
        </w:rPr>
      </w:pPr>
      <w:r>
        <w:rPr>
          <w:rFonts w:ascii="宋体" w:hAnsi="宋体"/>
          <w:szCs w:val="21"/>
        </w:rPr>
        <w:br w:type="page"/>
      </w:r>
      <w:bookmarkEnd w:id="18"/>
      <w:bookmarkEnd w:id="19"/>
      <w:r>
        <w:rPr>
          <w:rFonts w:hint="eastAsia" w:ascii="宋体" w:hAnsi="宋体"/>
          <w:b/>
          <w:sz w:val="28"/>
          <w:szCs w:val="28"/>
          <w:lang w:eastAsia="zh-Hans"/>
        </w:rPr>
        <w:t>三</w:t>
      </w:r>
      <w:r>
        <w:rPr>
          <w:rFonts w:hint="eastAsia" w:ascii="宋体" w:hAnsi="宋体"/>
          <w:b/>
          <w:sz w:val="28"/>
          <w:szCs w:val="28"/>
        </w:rPr>
        <w:t>、</w:t>
      </w:r>
      <w:r>
        <w:rPr>
          <w:rFonts w:hint="eastAsia" w:ascii="宋体" w:hAnsi="宋体" w:cs="Arial"/>
          <w:b/>
          <w:sz w:val="28"/>
          <w:szCs w:val="28"/>
        </w:rPr>
        <w:t>参评报价表格式</w:t>
      </w:r>
    </w:p>
    <w:p>
      <w:pPr>
        <w:spacing w:before="62" w:beforeLines="20" w:line="360" w:lineRule="auto"/>
        <w:jc w:val="center"/>
        <w:rPr>
          <w:rFonts w:ascii="宋体" w:hAnsi="宋体" w:eastAsia="Times New Roman"/>
          <w:b/>
          <w:szCs w:val="21"/>
          <w:lang w:eastAsia="zh-Hans"/>
        </w:rPr>
      </w:pPr>
      <w:r>
        <w:rPr>
          <w:rFonts w:hint="eastAsia" w:ascii="宋体" w:hAnsi="宋体"/>
          <w:b/>
          <w:szCs w:val="21"/>
          <w:lang w:eastAsia="zh-Hans"/>
        </w:rPr>
        <w:t>参评报价表</w:t>
      </w:r>
    </w:p>
    <w:p>
      <w:pPr>
        <w:spacing w:before="156" w:beforeLines="50" w:after="156" w:afterLines="50" w:line="360" w:lineRule="auto"/>
        <w:ind w:left="158" w:leftChars="75"/>
        <w:rPr>
          <w:rFonts w:ascii="宋体" w:hAnsi="宋体" w:cs="Arial"/>
          <w:szCs w:val="21"/>
        </w:rPr>
      </w:pPr>
      <w:r>
        <w:rPr>
          <w:rFonts w:hint="eastAsia" w:ascii="宋体" w:hAnsi="宋体" w:cs="Arial"/>
          <w:szCs w:val="21"/>
        </w:rPr>
        <w:t>项目编号：</w:t>
      </w:r>
    </w:p>
    <w:tbl>
      <w:tblPr>
        <w:tblStyle w:val="25"/>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4845"/>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54" w:type="dxa"/>
            <w:shd w:val="clear" w:color="auto" w:fill="EAEAE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kern w:val="0"/>
                <w:szCs w:val="21"/>
              </w:rPr>
            </w:pPr>
            <w:r>
              <w:rPr>
                <w:rFonts w:hint="eastAsia" w:ascii="宋体" w:hAnsi="宋体" w:cs="宋体"/>
                <w:b/>
                <w:kern w:val="0"/>
                <w:szCs w:val="21"/>
              </w:rPr>
              <w:t>项目名称</w:t>
            </w:r>
          </w:p>
        </w:tc>
        <w:tc>
          <w:tcPr>
            <w:tcW w:w="4845" w:type="dxa"/>
            <w:shd w:val="clear" w:color="auto" w:fill="EAEAE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kern w:val="0"/>
                <w:szCs w:val="21"/>
              </w:rPr>
            </w:pPr>
            <w:r>
              <w:rPr>
                <w:rFonts w:hint="eastAsia" w:ascii="宋体" w:hAnsi="宋体" w:cs="宋体"/>
                <w:b/>
                <w:kern w:val="0"/>
                <w:szCs w:val="21"/>
              </w:rPr>
              <w:t>参评总价（元）</w:t>
            </w:r>
          </w:p>
        </w:tc>
        <w:tc>
          <w:tcPr>
            <w:tcW w:w="2480" w:type="dxa"/>
            <w:shd w:val="clear" w:color="auto" w:fill="EAEAE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kern w:val="0"/>
                <w:szCs w:val="21"/>
              </w:rPr>
            </w:pPr>
            <w:r>
              <w:rPr>
                <w:rFonts w:hint="eastAsia" w:ascii="宋体" w:hAnsi="宋体" w:cs="宋体"/>
                <w:b/>
                <w:kern w:val="0"/>
                <w:szCs w:val="21"/>
              </w:rPr>
              <w:t>合同</w:t>
            </w:r>
            <w:r>
              <w:rPr>
                <w:rFonts w:hint="eastAsia" w:ascii="宋体" w:hAnsi="宋体" w:cs="宋体"/>
                <w:b/>
                <w:kern w:val="0"/>
                <w:szCs w:val="21"/>
                <w:lang w:eastAsia="zh-Hans"/>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2054"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kern w:val="0"/>
                <w:szCs w:val="21"/>
              </w:rPr>
            </w:pPr>
            <w:r>
              <w:rPr>
                <w:rFonts w:hint="eastAsia" w:ascii="宋体" w:hAnsi="宋体" w:cs="宋体"/>
                <w:kern w:val="0"/>
                <w:szCs w:val="21"/>
              </w:rPr>
              <w:t>广东省消防救援总队2024年度使用领域消防产品专项监督抽查检验购买服务项目</w:t>
            </w:r>
          </w:p>
        </w:tc>
        <w:tc>
          <w:tcPr>
            <w:tcW w:w="4845"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kern w:val="0"/>
                <w:szCs w:val="21"/>
              </w:rPr>
            </w:pPr>
            <w:r>
              <w:rPr>
                <w:rFonts w:hint="eastAsia" w:ascii="宋体" w:hAnsi="宋体" w:cs="宋体"/>
                <w:bCs/>
                <w:kern w:val="0"/>
                <w:szCs w:val="21"/>
              </w:rPr>
              <w:t>大写：人民币</w:t>
            </w:r>
            <w:r>
              <w:rPr>
                <w:rFonts w:hint="eastAsia" w:ascii="宋体" w:hAnsi="宋体" w:cs="宋体"/>
                <w:bCs/>
                <w:kern w:val="0"/>
                <w:szCs w:val="21"/>
                <w:u w:val="single"/>
              </w:rPr>
              <w:t xml:space="preserve">             </w:t>
            </w:r>
            <w:r>
              <w:rPr>
                <w:rFonts w:hint="eastAsia" w:ascii="宋体" w:hAnsi="宋体" w:cs="宋体"/>
                <w:bCs/>
                <w:kern w:val="0"/>
                <w:szCs w:val="21"/>
              </w:rPr>
              <w:t>元整</w:t>
            </w:r>
          </w:p>
        </w:tc>
        <w:tc>
          <w:tcPr>
            <w:tcW w:w="2480"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kern w:val="0"/>
                <w:szCs w:val="21"/>
              </w:rPr>
            </w:pPr>
            <w:r>
              <w:rPr>
                <w:rFonts w:hint="eastAsia" w:ascii="宋体" w:hAnsi="宋体" w:cs="宋体"/>
                <w:kern w:val="0"/>
                <w:szCs w:val="21"/>
              </w:rPr>
              <w:t xml:space="preserve">合同生效之日起至       </w:t>
            </w:r>
            <w:r>
              <w:rPr>
                <w:rFonts w:hint="default" w:ascii="宋体" w:hAnsi="宋体" w:cs="宋体"/>
                <w:kern w:val="0"/>
                <w:szCs w:val="21"/>
              </w:rPr>
              <w:t>90</w:t>
            </w:r>
            <w:r>
              <w:rPr>
                <w:rFonts w:hint="eastAsia" w:ascii="宋体" w:hAnsi="宋体" w:cs="宋体"/>
                <w:kern w:val="0"/>
                <w:szCs w:val="21"/>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54"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kern w:val="0"/>
                <w:szCs w:val="21"/>
              </w:rPr>
            </w:pPr>
          </w:p>
        </w:tc>
        <w:tc>
          <w:tcPr>
            <w:tcW w:w="4845" w:type="dxa"/>
            <w:noWrap w:val="0"/>
            <w:vAlign w:val="center"/>
          </w:tcPr>
          <w:p>
            <w:pPr>
              <w:keepNext w:val="0"/>
              <w:keepLines w:val="0"/>
              <w:suppressLineNumbers w:val="0"/>
              <w:spacing w:before="0" w:beforeAutospacing="0" w:after="0" w:afterAutospacing="0" w:line="360" w:lineRule="auto"/>
              <w:ind w:left="0" w:right="0" w:firstLine="105" w:firstLineChars="50"/>
              <w:jc w:val="left"/>
              <w:rPr>
                <w:rFonts w:hint="default" w:ascii="宋体" w:hAnsi="宋体" w:cs="宋体"/>
                <w:kern w:val="0"/>
                <w:szCs w:val="21"/>
              </w:rPr>
            </w:pPr>
            <w:r>
              <w:rPr>
                <w:rFonts w:hint="eastAsia" w:ascii="宋体" w:hAnsi="宋体" w:cs="宋体"/>
                <w:bCs/>
                <w:kern w:val="0"/>
                <w:szCs w:val="21"/>
              </w:rPr>
              <w:t>小写：¥</w:t>
            </w:r>
            <w:r>
              <w:rPr>
                <w:rFonts w:hint="eastAsia" w:ascii="宋体" w:hAnsi="宋体" w:cs="宋体"/>
                <w:bCs/>
                <w:kern w:val="0"/>
                <w:szCs w:val="21"/>
                <w:u w:val="single"/>
              </w:rPr>
              <w:t xml:space="preserve">                     </w:t>
            </w:r>
            <w:r>
              <w:rPr>
                <w:rFonts w:hint="default" w:ascii="宋体" w:hAnsi="宋体" w:cs="宋体"/>
                <w:bCs/>
                <w:kern w:val="0"/>
                <w:szCs w:val="21"/>
                <w:u w:val="single"/>
              </w:rPr>
              <w:t xml:space="preserve">    </w:t>
            </w:r>
            <w:r>
              <w:rPr>
                <w:rFonts w:hint="eastAsia" w:ascii="宋体" w:hAnsi="宋体" w:cs="宋体"/>
                <w:bCs/>
                <w:kern w:val="0"/>
                <w:szCs w:val="21"/>
                <w:u w:val="single"/>
              </w:rPr>
              <w:t xml:space="preserve">      </w:t>
            </w:r>
          </w:p>
        </w:tc>
        <w:tc>
          <w:tcPr>
            <w:tcW w:w="248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kern w:val="0"/>
                <w:szCs w:val="21"/>
              </w:rPr>
            </w:pPr>
          </w:p>
        </w:tc>
      </w:tr>
    </w:tbl>
    <w:p>
      <w:pPr>
        <w:pStyle w:val="12"/>
        <w:snapToGrid w:val="0"/>
        <w:ind w:right="120" w:rightChars="57"/>
        <w:jc w:val="left"/>
        <w:rPr>
          <w:rFonts w:hAnsi="宋体" w:cs="Arial"/>
        </w:rPr>
      </w:pPr>
    </w:p>
    <w:p>
      <w:pPr>
        <w:spacing w:line="360" w:lineRule="auto"/>
        <w:rPr>
          <w:rFonts w:ascii="宋体" w:hAnsi="宋体"/>
          <w:szCs w:val="21"/>
        </w:rPr>
      </w:pPr>
    </w:p>
    <w:p>
      <w:pPr>
        <w:spacing w:line="360" w:lineRule="auto"/>
        <w:ind w:left="748" w:hanging="567"/>
        <w:rPr>
          <w:rFonts w:ascii="宋体" w:hAnsi="宋体"/>
          <w:szCs w:val="21"/>
        </w:rPr>
      </w:pPr>
      <w:r>
        <w:rPr>
          <w:rFonts w:hint="eastAsia" w:ascii="宋体" w:hAnsi="宋体"/>
          <w:szCs w:val="21"/>
        </w:rPr>
        <w:t>参评人名称（并加盖公章）：</w:t>
      </w:r>
    </w:p>
    <w:p>
      <w:pPr>
        <w:spacing w:line="360" w:lineRule="auto"/>
        <w:ind w:left="748" w:hanging="567"/>
        <w:rPr>
          <w:rFonts w:ascii="宋体" w:hAnsi="宋体"/>
          <w:szCs w:val="21"/>
        </w:rPr>
      </w:pPr>
      <w:r>
        <w:rPr>
          <w:rFonts w:hint="eastAsia" w:ascii="宋体" w:hAnsi="宋体" w:cs="Arial"/>
          <w:szCs w:val="21"/>
        </w:rPr>
        <w:t>参评人法定代表人或其委托人</w:t>
      </w:r>
      <w:r>
        <w:rPr>
          <w:rFonts w:hint="eastAsia" w:ascii="宋体" w:hAnsi="宋体"/>
          <w:szCs w:val="21"/>
        </w:rPr>
        <w:t>签名或印鉴</w:t>
      </w:r>
      <w:r>
        <w:rPr>
          <w:rFonts w:hint="eastAsia" w:ascii="宋体" w:hAnsi="宋体" w:cs="Arial"/>
          <w:szCs w:val="21"/>
        </w:rPr>
        <w:t>：</w:t>
      </w:r>
      <w:r>
        <w:rPr>
          <w:rFonts w:hint="eastAsia" w:ascii="宋体" w:hAnsi="宋体"/>
          <w:szCs w:val="21"/>
          <w:u w:val="single"/>
        </w:rPr>
        <w:t xml:space="preserve">                 </w:t>
      </w:r>
    </w:p>
    <w:p>
      <w:pPr>
        <w:spacing w:line="360" w:lineRule="auto"/>
        <w:ind w:left="748" w:hanging="567"/>
        <w:rPr>
          <w:rFonts w:ascii="宋体" w:hAnsi="宋体"/>
          <w:szCs w:val="21"/>
        </w:rPr>
      </w:pPr>
      <w:r>
        <w:rPr>
          <w:rFonts w:hint="eastAsia" w:ascii="宋体" w:hAnsi="宋体"/>
          <w:szCs w:val="21"/>
        </w:rPr>
        <w:t>日期：   年   月   日</w:t>
      </w:r>
    </w:p>
    <w:p>
      <w:pPr>
        <w:widowControl/>
        <w:spacing w:line="360" w:lineRule="auto"/>
        <w:jc w:val="left"/>
        <w:rPr>
          <w:rFonts w:ascii="宋体" w:hAnsi="宋体"/>
          <w:szCs w:val="21"/>
          <w:lang w:eastAsia="zh-Hans"/>
        </w:rPr>
      </w:pPr>
      <w:r>
        <w:rPr>
          <w:rFonts w:ascii="宋体" w:hAnsi="宋体"/>
          <w:szCs w:val="21"/>
          <w:lang w:eastAsia="zh-Hans"/>
        </w:rPr>
        <w:t xml:space="preserve"> </w:t>
      </w:r>
    </w:p>
    <w:p>
      <w:pPr>
        <w:spacing w:before="62" w:beforeLines="20" w:line="360" w:lineRule="auto"/>
        <w:jc w:val="center"/>
        <w:rPr>
          <w:rFonts w:ascii="宋体" w:hAnsi="宋体"/>
          <w:b/>
          <w:szCs w:val="21"/>
          <w:lang w:eastAsia="zh-Hans"/>
        </w:rPr>
      </w:pPr>
    </w:p>
    <w:p>
      <w:pPr>
        <w:spacing w:before="62" w:beforeLines="20" w:line="360" w:lineRule="auto"/>
        <w:jc w:val="center"/>
        <w:rPr>
          <w:rFonts w:ascii="宋体" w:hAnsi="宋体"/>
          <w:b/>
          <w:szCs w:val="21"/>
          <w:lang w:eastAsia="zh-Hans"/>
        </w:rPr>
      </w:pPr>
    </w:p>
    <w:p>
      <w:pPr>
        <w:spacing w:before="62" w:beforeLines="20" w:line="360" w:lineRule="auto"/>
        <w:jc w:val="center"/>
        <w:rPr>
          <w:rFonts w:ascii="宋体" w:hAnsi="宋体"/>
          <w:b/>
          <w:szCs w:val="21"/>
          <w:lang w:eastAsia="zh-Hans"/>
        </w:rPr>
      </w:pPr>
    </w:p>
    <w:p>
      <w:pPr>
        <w:spacing w:before="62" w:beforeLines="20" w:line="360" w:lineRule="auto"/>
        <w:jc w:val="center"/>
        <w:rPr>
          <w:rFonts w:ascii="宋体" w:hAnsi="宋体"/>
          <w:b/>
          <w:szCs w:val="21"/>
          <w:lang w:eastAsia="zh-Hans"/>
        </w:rPr>
      </w:pPr>
    </w:p>
    <w:p>
      <w:pPr>
        <w:spacing w:before="62" w:beforeLines="20" w:line="360" w:lineRule="auto"/>
        <w:jc w:val="center"/>
        <w:rPr>
          <w:rFonts w:ascii="宋体" w:hAnsi="宋体"/>
          <w:b/>
          <w:szCs w:val="21"/>
          <w:lang w:eastAsia="zh-Hans"/>
        </w:rPr>
      </w:pPr>
    </w:p>
    <w:p>
      <w:pPr>
        <w:spacing w:before="62" w:beforeLines="20" w:line="360" w:lineRule="auto"/>
        <w:jc w:val="center"/>
        <w:rPr>
          <w:rFonts w:ascii="宋体" w:hAnsi="宋体"/>
          <w:b/>
          <w:szCs w:val="21"/>
          <w:lang w:eastAsia="zh-Hans"/>
        </w:rPr>
      </w:pPr>
    </w:p>
    <w:p>
      <w:pPr>
        <w:spacing w:before="62" w:beforeLines="20" w:line="360" w:lineRule="auto"/>
        <w:jc w:val="center"/>
        <w:rPr>
          <w:rFonts w:ascii="宋体" w:hAnsi="宋体"/>
          <w:b/>
          <w:szCs w:val="21"/>
          <w:lang w:eastAsia="zh-Hans"/>
        </w:rPr>
      </w:pPr>
    </w:p>
    <w:p>
      <w:pPr>
        <w:spacing w:before="62" w:beforeLines="20" w:line="360" w:lineRule="auto"/>
        <w:jc w:val="center"/>
        <w:rPr>
          <w:rFonts w:ascii="宋体" w:hAnsi="宋体"/>
          <w:b/>
          <w:szCs w:val="21"/>
          <w:lang w:eastAsia="zh-Hans"/>
        </w:rPr>
      </w:pPr>
    </w:p>
    <w:p>
      <w:pPr>
        <w:spacing w:before="62" w:beforeLines="20" w:line="360" w:lineRule="auto"/>
        <w:jc w:val="center"/>
        <w:rPr>
          <w:rFonts w:ascii="宋体" w:hAnsi="宋体"/>
          <w:b/>
          <w:szCs w:val="21"/>
          <w:lang w:eastAsia="zh-Hans"/>
        </w:rPr>
      </w:pPr>
    </w:p>
    <w:p>
      <w:pPr>
        <w:spacing w:before="62" w:beforeLines="20" w:line="360" w:lineRule="auto"/>
        <w:jc w:val="center"/>
        <w:rPr>
          <w:rFonts w:ascii="宋体" w:hAnsi="宋体"/>
          <w:b/>
          <w:szCs w:val="21"/>
          <w:lang w:eastAsia="zh-Hans"/>
        </w:rPr>
      </w:pPr>
    </w:p>
    <w:p>
      <w:pPr>
        <w:spacing w:before="62" w:beforeLines="20" w:line="360" w:lineRule="auto"/>
        <w:jc w:val="center"/>
        <w:rPr>
          <w:rFonts w:ascii="宋体" w:hAnsi="宋体"/>
          <w:b/>
          <w:szCs w:val="21"/>
          <w:lang w:eastAsia="zh-Hans"/>
        </w:rPr>
      </w:pPr>
    </w:p>
    <w:p>
      <w:pPr>
        <w:spacing w:before="62" w:beforeLines="20" w:line="360" w:lineRule="auto"/>
        <w:jc w:val="center"/>
        <w:rPr>
          <w:rFonts w:ascii="宋体" w:hAnsi="宋体"/>
          <w:b/>
          <w:szCs w:val="21"/>
          <w:lang w:eastAsia="zh-Hans"/>
        </w:rPr>
      </w:pPr>
    </w:p>
    <w:p>
      <w:pPr>
        <w:spacing w:before="62" w:beforeLines="20" w:line="360" w:lineRule="auto"/>
        <w:jc w:val="center"/>
        <w:rPr>
          <w:rFonts w:ascii="宋体" w:hAnsi="宋体"/>
          <w:b/>
          <w:szCs w:val="21"/>
          <w:lang w:eastAsia="zh-Hans"/>
        </w:rPr>
      </w:pPr>
      <w:r>
        <w:rPr>
          <w:rFonts w:hint="eastAsia" w:ascii="宋体" w:hAnsi="宋体"/>
          <w:b/>
          <w:szCs w:val="21"/>
        </w:rPr>
        <w:t>参评</w:t>
      </w:r>
      <w:r>
        <w:rPr>
          <w:rFonts w:hint="eastAsia" w:ascii="宋体" w:hAnsi="宋体"/>
          <w:b/>
          <w:szCs w:val="21"/>
          <w:lang w:eastAsia="zh-Hans"/>
        </w:rPr>
        <w:t>明细报价表</w:t>
      </w:r>
    </w:p>
    <w:p>
      <w:pPr>
        <w:adjustRightInd w:val="0"/>
        <w:snapToGrid w:val="0"/>
        <w:spacing w:line="360" w:lineRule="auto"/>
        <w:rPr>
          <w:rFonts w:ascii="宋体" w:hAnsi="宋体"/>
          <w:szCs w:val="21"/>
        </w:rPr>
      </w:pPr>
      <w:r>
        <w:rPr>
          <w:rFonts w:hint="eastAsia" w:ascii="宋体" w:hAnsi="宋体"/>
          <w:szCs w:val="21"/>
        </w:rPr>
        <w:t>采购项目名称：</w:t>
      </w:r>
      <w:r>
        <w:rPr>
          <w:rFonts w:hint="eastAsia" w:ascii="宋体" w:hAnsi="宋体"/>
          <w:szCs w:val="21"/>
          <w:u w:val="single"/>
        </w:rPr>
        <w:t>　广东省消防救援总队2024年度使用领域消防产品专项监督抽查检验购买服务项目　</w:t>
      </w:r>
      <w:r>
        <w:rPr>
          <w:rFonts w:hint="eastAsia" w:ascii="宋体" w:hAnsi="宋体"/>
          <w:szCs w:val="21"/>
        </w:rPr>
        <w:t>　采购项目编号：</w:t>
      </w:r>
      <w:r>
        <w:rPr>
          <w:rFonts w:hint="eastAsia" w:ascii="宋体" w:hAnsi="宋体"/>
          <w:szCs w:val="21"/>
          <w:u w:val="single"/>
        </w:rPr>
        <w:t>　GDXF202</w:t>
      </w:r>
      <w:r>
        <w:rPr>
          <w:rFonts w:hint="eastAsia" w:ascii="宋体" w:hAnsi="宋体"/>
          <w:szCs w:val="21"/>
          <w:u w:val="single"/>
          <w:lang w:val="en-US" w:eastAsia="zh-CN"/>
        </w:rPr>
        <w:t>4</w:t>
      </w:r>
      <w:r>
        <w:rPr>
          <w:rFonts w:hint="eastAsia" w:ascii="宋体" w:hAnsi="宋体"/>
          <w:szCs w:val="21"/>
          <w:u w:val="single"/>
        </w:rPr>
        <w:t>XFCPJY　</w:t>
      </w:r>
      <w:r>
        <w:rPr>
          <w:rFonts w:hint="eastAsia" w:ascii="宋体" w:hAnsi="宋体"/>
          <w:szCs w:val="21"/>
        </w:rPr>
        <w:t>　</w:t>
      </w:r>
    </w:p>
    <w:tbl>
      <w:tblPr>
        <w:tblStyle w:val="25"/>
        <w:tblW w:w="9670"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559"/>
        <w:gridCol w:w="1559"/>
        <w:gridCol w:w="992"/>
        <w:gridCol w:w="1134"/>
        <w:gridCol w:w="948"/>
        <w:gridCol w:w="1178"/>
        <w:gridCol w:w="1574"/>
      </w:tblGrid>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67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9585"/>
                <w:tab w:val="left" w:pos="11205"/>
              </w:tabs>
              <w:spacing w:before="0" w:beforeAutospacing="0" w:after="0" w:afterAutospacing="0"/>
              <w:ind w:left="0" w:right="0"/>
              <w:rPr>
                <w:rFonts w:hint="default" w:ascii="宋体" w:hAnsi="宋体"/>
                <w:szCs w:val="21"/>
              </w:rPr>
            </w:pPr>
            <w:r>
              <w:rPr>
                <w:rFonts w:hint="default"/>
                <w:szCs w:val="20"/>
              </w:rPr>
              <w:fldChar w:fldCharType="begin"/>
            </w:r>
            <w:r>
              <w:rPr>
                <w:rFonts w:hint="eastAsia" w:ascii="宋体" w:hAnsi="宋体"/>
                <w:szCs w:val="21"/>
              </w:rPr>
              <w:instrText xml:space="preserve"> DOCVARIABLE  项目名称  \* MERGEFORMAT </w:instrText>
            </w:r>
            <w:r>
              <w:rPr>
                <w:rFonts w:hint="default"/>
                <w:szCs w:val="20"/>
              </w:rPr>
              <w:fldChar w:fldCharType="end"/>
            </w:r>
            <w:r>
              <w:rPr>
                <w:rFonts w:hint="eastAsia" w:ascii="宋体" w:hAnsi="宋体"/>
                <w:szCs w:val="21"/>
              </w:rPr>
              <w:t>一、服务详列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分项名称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具体服务内容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数量</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单价</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92" w:leftChars="-44" w:right="0"/>
              <w:jc w:val="center"/>
              <w:rPr>
                <w:rFonts w:hint="default" w:ascii="宋体" w:hAnsi="宋体"/>
                <w:szCs w:val="21"/>
              </w:rPr>
            </w:pPr>
            <w:r>
              <w:rPr>
                <w:rFonts w:hint="eastAsia" w:ascii="宋体" w:hAnsi="宋体"/>
                <w:szCs w:val="21"/>
              </w:rPr>
              <w:t>合计（元）</w:t>
            </w:r>
          </w:p>
        </w:tc>
        <w:tc>
          <w:tcPr>
            <w:tcW w:w="1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备注</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11"/>
              </w:numPr>
              <w:suppressLineNumbers w:val="0"/>
              <w:spacing w:before="0" w:beforeAutospacing="0" w:after="0" w:afterAutospacing="0"/>
              <w:ind w:left="2100" w:leftChars="800" w:right="0" w:hanging="420" w:hangingChars="200"/>
              <w:jc w:val="center"/>
              <w:rPr>
                <w:rFonts w:hint="default"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11"/>
              </w:numPr>
              <w:suppressLineNumbers w:val="0"/>
              <w:spacing w:before="0" w:beforeAutospacing="0" w:after="0" w:afterAutospacing="0"/>
              <w:ind w:left="2100" w:leftChars="800" w:right="0" w:hanging="420" w:hangingChars="200"/>
              <w:jc w:val="center"/>
              <w:rPr>
                <w:rFonts w:hint="default"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11"/>
              </w:numPr>
              <w:suppressLineNumbers w:val="0"/>
              <w:spacing w:before="0" w:beforeAutospacing="0" w:after="0" w:afterAutospacing="0"/>
              <w:ind w:left="2100" w:leftChars="800" w:right="0" w:hanging="420" w:hangingChars="200"/>
              <w:jc w:val="center"/>
              <w:rPr>
                <w:rFonts w:hint="default"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8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Cs/>
                <w:i/>
                <w:iCs/>
                <w:szCs w:val="21"/>
              </w:rPr>
            </w:pPr>
            <w:r>
              <w:rPr>
                <w:rFonts w:hint="eastAsia" w:ascii="宋体" w:hAnsi="宋体"/>
                <w:bCs/>
                <w:i/>
                <w:iCs/>
                <w:szCs w:val="21"/>
              </w:rPr>
              <w:t>合　　计</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r>
              <w:rPr>
                <w:rFonts w:hint="eastAsia" w:ascii="宋体" w:hAnsi="宋体"/>
                <w:bCs/>
                <w:szCs w:val="21"/>
              </w:rPr>
              <w:t>数量合计：</w:t>
            </w:r>
          </w:p>
        </w:tc>
        <w:tc>
          <w:tcPr>
            <w:tcW w:w="27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r>
              <w:rPr>
                <w:rFonts w:hint="eastAsia" w:ascii="宋体" w:hAnsi="宋体"/>
                <w:bCs/>
                <w:szCs w:val="21"/>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67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9585"/>
                <w:tab w:val="left" w:pos="11205"/>
              </w:tabs>
              <w:spacing w:before="0" w:beforeAutospacing="0" w:after="0" w:afterAutospacing="0"/>
              <w:ind w:left="0" w:right="0"/>
              <w:rPr>
                <w:rFonts w:hint="default" w:ascii="宋体" w:hAnsi="宋体"/>
                <w:szCs w:val="21"/>
              </w:rPr>
            </w:pPr>
            <w:r>
              <w:rPr>
                <w:rFonts w:hint="eastAsia" w:ascii="宋体" w:hAnsi="宋体"/>
                <w:szCs w:val="21"/>
              </w:rPr>
              <w:t>二、其他费用详列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分项名称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具体内容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eastAsia" w:ascii="宋体" w:hAnsi="宋体"/>
                <w:bCs/>
                <w:szCs w:val="21"/>
              </w:rPr>
              <w:t>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Cs/>
                <w:szCs w:val="21"/>
              </w:rPr>
            </w:pPr>
            <w:r>
              <w:rPr>
                <w:rFonts w:hint="eastAsia" w:ascii="宋体" w:hAnsi="宋体"/>
                <w:bCs/>
                <w:szCs w:val="21"/>
              </w:rPr>
              <w:t>数量</w:t>
            </w: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单价</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92" w:leftChars="-44" w:right="0"/>
              <w:jc w:val="center"/>
              <w:rPr>
                <w:rFonts w:hint="default" w:ascii="宋体" w:hAnsi="宋体"/>
                <w:szCs w:val="21"/>
              </w:rPr>
            </w:pPr>
            <w:r>
              <w:rPr>
                <w:rFonts w:hint="eastAsia" w:ascii="宋体" w:hAnsi="宋体"/>
                <w:szCs w:val="21"/>
              </w:rPr>
              <w:t>合计（元）</w:t>
            </w:r>
          </w:p>
        </w:tc>
        <w:tc>
          <w:tcPr>
            <w:tcW w:w="1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说明</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11"/>
              </w:numPr>
              <w:suppressLineNumbers w:val="0"/>
              <w:spacing w:before="0" w:beforeAutospacing="0" w:after="0" w:afterAutospacing="0"/>
              <w:ind w:left="2100" w:leftChars="800" w:right="0" w:hanging="420" w:hangingChars="200"/>
              <w:jc w:val="center"/>
              <w:rPr>
                <w:rFonts w:hint="default"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11"/>
              </w:numPr>
              <w:suppressLineNumbers w:val="0"/>
              <w:spacing w:before="0" w:beforeAutospacing="0" w:after="0" w:afterAutospacing="0"/>
              <w:ind w:left="2100" w:leftChars="800" w:right="0" w:hanging="420" w:hangingChars="200"/>
              <w:jc w:val="center"/>
              <w:rPr>
                <w:rFonts w:hint="default"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11"/>
              </w:numPr>
              <w:suppressLineNumbers w:val="0"/>
              <w:spacing w:before="0" w:beforeAutospacing="0" w:after="0" w:afterAutospacing="0"/>
              <w:ind w:left="2100" w:leftChars="800" w:right="0" w:hanging="420" w:hangingChars="200"/>
              <w:jc w:val="center"/>
              <w:rPr>
                <w:rFonts w:hint="default"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Cs/>
                <w:szCs w:val="21"/>
              </w:rPr>
            </w:pPr>
          </w:p>
        </w:tc>
        <w:tc>
          <w:tcPr>
            <w:tcW w:w="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Cs w:val="21"/>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8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Cs/>
                <w:i/>
                <w:iCs/>
                <w:szCs w:val="21"/>
              </w:rPr>
            </w:pPr>
            <w:r>
              <w:rPr>
                <w:rFonts w:hint="eastAsia" w:ascii="宋体" w:hAnsi="宋体"/>
                <w:bCs/>
                <w:i/>
                <w:iCs/>
                <w:szCs w:val="21"/>
              </w:rPr>
              <w:t>合　　计</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r>
              <w:rPr>
                <w:rFonts w:hint="eastAsia" w:ascii="宋体" w:hAnsi="宋体"/>
                <w:bCs/>
                <w:szCs w:val="21"/>
              </w:rPr>
              <w:t>数量合计：</w:t>
            </w:r>
          </w:p>
        </w:tc>
        <w:tc>
          <w:tcPr>
            <w:tcW w:w="27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szCs w:val="21"/>
              </w:rPr>
            </w:pPr>
            <w:r>
              <w:rPr>
                <w:rFonts w:hint="eastAsia" w:ascii="宋体" w:hAnsi="宋体"/>
                <w:bCs/>
                <w:szCs w:val="21"/>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670" w:type="dxa"/>
            <w:gridSpan w:val="8"/>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suppressLineNumbers w:val="0"/>
              <w:spacing w:before="0" w:beforeAutospacing="0" w:after="0" w:afterAutospacing="0"/>
              <w:ind w:left="0" w:right="0"/>
              <w:rPr>
                <w:rFonts w:hint="default" w:ascii="宋体" w:hAnsi="宋体"/>
                <w:szCs w:val="21"/>
                <w:lang w:val="en-GB"/>
              </w:rPr>
            </w:pPr>
            <w:r>
              <w:rPr>
                <w:rFonts w:hint="eastAsia" w:ascii="宋体" w:hAnsi="宋体"/>
                <w:bCs/>
                <w:szCs w:val="21"/>
              </w:rPr>
              <w:t>四、总报价：人民币    元。</w:t>
            </w:r>
            <w:r>
              <w:rPr>
                <w:rFonts w:hint="eastAsia" w:ascii="宋体" w:hAnsi="宋体"/>
                <w:szCs w:val="21"/>
              </w:rPr>
              <w:t>（以上各合计项与报价一览表中的对应项均一致相符，如不一致以报价一览表为准）</w:t>
            </w:r>
          </w:p>
        </w:tc>
      </w:tr>
    </w:tbl>
    <w:p>
      <w:pPr>
        <w:spacing w:line="360" w:lineRule="auto"/>
        <w:rPr>
          <w:rFonts w:ascii="宋体" w:hAnsi="宋体"/>
          <w:szCs w:val="21"/>
        </w:rPr>
      </w:pPr>
    </w:p>
    <w:p>
      <w:pPr>
        <w:spacing w:line="360" w:lineRule="auto"/>
        <w:rPr>
          <w:rFonts w:ascii="宋体" w:hAnsi="宋体"/>
          <w:szCs w:val="21"/>
          <w:lang w:val="en-GB"/>
        </w:rPr>
      </w:pPr>
      <w:r>
        <w:rPr>
          <w:rFonts w:hint="eastAsia" w:ascii="宋体" w:hAnsi="宋体"/>
          <w:szCs w:val="21"/>
        </w:rPr>
        <w:t>注：1）</w:t>
      </w:r>
      <w:r>
        <w:rPr>
          <w:rFonts w:hint="eastAsia" w:ascii="宋体" w:hAnsi="宋体"/>
          <w:szCs w:val="21"/>
        </w:rPr>
        <w:tab/>
      </w:r>
      <w:r>
        <w:rPr>
          <w:rFonts w:hint="eastAsia" w:ascii="宋体" w:hAnsi="宋体"/>
          <w:szCs w:val="21"/>
          <w:lang w:val="en-GB"/>
        </w:rPr>
        <w:t>以上内容必须《报价一览表》一致。</w:t>
      </w:r>
    </w:p>
    <w:p>
      <w:pPr>
        <w:pStyle w:val="12"/>
        <w:tabs>
          <w:tab w:val="left" w:pos="851"/>
        </w:tabs>
        <w:adjustRightInd w:val="0"/>
        <w:snapToGrid w:val="0"/>
        <w:spacing w:line="360" w:lineRule="auto"/>
        <w:ind w:left="850" w:leftChars="202" w:hanging="426" w:hangingChars="203"/>
        <w:rPr>
          <w:rFonts w:hAnsi="宋体"/>
          <w:snapToGrid w:val="0"/>
          <w:kern w:val="0"/>
        </w:rPr>
      </w:pPr>
      <w:r>
        <w:rPr>
          <w:rFonts w:hint="eastAsia" w:hAnsi="宋体"/>
          <w:kern w:val="0"/>
        </w:rPr>
        <w:t>2)</w:t>
      </w:r>
      <w:r>
        <w:rPr>
          <w:rFonts w:hint="eastAsia" w:hAnsi="宋体"/>
          <w:kern w:val="0"/>
        </w:rPr>
        <w:tab/>
      </w:r>
      <w:r>
        <w:rPr>
          <w:rFonts w:hint="eastAsia" w:hAnsi="宋体"/>
          <w:kern w:val="0"/>
        </w:rPr>
        <w:t>对于</w:t>
      </w:r>
      <w:r>
        <w:rPr>
          <w:rFonts w:hint="eastAsia" w:hAnsi="宋体"/>
          <w:snapToGrid w:val="0"/>
          <w:kern w:val="0"/>
        </w:rPr>
        <w:t>报价免费的项目必须标明“免费”；</w:t>
      </w:r>
    </w:p>
    <w:p>
      <w:pPr>
        <w:pStyle w:val="12"/>
        <w:tabs>
          <w:tab w:val="left" w:pos="851"/>
        </w:tabs>
        <w:adjustRightInd w:val="0"/>
        <w:snapToGrid w:val="0"/>
        <w:spacing w:line="360" w:lineRule="auto"/>
        <w:ind w:left="850" w:leftChars="202" w:hanging="426" w:hangingChars="203"/>
        <w:rPr>
          <w:rFonts w:hAnsi="宋体"/>
          <w:snapToGrid w:val="0"/>
          <w:kern w:val="0"/>
        </w:rPr>
      </w:pPr>
      <w:r>
        <w:rPr>
          <w:rFonts w:hint="eastAsia" w:hAnsi="宋体"/>
          <w:snapToGrid w:val="0"/>
          <w:kern w:val="0"/>
        </w:rPr>
        <w:t>3)</w:t>
      </w:r>
      <w:r>
        <w:rPr>
          <w:rFonts w:hint="eastAsia" w:hAnsi="宋体"/>
          <w:snapToGrid w:val="0"/>
          <w:kern w:val="0"/>
        </w:rPr>
        <w:tab/>
      </w:r>
      <w:r>
        <w:rPr>
          <w:rFonts w:hint="eastAsia" w:hAnsi="宋体"/>
          <w:snapToGrid w:val="0"/>
          <w:kern w:val="0"/>
        </w:rPr>
        <w:t>所有根据合同或其它原因应由供应商支付的税款和其它应交纳的费用都要包括在供应商提交的价格中；</w:t>
      </w:r>
    </w:p>
    <w:p>
      <w:pPr>
        <w:pStyle w:val="12"/>
        <w:tabs>
          <w:tab w:val="left" w:pos="851"/>
        </w:tabs>
        <w:adjustRightInd w:val="0"/>
        <w:snapToGrid w:val="0"/>
        <w:spacing w:line="360" w:lineRule="auto"/>
        <w:ind w:left="850" w:leftChars="202" w:hanging="426" w:hangingChars="203"/>
        <w:rPr>
          <w:rFonts w:hAnsi="宋体"/>
          <w:kern w:val="0"/>
        </w:rPr>
      </w:pPr>
      <w:r>
        <w:rPr>
          <w:rFonts w:hint="eastAsia" w:hAnsi="宋体"/>
          <w:snapToGrid w:val="0"/>
          <w:kern w:val="0"/>
        </w:rPr>
        <w:t>4)</w:t>
      </w:r>
      <w:r>
        <w:rPr>
          <w:rFonts w:hint="eastAsia" w:hAnsi="宋体"/>
          <w:snapToGrid w:val="0"/>
          <w:kern w:val="0"/>
        </w:rPr>
        <w:tab/>
      </w:r>
      <w:r>
        <w:rPr>
          <w:rFonts w:hint="eastAsia" w:hAnsi="宋体"/>
          <w:snapToGrid w:val="0"/>
          <w:kern w:val="0"/>
        </w:rPr>
        <w:t>应包含货</w:t>
      </w:r>
      <w:r>
        <w:rPr>
          <w:rFonts w:hint="eastAsia" w:hAnsi="宋体"/>
          <w:kern w:val="0"/>
        </w:rPr>
        <w:t>物运至最终目的地的运输、保险和伴随货物服务的其他所有费用。</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u w:val="single"/>
        </w:rPr>
      </w:pPr>
      <w:r>
        <w:rPr>
          <w:rFonts w:hint="eastAsia" w:ascii="宋体" w:hAnsi="宋体"/>
          <w:szCs w:val="21"/>
        </w:rPr>
        <w:t>参评供应商名称（盖章）：</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日期：   年   月   日</w:t>
      </w:r>
    </w:p>
    <w:p>
      <w:pPr>
        <w:widowControl/>
        <w:spacing w:line="360" w:lineRule="auto"/>
        <w:jc w:val="left"/>
        <w:rPr>
          <w:rFonts w:ascii="宋体" w:hAnsi="宋体"/>
          <w:b/>
          <w:color w:val="000000"/>
          <w:szCs w:val="21"/>
        </w:rPr>
      </w:pPr>
      <w:r>
        <w:rPr>
          <w:rFonts w:hint="eastAsia" w:ascii="宋体" w:hAnsi="宋体"/>
          <w:szCs w:val="21"/>
        </w:rPr>
        <w:br w:type="page"/>
      </w:r>
      <w:r>
        <w:rPr>
          <w:rFonts w:hint="eastAsia" w:ascii="宋体" w:hAnsi="宋体"/>
          <w:b/>
          <w:color w:val="000000"/>
          <w:szCs w:val="21"/>
        </w:rPr>
        <w:t>（一）、</w:t>
      </w:r>
    </w:p>
    <w:p>
      <w:pPr>
        <w:spacing w:line="360" w:lineRule="auto"/>
        <w:jc w:val="center"/>
        <w:rPr>
          <w:rFonts w:ascii="宋体" w:hAnsi="宋体"/>
          <w:b/>
          <w:sz w:val="24"/>
          <w:szCs w:val="24"/>
        </w:rPr>
      </w:pPr>
      <w:r>
        <w:rPr>
          <w:rFonts w:hint="eastAsia" w:ascii="宋体" w:hAnsi="宋体"/>
          <w:b/>
          <w:sz w:val="24"/>
        </w:rPr>
        <w:t>法定代表人证明书</w:t>
      </w:r>
    </w:p>
    <w:p>
      <w:pPr>
        <w:spacing w:line="360" w:lineRule="auto"/>
        <w:rPr>
          <w:rFonts w:ascii="宋体" w:hAnsi="宋体"/>
          <w:bCs/>
          <w:szCs w:val="21"/>
          <w:u w:val="single"/>
        </w:rPr>
      </w:pPr>
    </w:p>
    <w:p>
      <w:pPr>
        <w:spacing w:line="360" w:lineRule="auto"/>
        <w:rPr>
          <w:rFonts w:ascii="宋体" w:hAnsi="宋体"/>
          <w:bCs/>
          <w:szCs w:val="21"/>
        </w:rPr>
      </w:pPr>
      <w:r>
        <w:rPr>
          <w:rFonts w:hint="eastAsia" w:ascii="宋体" w:hAnsi="宋体"/>
          <w:bCs/>
          <w:szCs w:val="21"/>
          <w:u w:val="single"/>
        </w:rPr>
        <w:t xml:space="preserve">                 </w:t>
      </w:r>
      <w:r>
        <w:rPr>
          <w:rFonts w:hint="eastAsia" w:ascii="宋体" w:hAnsi="宋体"/>
          <w:bCs/>
          <w:szCs w:val="21"/>
        </w:rPr>
        <w:t>现任我单位</w:t>
      </w:r>
      <w:r>
        <w:rPr>
          <w:rFonts w:hint="eastAsia" w:ascii="宋体" w:hAnsi="宋体"/>
          <w:bCs/>
          <w:szCs w:val="21"/>
          <w:u w:val="single"/>
        </w:rPr>
        <w:t xml:space="preserve">                  </w:t>
      </w:r>
      <w:r>
        <w:rPr>
          <w:rFonts w:hint="eastAsia" w:ascii="宋体" w:hAnsi="宋体"/>
          <w:bCs/>
          <w:szCs w:val="21"/>
        </w:rPr>
        <w:t xml:space="preserve"> 职务，为法定代表人，特此证明。</w:t>
      </w:r>
    </w:p>
    <w:p>
      <w:pPr>
        <w:spacing w:line="360" w:lineRule="auto"/>
        <w:rPr>
          <w:rFonts w:ascii="宋体" w:hAnsi="宋体"/>
          <w:bCs/>
          <w:szCs w:val="21"/>
        </w:rPr>
      </w:pPr>
      <w:r>
        <w:rPr>
          <w:rFonts w:hint="eastAsia" w:ascii="宋体" w:hAnsi="宋体"/>
          <w:bCs/>
          <w:szCs w:val="21"/>
        </w:rPr>
        <w:t>有效期限：</w:t>
      </w:r>
      <w:r>
        <w:rPr>
          <w:rFonts w:hint="eastAsia" w:ascii="宋体" w:hAnsi="宋体"/>
          <w:bCs/>
          <w:szCs w:val="21"/>
          <w:u w:val="single"/>
        </w:rPr>
        <w:t xml:space="preserve">                             </w:t>
      </w:r>
    </w:p>
    <w:p>
      <w:pPr>
        <w:spacing w:line="360" w:lineRule="auto"/>
        <w:rPr>
          <w:rFonts w:ascii="宋体" w:hAnsi="宋体"/>
          <w:bCs/>
          <w:szCs w:val="21"/>
        </w:rPr>
      </w:pPr>
      <w:r>
        <w:rPr>
          <w:rFonts w:hint="eastAsia" w:ascii="宋体" w:hAnsi="宋体"/>
          <w:bCs/>
          <w:szCs w:val="21"/>
        </w:rPr>
        <w:t>附：代表人性别：</w:t>
      </w:r>
      <w:r>
        <w:rPr>
          <w:rFonts w:hint="eastAsia" w:ascii="宋体" w:hAnsi="宋体"/>
          <w:bCs/>
          <w:szCs w:val="21"/>
          <w:u w:val="single"/>
        </w:rPr>
        <w:t xml:space="preserve">            </w:t>
      </w:r>
      <w:r>
        <w:rPr>
          <w:rFonts w:hint="eastAsia" w:ascii="宋体" w:hAnsi="宋体"/>
          <w:bCs/>
          <w:szCs w:val="21"/>
        </w:rPr>
        <w:t>年龄：</w:t>
      </w:r>
      <w:r>
        <w:rPr>
          <w:rFonts w:hint="eastAsia" w:ascii="宋体" w:hAnsi="宋体"/>
          <w:bCs/>
          <w:szCs w:val="21"/>
          <w:u w:val="single"/>
        </w:rPr>
        <w:t xml:space="preserve">       </w:t>
      </w:r>
      <w:r>
        <w:rPr>
          <w:rFonts w:hint="eastAsia" w:ascii="宋体" w:hAnsi="宋体"/>
          <w:bCs/>
          <w:szCs w:val="21"/>
        </w:rPr>
        <w:t>身份证号码：_________</w:t>
      </w:r>
      <w:r>
        <w:rPr>
          <w:rFonts w:hint="eastAsia" w:ascii="宋体" w:hAnsi="宋体"/>
          <w:bCs/>
          <w:szCs w:val="21"/>
          <w:u w:val="single"/>
        </w:rPr>
        <w:t xml:space="preserve">                   </w:t>
      </w:r>
      <w:r>
        <w:rPr>
          <w:rFonts w:hint="eastAsia" w:ascii="宋体" w:hAnsi="宋体"/>
          <w:bCs/>
          <w:szCs w:val="21"/>
        </w:rPr>
        <w:t xml:space="preserve"> </w:t>
      </w:r>
    </w:p>
    <w:p>
      <w:pPr>
        <w:spacing w:line="360" w:lineRule="auto"/>
        <w:rPr>
          <w:rFonts w:ascii="宋体" w:hAnsi="宋体"/>
          <w:bCs/>
          <w:szCs w:val="21"/>
        </w:rPr>
      </w:pPr>
      <w:r>
        <w:rPr>
          <w:rFonts w:hint="eastAsia" w:ascii="宋体" w:hAnsi="宋体"/>
          <w:bCs/>
          <w:szCs w:val="21"/>
        </w:rPr>
        <w:t>注册号码：</w:t>
      </w:r>
      <w:r>
        <w:rPr>
          <w:rFonts w:hint="eastAsia" w:ascii="宋体" w:hAnsi="宋体"/>
          <w:bCs/>
          <w:szCs w:val="21"/>
          <w:u w:val="single"/>
        </w:rPr>
        <w:t xml:space="preserve">                       </w:t>
      </w:r>
      <w:r>
        <w:rPr>
          <w:rFonts w:hint="eastAsia" w:ascii="宋体" w:hAnsi="宋体"/>
          <w:bCs/>
          <w:szCs w:val="21"/>
        </w:rPr>
        <w:t xml:space="preserve"> 企业类型：_____________________________________ </w:t>
      </w:r>
    </w:p>
    <w:p>
      <w:pPr>
        <w:spacing w:line="360" w:lineRule="auto"/>
        <w:rPr>
          <w:rFonts w:ascii="宋体" w:hAnsi="宋体"/>
          <w:b/>
          <w:szCs w:val="21"/>
          <w:u w:val="single"/>
        </w:rPr>
      </w:pPr>
      <w:r>
        <w:rPr>
          <w:rFonts w:hint="eastAsia" w:ascii="宋体" w:hAnsi="宋体"/>
          <w:bCs/>
          <w:szCs w:val="21"/>
        </w:rPr>
        <w:t>经营范围：</w:t>
      </w:r>
      <w:r>
        <w:rPr>
          <w:rFonts w:hint="eastAsia" w:ascii="宋体" w:hAnsi="宋体"/>
          <w:bCs/>
          <w:szCs w:val="21"/>
          <w:u w:val="single"/>
        </w:rPr>
        <w:t xml:space="preserve">     </w:t>
      </w:r>
      <w:r>
        <w:rPr>
          <w:rFonts w:hint="eastAsia" w:ascii="宋体" w:hAnsi="宋体"/>
          <w:b/>
          <w:szCs w:val="21"/>
          <w:u w:val="single"/>
        </w:rPr>
        <w:t xml:space="preserve">                                                                 </w:t>
      </w:r>
      <w:r>
        <w:rPr>
          <w:rFonts w:hint="eastAsia" w:ascii="宋体" w:hAnsi="宋体"/>
          <w:szCs w:val="21"/>
        </w:rPr>
        <w:t>。</w:t>
      </w: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color w:val="000000"/>
          <w:szCs w:val="21"/>
        </w:rPr>
      </w:pPr>
    </w:p>
    <w:p>
      <w:pPr>
        <w:spacing w:line="360" w:lineRule="auto"/>
        <w:ind w:left="4599" w:leftChars="2190"/>
        <w:rPr>
          <w:rFonts w:ascii="宋体" w:hAnsi="宋体"/>
          <w:color w:val="000000"/>
          <w:szCs w:val="21"/>
        </w:rPr>
      </w:pPr>
      <w:r>
        <w:rPr>
          <w:rFonts w:hint="eastAsia" w:ascii="宋体" w:hAnsi="宋体"/>
          <w:color w:val="000000"/>
          <w:szCs w:val="21"/>
        </w:rPr>
        <w:t>参评人（盖章）：</w:t>
      </w:r>
    </w:p>
    <w:p>
      <w:pPr>
        <w:spacing w:line="360" w:lineRule="auto"/>
        <w:ind w:left="4599" w:leftChars="2190"/>
        <w:rPr>
          <w:rFonts w:ascii="宋体" w:hAnsi="宋体"/>
          <w:color w:val="000000"/>
          <w:szCs w:val="21"/>
        </w:rPr>
      </w:pPr>
    </w:p>
    <w:p>
      <w:pPr>
        <w:spacing w:line="360" w:lineRule="auto"/>
        <w:ind w:left="4599" w:leftChars="2190"/>
        <w:rPr>
          <w:rFonts w:ascii="宋体" w:hAnsi="宋体"/>
          <w:color w:val="000000"/>
          <w:szCs w:val="21"/>
        </w:rPr>
      </w:pPr>
      <w:r>
        <w:rPr>
          <w:rFonts w:hint="eastAsia" w:ascii="宋体" w:hAnsi="宋体"/>
          <w:color w:val="000000"/>
          <w:szCs w:val="21"/>
        </w:rPr>
        <w:t>地        址：</w:t>
      </w:r>
    </w:p>
    <w:p>
      <w:pPr>
        <w:spacing w:line="360" w:lineRule="auto"/>
        <w:ind w:left="4599" w:leftChars="2190"/>
        <w:rPr>
          <w:rFonts w:ascii="宋体" w:hAnsi="宋体"/>
          <w:color w:val="000000"/>
          <w:szCs w:val="21"/>
        </w:rPr>
      </w:pPr>
    </w:p>
    <w:p>
      <w:pPr>
        <w:tabs>
          <w:tab w:val="left" w:pos="3780"/>
        </w:tabs>
        <w:spacing w:line="360" w:lineRule="auto"/>
        <w:ind w:left="4599" w:leftChars="2190"/>
        <w:rPr>
          <w:rFonts w:ascii="宋体" w:hAnsi="宋体"/>
          <w:color w:val="000000"/>
          <w:szCs w:val="21"/>
        </w:rPr>
      </w:pPr>
      <w:r>
        <w:rPr>
          <w:rFonts w:hint="eastAsia" w:ascii="宋体" w:hAnsi="宋体"/>
          <w:color w:val="000000"/>
          <w:szCs w:val="21"/>
        </w:rPr>
        <w:t>法定代表人（签字或盖章）：</w:t>
      </w:r>
    </w:p>
    <w:p>
      <w:pPr>
        <w:tabs>
          <w:tab w:val="left" w:pos="3885"/>
        </w:tabs>
        <w:spacing w:line="360" w:lineRule="auto"/>
        <w:ind w:left="4704" w:leftChars="2190" w:hanging="105"/>
        <w:rPr>
          <w:rFonts w:ascii="宋体" w:hAnsi="宋体"/>
          <w:color w:val="000000"/>
          <w:szCs w:val="21"/>
        </w:rPr>
      </w:pPr>
    </w:p>
    <w:p>
      <w:pPr>
        <w:tabs>
          <w:tab w:val="left" w:pos="3885"/>
        </w:tabs>
        <w:spacing w:line="360" w:lineRule="auto"/>
        <w:ind w:left="4704" w:leftChars="2190" w:hanging="105"/>
        <w:rPr>
          <w:rFonts w:ascii="宋体" w:hAnsi="宋体"/>
          <w:color w:val="000000"/>
          <w:szCs w:val="21"/>
        </w:rPr>
      </w:pPr>
      <w:r>
        <w:rPr>
          <w:rFonts w:hint="eastAsia" w:ascii="宋体" w:hAnsi="宋体"/>
          <w:color w:val="000000"/>
          <w:szCs w:val="21"/>
        </w:rPr>
        <w:t>职        务：</w:t>
      </w:r>
    </w:p>
    <w:p>
      <w:pPr>
        <w:pStyle w:val="6"/>
        <w:spacing w:before="0" w:after="0" w:line="360" w:lineRule="auto"/>
        <w:rPr>
          <w:rFonts w:ascii="宋体" w:hAnsi="宋体" w:eastAsia="宋体"/>
          <w:b w:val="0"/>
          <w:color w:val="000000"/>
          <w:sz w:val="21"/>
          <w:szCs w:val="21"/>
        </w:rPr>
      </w:pPr>
      <w:r>
        <w:rPr>
          <w:rFonts w:hint="eastAsia" w:ascii="宋体" w:hAnsi="宋体"/>
          <w:bCs w:val="0"/>
          <w:color w:val="000000"/>
          <w:szCs w:val="21"/>
        </w:rPr>
        <w:br w:type="page"/>
      </w:r>
    </w:p>
    <w:p>
      <w:pPr>
        <w:pStyle w:val="12"/>
        <w:spacing w:line="360" w:lineRule="auto"/>
        <w:rPr>
          <w:rFonts w:hAnsi="宋体"/>
          <w:color w:val="000000"/>
        </w:rPr>
      </w:pPr>
      <w:r>
        <w:rPr>
          <w:rFonts w:hint="eastAsia" w:hAnsi="宋体"/>
          <w:color w:val="000000"/>
        </w:rPr>
        <w:t>（二）、</w:t>
      </w:r>
    </w:p>
    <w:p>
      <w:pPr>
        <w:pStyle w:val="12"/>
        <w:spacing w:line="360" w:lineRule="auto"/>
        <w:jc w:val="center"/>
        <w:rPr>
          <w:rFonts w:hAnsi="宋体"/>
          <w:b/>
          <w:color w:val="000000"/>
          <w:sz w:val="24"/>
          <w:szCs w:val="24"/>
        </w:rPr>
      </w:pPr>
      <w:r>
        <w:rPr>
          <w:rFonts w:hint="eastAsia" w:hAnsi="宋体"/>
          <w:b/>
          <w:color w:val="000000"/>
          <w:sz w:val="24"/>
          <w:szCs w:val="24"/>
        </w:rPr>
        <w:t>法定代表人委托书</w:t>
      </w:r>
    </w:p>
    <w:p>
      <w:pPr>
        <w:pStyle w:val="12"/>
        <w:spacing w:line="360" w:lineRule="auto"/>
        <w:rPr>
          <w:rFonts w:hAnsi="宋体"/>
          <w:color w:val="000000"/>
        </w:rPr>
      </w:pPr>
    </w:p>
    <w:p>
      <w:pPr>
        <w:pStyle w:val="12"/>
        <w:spacing w:line="360" w:lineRule="auto"/>
        <w:rPr>
          <w:rFonts w:hAnsi="宋体"/>
          <w:b/>
          <w:color w:val="000000"/>
        </w:rPr>
      </w:pPr>
      <w:r>
        <w:rPr>
          <w:rFonts w:hint="eastAsia" w:hAnsi="宋体"/>
          <w:color w:val="000000"/>
        </w:rPr>
        <w:t>致：</w:t>
      </w:r>
      <w:r>
        <w:rPr>
          <w:rFonts w:hint="eastAsia" w:hAnsi="宋体"/>
          <w:b/>
          <w:color w:val="000000"/>
        </w:rPr>
        <w:t>广东省消防救援总队</w:t>
      </w:r>
    </w:p>
    <w:p>
      <w:pPr>
        <w:pStyle w:val="12"/>
        <w:spacing w:line="360" w:lineRule="auto"/>
        <w:ind w:firstLine="420" w:firstLineChars="200"/>
        <w:rPr>
          <w:rFonts w:hAnsi="宋体"/>
          <w:color w:val="000000"/>
        </w:rPr>
      </w:pPr>
      <w:r>
        <w:rPr>
          <w:rFonts w:hint="eastAsia" w:hAnsi="宋体"/>
          <w:color w:val="000000"/>
        </w:rPr>
        <w:t>本授权书声明：</w:t>
      </w:r>
      <w:r>
        <w:rPr>
          <w:rFonts w:hint="eastAsia" w:hAnsi="宋体"/>
          <w:color w:val="000000"/>
          <w:u w:val="single"/>
        </w:rPr>
        <w:t xml:space="preserve">           </w:t>
      </w:r>
      <w:r>
        <w:rPr>
          <w:rFonts w:hint="eastAsia" w:hAnsi="宋体"/>
          <w:color w:val="000000"/>
        </w:rPr>
        <w:t>是注册于</w:t>
      </w:r>
      <w:r>
        <w:rPr>
          <w:rFonts w:hint="eastAsia" w:hAnsi="宋体"/>
          <w:color w:val="000000"/>
          <w:u w:val="single"/>
        </w:rPr>
        <w:t xml:space="preserve">        </w:t>
      </w:r>
      <w:r>
        <w:rPr>
          <w:rFonts w:hint="eastAsia" w:hAnsi="宋体"/>
          <w:i/>
          <w:color w:val="000000"/>
          <w:u w:val="single"/>
        </w:rPr>
        <w:t xml:space="preserve">（国家或地区）   </w:t>
      </w:r>
      <w:r>
        <w:rPr>
          <w:rFonts w:hint="eastAsia" w:hAnsi="宋体"/>
          <w:color w:val="000000"/>
        </w:rPr>
        <w:t>的</w:t>
      </w:r>
      <w:r>
        <w:rPr>
          <w:rFonts w:hint="eastAsia" w:hAnsi="宋体"/>
          <w:color w:val="000000"/>
          <w:u w:val="single"/>
        </w:rPr>
        <w:t xml:space="preserve">      </w:t>
      </w:r>
      <w:r>
        <w:rPr>
          <w:rFonts w:hint="eastAsia" w:hAnsi="宋体"/>
          <w:i/>
          <w:color w:val="000000"/>
          <w:u w:val="single"/>
        </w:rPr>
        <w:t xml:space="preserve">（参评人名称）     </w:t>
      </w:r>
      <w:r>
        <w:rPr>
          <w:rFonts w:hint="eastAsia" w:hAnsi="宋体"/>
          <w:color w:val="000000"/>
        </w:rPr>
        <w:t>的法定代表人，现任</w:t>
      </w:r>
      <w:r>
        <w:rPr>
          <w:rFonts w:hint="eastAsia" w:hAnsi="宋体"/>
          <w:color w:val="000000"/>
          <w:u w:val="single"/>
        </w:rPr>
        <w:t xml:space="preserve">    </w:t>
      </w:r>
      <w:r>
        <w:rPr>
          <w:rFonts w:hAnsi="宋体"/>
          <w:color w:val="000000"/>
          <w:u w:val="single"/>
        </w:rPr>
        <w:t xml:space="preserve">  </w:t>
      </w:r>
      <w:r>
        <w:rPr>
          <w:rFonts w:hint="eastAsia" w:hAnsi="宋体"/>
          <w:color w:val="000000"/>
          <w:u w:val="single"/>
        </w:rPr>
        <w:t xml:space="preserve">    </w:t>
      </w:r>
      <w:r>
        <w:rPr>
          <w:rFonts w:hint="eastAsia" w:hAnsi="宋体"/>
          <w:color w:val="000000"/>
        </w:rPr>
        <w:t>职务，有效证件号码：</w:t>
      </w:r>
      <w:r>
        <w:rPr>
          <w:rFonts w:hint="eastAsia" w:hAnsi="宋体"/>
          <w:color w:val="000000"/>
          <w:u w:val="single"/>
        </w:rPr>
        <w:t xml:space="preserve">                            </w:t>
      </w:r>
      <w:r>
        <w:rPr>
          <w:rFonts w:hint="eastAsia" w:hAnsi="宋体"/>
          <w:color w:val="000000"/>
        </w:rPr>
        <w:t>。</w:t>
      </w:r>
      <w:r>
        <w:rPr>
          <w:rFonts w:hint="eastAsia" w:hAnsi="宋体"/>
        </w:rPr>
        <w:t>现委托</w:t>
      </w:r>
      <w:r>
        <w:rPr>
          <w:rFonts w:hint="eastAsia" w:hAnsi="宋体"/>
          <w:u w:val="single"/>
        </w:rPr>
        <w:t xml:space="preserve">    </w:t>
      </w:r>
      <w:r>
        <w:rPr>
          <w:rFonts w:hint="eastAsia" w:hAnsi="宋体"/>
          <w:i/>
          <w:u w:val="single"/>
        </w:rPr>
        <w:t xml:space="preserve">（姓名、职务）    </w:t>
      </w:r>
      <w:r>
        <w:rPr>
          <w:rFonts w:hint="eastAsia" w:hAnsi="宋体"/>
        </w:rPr>
        <w:t>作为我公司的全权代理人，就</w:t>
      </w:r>
      <w:r>
        <w:rPr>
          <w:rFonts w:hint="eastAsia" w:hAnsi="宋体"/>
          <w:u w:val="single"/>
        </w:rPr>
        <w:t xml:space="preserve">  </w:t>
      </w:r>
      <w:r>
        <w:rPr>
          <w:rFonts w:hAnsi="宋体"/>
          <w:u w:val="single"/>
        </w:rPr>
        <w:t xml:space="preserve">                            </w:t>
      </w:r>
      <w:r>
        <w:rPr>
          <w:rFonts w:hint="eastAsia" w:hAnsi="宋体"/>
        </w:rPr>
        <w:t>项目遴选[项目编号为</w:t>
      </w:r>
      <w:r>
        <w:rPr>
          <w:rFonts w:hint="eastAsia" w:hAnsi="宋体"/>
          <w:u w:val="single"/>
        </w:rPr>
        <w:t xml:space="preserve">  </w:t>
      </w:r>
      <w:r>
        <w:rPr>
          <w:rFonts w:hAnsi="宋体"/>
          <w:u w:val="single"/>
        </w:rPr>
        <w:t xml:space="preserve">            </w:t>
      </w:r>
      <w:r>
        <w:rPr>
          <w:rFonts w:hint="eastAsia" w:hAnsi="宋体"/>
        </w:rPr>
        <w:t>]的参评和合同执行，以我方的名义处理一切与之有关的事宜。</w:t>
      </w:r>
    </w:p>
    <w:p>
      <w:pPr>
        <w:spacing w:line="360" w:lineRule="auto"/>
        <w:ind w:firstLine="420" w:firstLineChars="200"/>
        <w:rPr>
          <w:rFonts w:ascii="宋体" w:hAnsi="宋体"/>
          <w:color w:val="000000"/>
          <w:szCs w:val="21"/>
        </w:rPr>
      </w:pPr>
      <w:r>
        <w:rPr>
          <w:rFonts w:hint="eastAsia" w:ascii="宋体" w:hAnsi="宋体"/>
          <w:color w:val="000000"/>
          <w:szCs w:val="21"/>
        </w:rPr>
        <w:t>本授权书于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日签字生效，特此声明。</w:t>
      </w:r>
    </w:p>
    <w:p>
      <w:pPr>
        <w:spacing w:line="360" w:lineRule="auto"/>
        <w:rPr>
          <w:rFonts w:ascii="宋体" w:hAnsi="宋体"/>
          <w:color w:val="000000"/>
          <w:szCs w:val="21"/>
        </w:rPr>
      </w:pPr>
    </w:p>
    <w:p>
      <w:pPr>
        <w:spacing w:line="360" w:lineRule="auto"/>
        <w:rPr>
          <w:rFonts w:ascii="宋体" w:hAnsi="宋体"/>
          <w:b/>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ind w:left="4599" w:leftChars="2190"/>
        <w:rPr>
          <w:rFonts w:ascii="宋体" w:hAnsi="宋体"/>
          <w:color w:val="000000"/>
          <w:szCs w:val="21"/>
        </w:rPr>
      </w:pPr>
      <w:r>
        <w:rPr>
          <w:rFonts w:hint="eastAsia" w:ascii="宋体" w:hAnsi="宋体"/>
          <w:color w:val="000000"/>
          <w:szCs w:val="21"/>
        </w:rPr>
        <w:t>参评人（盖章）：</w:t>
      </w:r>
    </w:p>
    <w:p>
      <w:pPr>
        <w:spacing w:line="360" w:lineRule="auto"/>
        <w:ind w:left="4599" w:leftChars="2190"/>
        <w:rPr>
          <w:rFonts w:ascii="宋体" w:hAnsi="宋体"/>
          <w:color w:val="000000"/>
          <w:szCs w:val="21"/>
        </w:rPr>
      </w:pPr>
    </w:p>
    <w:p>
      <w:pPr>
        <w:spacing w:line="360" w:lineRule="auto"/>
        <w:ind w:left="4599" w:leftChars="2190"/>
        <w:rPr>
          <w:rFonts w:ascii="宋体" w:hAnsi="宋体"/>
          <w:color w:val="000000"/>
          <w:szCs w:val="21"/>
        </w:rPr>
      </w:pPr>
      <w:r>
        <w:rPr>
          <w:rFonts w:hint="eastAsia" w:ascii="宋体" w:hAnsi="宋体"/>
          <w:color w:val="000000"/>
          <w:szCs w:val="21"/>
        </w:rPr>
        <w:t>地        址：</w:t>
      </w:r>
    </w:p>
    <w:p>
      <w:pPr>
        <w:spacing w:line="360" w:lineRule="auto"/>
        <w:ind w:left="4599" w:leftChars="2190"/>
        <w:rPr>
          <w:rFonts w:ascii="宋体" w:hAnsi="宋体"/>
          <w:color w:val="000000"/>
          <w:szCs w:val="21"/>
        </w:rPr>
      </w:pPr>
    </w:p>
    <w:p>
      <w:pPr>
        <w:tabs>
          <w:tab w:val="left" w:pos="3780"/>
        </w:tabs>
        <w:spacing w:line="360" w:lineRule="auto"/>
        <w:ind w:left="4599" w:leftChars="2190"/>
        <w:rPr>
          <w:rFonts w:ascii="宋体" w:hAnsi="宋体"/>
          <w:color w:val="000000"/>
          <w:szCs w:val="21"/>
        </w:rPr>
      </w:pPr>
      <w:r>
        <w:rPr>
          <w:rFonts w:hint="eastAsia" w:ascii="宋体" w:hAnsi="宋体"/>
          <w:color w:val="000000"/>
          <w:szCs w:val="21"/>
        </w:rPr>
        <w:t>法定代表人（签字或盖章）：</w:t>
      </w:r>
    </w:p>
    <w:p>
      <w:pPr>
        <w:tabs>
          <w:tab w:val="left" w:pos="3885"/>
        </w:tabs>
        <w:spacing w:line="360" w:lineRule="auto"/>
        <w:ind w:left="4704" w:leftChars="2190" w:hanging="105"/>
        <w:rPr>
          <w:rFonts w:ascii="宋体" w:hAnsi="宋体"/>
          <w:color w:val="000000"/>
          <w:szCs w:val="21"/>
        </w:rPr>
      </w:pPr>
    </w:p>
    <w:p>
      <w:pPr>
        <w:tabs>
          <w:tab w:val="left" w:pos="3885"/>
        </w:tabs>
        <w:spacing w:line="360" w:lineRule="auto"/>
        <w:ind w:left="4704" w:leftChars="2190" w:hanging="105"/>
        <w:rPr>
          <w:rFonts w:ascii="宋体" w:hAnsi="宋体"/>
          <w:color w:val="000000"/>
          <w:szCs w:val="21"/>
        </w:rPr>
      </w:pPr>
      <w:r>
        <w:rPr>
          <w:rFonts w:hint="eastAsia" w:ascii="宋体" w:hAnsi="宋体"/>
          <w:color w:val="000000"/>
          <w:szCs w:val="21"/>
        </w:rPr>
        <w:t>职        务：</w:t>
      </w:r>
    </w:p>
    <w:p>
      <w:pPr>
        <w:spacing w:line="360" w:lineRule="auto"/>
        <w:ind w:left="4599" w:leftChars="2190"/>
        <w:rPr>
          <w:rFonts w:ascii="宋体" w:hAnsi="宋体"/>
          <w:color w:val="000000"/>
          <w:szCs w:val="21"/>
        </w:rPr>
      </w:pPr>
    </w:p>
    <w:p>
      <w:pPr>
        <w:spacing w:line="360" w:lineRule="auto"/>
        <w:ind w:left="4599" w:leftChars="2190"/>
        <w:rPr>
          <w:rFonts w:ascii="宋体" w:hAnsi="宋体"/>
          <w:color w:val="000000"/>
          <w:szCs w:val="21"/>
        </w:rPr>
      </w:pPr>
      <w:r>
        <w:rPr>
          <w:rFonts w:hint="eastAsia" w:ascii="宋体" w:hAnsi="宋体"/>
          <w:color w:val="000000"/>
          <w:spacing w:val="20"/>
          <w:szCs w:val="21"/>
        </w:rPr>
        <w:t>参评人委托人（签字或盖章）</w:t>
      </w:r>
      <w:r>
        <w:rPr>
          <w:rFonts w:hint="eastAsia" w:ascii="宋体" w:hAnsi="宋体"/>
          <w:color w:val="000000"/>
          <w:szCs w:val="21"/>
        </w:rPr>
        <w:t>：</w:t>
      </w:r>
    </w:p>
    <w:p>
      <w:pPr>
        <w:tabs>
          <w:tab w:val="left" w:pos="2041"/>
        </w:tabs>
        <w:spacing w:line="360" w:lineRule="auto"/>
        <w:ind w:left="4599" w:leftChars="2190"/>
        <w:rPr>
          <w:rFonts w:ascii="宋体" w:hAnsi="宋体"/>
          <w:color w:val="000000"/>
          <w:szCs w:val="21"/>
        </w:rPr>
      </w:pPr>
    </w:p>
    <w:p>
      <w:pPr>
        <w:tabs>
          <w:tab w:val="left" w:pos="2041"/>
        </w:tabs>
        <w:spacing w:line="360" w:lineRule="auto"/>
        <w:ind w:left="4599" w:leftChars="2190"/>
        <w:rPr>
          <w:rFonts w:ascii="宋体" w:hAnsi="宋体"/>
          <w:color w:val="000000"/>
          <w:szCs w:val="21"/>
        </w:rPr>
      </w:pPr>
      <w:r>
        <w:rPr>
          <w:rFonts w:hint="eastAsia" w:ascii="宋体" w:hAnsi="宋体"/>
          <w:color w:val="000000"/>
          <w:szCs w:val="21"/>
        </w:rPr>
        <w:t>职       务：</w:t>
      </w:r>
    </w:p>
    <w:p>
      <w:pPr>
        <w:widowControl/>
        <w:spacing w:line="360" w:lineRule="auto"/>
        <w:jc w:val="left"/>
      </w:pPr>
    </w:p>
    <w:p>
      <w:pPr>
        <w:widowControl/>
        <w:spacing w:line="360" w:lineRule="auto"/>
        <w:jc w:val="left"/>
        <w:rPr>
          <w:rFonts w:ascii="宋体" w:hAnsi="宋体" w:cs="Arial"/>
          <w:b/>
          <w:sz w:val="28"/>
          <w:szCs w:val="28"/>
        </w:rPr>
      </w:pPr>
      <w:r>
        <w:rPr>
          <w:rFonts w:ascii="宋体" w:hAnsi="宋体" w:cs="Arial"/>
          <w:szCs w:val="21"/>
        </w:rPr>
        <w:br w:type="page"/>
      </w:r>
      <w:bookmarkStart w:id="21" w:name="_Toc411585239"/>
      <w:bookmarkStart w:id="22" w:name="_Toc367205742"/>
      <w:r>
        <w:rPr>
          <w:rFonts w:hint="eastAsia" w:ascii="宋体" w:hAnsi="宋体" w:cs="Arial"/>
          <w:b/>
          <w:sz w:val="28"/>
          <w:szCs w:val="28"/>
          <w:lang w:eastAsia="zh-Hans"/>
        </w:rPr>
        <w:t>四</w:t>
      </w:r>
      <w:r>
        <w:rPr>
          <w:rFonts w:hint="eastAsia" w:ascii="宋体" w:hAnsi="宋体" w:cs="Arial"/>
          <w:b/>
          <w:sz w:val="28"/>
          <w:szCs w:val="28"/>
        </w:rPr>
        <w:t>、资格部分</w:t>
      </w:r>
    </w:p>
    <w:p>
      <w:pPr>
        <w:widowControl/>
        <w:spacing w:line="360" w:lineRule="auto"/>
        <w:jc w:val="left"/>
        <w:rPr>
          <w:rFonts w:ascii="宋体" w:hAnsi="宋体" w:cs="Arial"/>
          <w:bCs/>
          <w:szCs w:val="21"/>
        </w:rPr>
      </w:pPr>
      <w:r>
        <w:rPr>
          <w:rFonts w:hint="eastAsia" w:ascii="宋体" w:hAnsi="宋体" w:cs="Arial"/>
          <w:bCs/>
          <w:szCs w:val="21"/>
        </w:rPr>
        <w:t>（一）、三证合一营业执照</w:t>
      </w:r>
    </w:p>
    <w:p>
      <w:pPr>
        <w:widowControl/>
        <w:spacing w:line="360" w:lineRule="auto"/>
        <w:jc w:val="left"/>
        <w:rPr>
          <w:rFonts w:ascii="宋体" w:hAnsi="宋体" w:cs="Arial"/>
          <w:bCs/>
          <w:szCs w:val="21"/>
        </w:rPr>
      </w:pPr>
      <w:r>
        <w:rPr>
          <w:rFonts w:hint="eastAsia" w:ascii="宋体" w:hAnsi="宋体" w:cs="Arial"/>
          <w:bCs/>
          <w:szCs w:val="21"/>
        </w:rPr>
        <w:t>（二）、良好的商业信誉和健全的财务会计制度证明</w:t>
      </w:r>
    </w:p>
    <w:p>
      <w:pPr>
        <w:widowControl/>
        <w:spacing w:line="360" w:lineRule="auto"/>
        <w:jc w:val="left"/>
        <w:rPr>
          <w:rFonts w:ascii="宋体" w:hAnsi="宋体" w:cs="Arial"/>
          <w:bCs/>
          <w:szCs w:val="21"/>
        </w:rPr>
      </w:pPr>
      <w:r>
        <w:rPr>
          <w:rFonts w:hint="eastAsia" w:ascii="宋体" w:hAnsi="宋体" w:cs="Arial"/>
          <w:bCs/>
          <w:szCs w:val="21"/>
        </w:rPr>
        <w:t>（三）、税收和社会保障资金的记录证明</w:t>
      </w:r>
    </w:p>
    <w:p>
      <w:pPr>
        <w:widowControl/>
        <w:spacing w:line="360" w:lineRule="auto"/>
        <w:jc w:val="left"/>
        <w:rPr>
          <w:rFonts w:ascii="宋体" w:hAnsi="宋体" w:cs="Arial"/>
          <w:bCs/>
          <w:szCs w:val="21"/>
        </w:rPr>
      </w:pPr>
      <w:r>
        <w:rPr>
          <w:rFonts w:hint="eastAsia" w:ascii="宋体" w:hAnsi="宋体" w:cs="Arial"/>
          <w:bCs/>
          <w:szCs w:val="21"/>
        </w:rPr>
        <w:t>（四）、信用记录</w:t>
      </w:r>
    </w:p>
    <w:p>
      <w:pPr>
        <w:widowControl/>
        <w:spacing w:line="360" w:lineRule="auto"/>
        <w:jc w:val="left"/>
        <w:rPr>
          <w:rFonts w:hint="eastAsia" w:ascii="宋体" w:hAnsi="宋体" w:cs="Arial"/>
          <w:bCs/>
          <w:szCs w:val="21"/>
        </w:rPr>
      </w:pPr>
      <w:r>
        <w:rPr>
          <w:rFonts w:hint="eastAsia" w:ascii="宋体" w:hAnsi="宋体" w:cs="Arial"/>
          <w:bCs/>
          <w:szCs w:val="21"/>
        </w:rPr>
        <w:t>（五）、C</w:t>
      </w:r>
      <w:r>
        <w:rPr>
          <w:rFonts w:ascii="宋体" w:hAnsi="宋体" w:cs="Arial"/>
          <w:bCs/>
          <w:szCs w:val="21"/>
        </w:rPr>
        <w:t>MA</w:t>
      </w:r>
      <w:r>
        <w:rPr>
          <w:rFonts w:hint="eastAsia" w:ascii="宋体" w:hAnsi="宋体" w:cs="Arial"/>
          <w:bCs/>
          <w:szCs w:val="21"/>
        </w:rPr>
        <w:t>资质证书及附表</w:t>
      </w:r>
    </w:p>
    <w:p>
      <w:pPr>
        <w:widowControl/>
        <w:spacing w:line="360" w:lineRule="auto"/>
        <w:jc w:val="left"/>
        <w:rPr>
          <w:rFonts w:ascii="宋体" w:hAnsi="宋体" w:cs="Arial"/>
          <w:bCs/>
          <w:szCs w:val="21"/>
        </w:rPr>
      </w:pPr>
      <w:r>
        <w:rPr>
          <w:rFonts w:hint="eastAsia" w:ascii="宋体" w:hAnsi="宋体" w:cs="Arial"/>
          <w:bCs/>
          <w:szCs w:val="21"/>
        </w:rPr>
        <w:t>（六）、供应商资格声明函（格式自拟）</w:t>
      </w:r>
    </w:p>
    <w:p>
      <w:pPr>
        <w:widowControl/>
        <w:spacing w:line="360" w:lineRule="auto"/>
        <w:jc w:val="left"/>
        <w:rPr>
          <w:rFonts w:ascii="宋体" w:hAnsi="宋体" w:cs="Arial"/>
          <w:b/>
          <w:sz w:val="28"/>
          <w:szCs w:val="28"/>
        </w:rPr>
      </w:pPr>
      <w:r>
        <w:rPr>
          <w:rFonts w:hint="eastAsia" w:ascii="宋体" w:hAnsi="宋体" w:cs="Arial"/>
          <w:bCs/>
          <w:szCs w:val="21"/>
        </w:rPr>
        <w:t>（七）、税费承诺（格式自拟）</w:t>
      </w:r>
    </w:p>
    <w:p>
      <w:pPr>
        <w:widowControl/>
        <w:spacing w:line="360" w:lineRule="auto"/>
        <w:jc w:val="left"/>
        <w:rPr>
          <w:rFonts w:hint="eastAsia" w:ascii="宋体" w:hAnsi="宋体" w:cs="Arial"/>
          <w:bCs/>
          <w:szCs w:val="21"/>
        </w:rPr>
      </w:pPr>
      <w:r>
        <w:rPr>
          <w:rFonts w:hint="eastAsia" w:ascii="宋体" w:hAnsi="宋体" w:cs="Arial"/>
          <w:b w:val="0"/>
          <w:bCs/>
          <w:sz w:val="21"/>
          <w:szCs w:val="21"/>
        </w:rPr>
        <w:t>（八）、其他</w:t>
      </w:r>
      <w:r>
        <w:rPr>
          <w:rFonts w:hint="eastAsia" w:ascii="宋体" w:hAnsi="宋体" w:cs="Arial"/>
          <w:bCs/>
          <w:szCs w:val="21"/>
        </w:rPr>
        <w:t>（如有，格式自拟）</w:t>
      </w:r>
    </w:p>
    <w:p>
      <w:pPr>
        <w:widowControl/>
        <w:spacing w:line="360" w:lineRule="auto"/>
        <w:jc w:val="left"/>
        <w:rPr>
          <w:rFonts w:ascii="宋体" w:hAnsi="宋体" w:cs="Arial"/>
          <w:b/>
          <w:sz w:val="28"/>
          <w:szCs w:val="28"/>
        </w:rPr>
      </w:pPr>
      <w:r>
        <w:rPr>
          <w:rFonts w:hint="eastAsia" w:ascii="宋体" w:hAnsi="宋体" w:cs="Arial"/>
          <w:b/>
          <w:sz w:val="28"/>
          <w:szCs w:val="28"/>
        </w:rPr>
        <w:t>五、技术部分</w:t>
      </w:r>
    </w:p>
    <w:p>
      <w:pPr>
        <w:widowControl/>
        <w:spacing w:line="360" w:lineRule="auto"/>
        <w:jc w:val="left"/>
        <w:rPr>
          <w:rFonts w:ascii="宋体" w:hAnsi="宋体" w:cs="Arial"/>
          <w:bCs/>
          <w:szCs w:val="21"/>
        </w:rPr>
      </w:pPr>
      <w:r>
        <w:rPr>
          <w:rFonts w:hint="eastAsia" w:ascii="宋体" w:hAnsi="宋体" w:cs="Arial"/>
          <w:bCs/>
          <w:szCs w:val="21"/>
        </w:rPr>
        <w:t>（一）、实质性响应一览表</w:t>
      </w:r>
    </w:p>
    <w:p>
      <w:pPr>
        <w:widowControl/>
        <w:spacing w:line="360" w:lineRule="auto"/>
        <w:jc w:val="center"/>
        <w:rPr>
          <w:rFonts w:ascii="宋体" w:hAnsi="宋体" w:cs="Arial"/>
          <w:b/>
          <w:szCs w:val="21"/>
        </w:rPr>
      </w:pPr>
      <w:r>
        <w:rPr>
          <w:rFonts w:hint="eastAsia" w:ascii="宋体" w:hAnsi="宋体" w:cs="Arial"/>
          <w:b/>
          <w:szCs w:val="21"/>
        </w:rPr>
        <w:t>实质性响应一览表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444"/>
        <w:gridCol w:w="1708"/>
        <w:gridCol w:w="197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shd w:val="clear" w:color="auto" w:fill="EAEAEA"/>
            <w:noWrap w:val="0"/>
            <w:vAlign w:val="center"/>
          </w:tcPr>
          <w:p>
            <w:pPr>
              <w:keepNext w:val="0"/>
              <w:keepLines w:val="0"/>
              <w:suppressLineNumbers w:val="0"/>
              <w:spacing w:before="0" w:beforeAutospacing="0" w:after="0" w:afterAutospacing="0"/>
              <w:ind w:left="0" w:right="0"/>
              <w:jc w:val="center"/>
              <w:rPr>
                <w:rFonts w:hint="default" w:ascii="宋体" w:hAnsi="宋体"/>
                <w:b/>
                <w:szCs w:val="20"/>
              </w:rPr>
            </w:pPr>
            <w:r>
              <w:rPr>
                <w:rFonts w:hint="eastAsia" w:ascii="宋体" w:hAnsi="宋体"/>
                <w:b/>
                <w:szCs w:val="20"/>
              </w:rPr>
              <w:t>序号</w:t>
            </w:r>
          </w:p>
        </w:tc>
        <w:tc>
          <w:tcPr>
            <w:tcW w:w="3444" w:type="dxa"/>
            <w:shd w:val="clear" w:color="auto" w:fill="EAEAEA"/>
            <w:noWrap w:val="0"/>
            <w:vAlign w:val="center"/>
          </w:tcPr>
          <w:p>
            <w:pPr>
              <w:keepNext w:val="0"/>
              <w:keepLines w:val="0"/>
              <w:suppressLineNumbers w:val="0"/>
              <w:spacing w:before="0" w:beforeAutospacing="0" w:after="0" w:afterAutospacing="0"/>
              <w:ind w:left="0" w:right="0"/>
              <w:jc w:val="center"/>
              <w:rPr>
                <w:rFonts w:hint="default" w:ascii="宋体" w:hAnsi="宋体"/>
                <w:b/>
                <w:szCs w:val="20"/>
              </w:rPr>
            </w:pPr>
            <w:r>
              <w:rPr>
                <w:rFonts w:hint="eastAsia" w:ascii="宋体" w:hAnsi="宋体"/>
                <w:b/>
                <w:szCs w:val="20"/>
              </w:rPr>
              <w:t>实质性响应指标</w:t>
            </w:r>
          </w:p>
          <w:p>
            <w:pPr>
              <w:keepNext w:val="0"/>
              <w:keepLines w:val="0"/>
              <w:suppressLineNumbers w:val="0"/>
              <w:spacing w:before="0" w:beforeAutospacing="0" w:after="0" w:afterAutospacing="0"/>
              <w:ind w:left="0" w:right="0"/>
              <w:jc w:val="center"/>
              <w:rPr>
                <w:rFonts w:hint="default" w:ascii="宋体" w:hAnsi="宋体"/>
                <w:b/>
                <w:szCs w:val="20"/>
              </w:rPr>
            </w:pPr>
            <w:r>
              <w:rPr>
                <w:rFonts w:hint="eastAsia" w:ascii="宋体" w:hAnsi="宋体"/>
                <w:b/>
                <w:szCs w:val="20"/>
              </w:rPr>
              <w:t>（遴选文件中标注★的条款）</w:t>
            </w:r>
          </w:p>
        </w:tc>
        <w:tc>
          <w:tcPr>
            <w:tcW w:w="1708" w:type="dxa"/>
            <w:shd w:val="clear" w:color="auto" w:fill="EAEAEA"/>
            <w:noWrap w:val="0"/>
            <w:vAlign w:val="center"/>
          </w:tcPr>
          <w:p>
            <w:pPr>
              <w:keepNext w:val="0"/>
              <w:keepLines w:val="0"/>
              <w:suppressLineNumbers w:val="0"/>
              <w:spacing w:before="0" w:beforeAutospacing="0" w:after="0" w:afterAutospacing="0"/>
              <w:ind w:left="0" w:right="0"/>
              <w:jc w:val="center"/>
              <w:rPr>
                <w:rFonts w:hint="default" w:ascii="宋体" w:hAnsi="宋体"/>
                <w:b/>
                <w:szCs w:val="20"/>
              </w:rPr>
            </w:pPr>
            <w:r>
              <w:rPr>
                <w:rFonts w:hint="eastAsia" w:ascii="宋体" w:hAnsi="宋体"/>
                <w:b/>
                <w:szCs w:val="20"/>
              </w:rPr>
              <w:t>参评人响应情况描述</w:t>
            </w:r>
          </w:p>
        </w:tc>
        <w:tc>
          <w:tcPr>
            <w:tcW w:w="1977" w:type="dxa"/>
            <w:shd w:val="clear" w:color="auto" w:fill="EAEAEA"/>
            <w:noWrap w:val="0"/>
            <w:vAlign w:val="center"/>
          </w:tcPr>
          <w:p>
            <w:pPr>
              <w:keepNext w:val="0"/>
              <w:keepLines w:val="0"/>
              <w:suppressLineNumbers w:val="0"/>
              <w:spacing w:before="0" w:beforeAutospacing="0" w:after="0" w:afterAutospacing="0"/>
              <w:ind w:left="0" w:right="0"/>
              <w:jc w:val="center"/>
              <w:rPr>
                <w:rFonts w:hint="default" w:ascii="宋体" w:hAnsi="宋体"/>
                <w:b/>
                <w:szCs w:val="20"/>
              </w:rPr>
            </w:pPr>
            <w:r>
              <w:rPr>
                <w:rFonts w:hint="eastAsia" w:ascii="宋体" w:hAnsi="宋体"/>
                <w:b/>
                <w:szCs w:val="20"/>
              </w:rPr>
              <w:t>偏离说明（正偏离/完全响应/负偏离）</w:t>
            </w:r>
          </w:p>
        </w:tc>
        <w:tc>
          <w:tcPr>
            <w:tcW w:w="1559" w:type="dxa"/>
            <w:shd w:val="clear" w:color="auto" w:fill="EAEAEA"/>
            <w:noWrap w:val="0"/>
            <w:vAlign w:val="center"/>
          </w:tcPr>
          <w:p>
            <w:pPr>
              <w:keepNext w:val="0"/>
              <w:keepLines w:val="0"/>
              <w:suppressLineNumbers w:val="0"/>
              <w:spacing w:before="0" w:beforeAutospacing="0" w:after="0" w:afterAutospacing="0"/>
              <w:ind w:left="0" w:right="0"/>
              <w:jc w:val="center"/>
              <w:rPr>
                <w:rFonts w:hint="default" w:ascii="宋体" w:hAnsi="宋体"/>
                <w:b/>
                <w:szCs w:val="20"/>
              </w:rPr>
            </w:pPr>
            <w:r>
              <w:rPr>
                <w:rFonts w:hint="eastAsia" w:ascii="宋体" w:hAnsi="宋体"/>
                <w:b/>
                <w:szCs w:val="20"/>
              </w:rPr>
              <w:t>对应参评文件位置及页码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3444"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1708"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1977"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1559"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3444"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1708"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1977"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1559"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3444"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1708"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1977"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1559"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3444"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1708"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1977"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1559"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3444"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1708"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1977"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c>
          <w:tcPr>
            <w:tcW w:w="1559" w:type="dxa"/>
            <w:noWrap w:val="0"/>
            <w:vAlign w:val="center"/>
          </w:tcPr>
          <w:p>
            <w:pPr>
              <w:keepNext w:val="0"/>
              <w:keepLines w:val="0"/>
              <w:suppressLineNumbers w:val="0"/>
              <w:spacing w:before="0" w:beforeAutospacing="0" w:after="0" w:afterAutospacing="0" w:line="300" w:lineRule="auto"/>
              <w:ind w:left="0" w:right="0"/>
              <w:jc w:val="center"/>
              <w:rPr>
                <w:rFonts w:hint="default" w:ascii="宋体" w:hAnsi="宋体"/>
                <w:szCs w:val="21"/>
              </w:rPr>
            </w:pPr>
          </w:p>
        </w:tc>
      </w:tr>
    </w:tbl>
    <w:p>
      <w:pPr>
        <w:widowControl/>
        <w:spacing w:line="360" w:lineRule="auto"/>
        <w:jc w:val="left"/>
        <w:rPr>
          <w:rFonts w:ascii="宋体" w:hAnsi="宋体" w:cs="Arial"/>
          <w:b/>
          <w:szCs w:val="21"/>
        </w:rPr>
      </w:pPr>
      <w:r>
        <w:rPr>
          <w:rFonts w:hint="eastAsia" w:ascii="宋体" w:hAnsi="宋体" w:cs="Arial"/>
          <w:b/>
          <w:szCs w:val="21"/>
        </w:rPr>
        <w:t>注：如遴选文件中标有 “★” 的内容，请在上表填写，并作出一一响应。若有一项带 “★” 的指标要求未响应或不满足，其参评文件作无效处理。</w:t>
      </w:r>
    </w:p>
    <w:p>
      <w:pPr>
        <w:widowControl/>
        <w:spacing w:line="360" w:lineRule="auto"/>
        <w:ind w:firstLine="420" w:firstLineChars="200"/>
        <w:jc w:val="left"/>
        <w:rPr>
          <w:rFonts w:ascii="宋体" w:hAnsi="宋体" w:cs="Arial"/>
          <w:szCs w:val="21"/>
        </w:rPr>
      </w:pPr>
      <w:r>
        <w:rPr>
          <w:rFonts w:hint="eastAsia" w:ascii="宋体" w:hAnsi="宋体" w:cs="Arial"/>
          <w:szCs w:val="21"/>
        </w:rPr>
        <w:t>（此表可延长）</w:t>
      </w:r>
    </w:p>
    <w:p>
      <w:pPr>
        <w:widowControl/>
        <w:spacing w:line="360" w:lineRule="auto"/>
        <w:jc w:val="left"/>
        <w:rPr>
          <w:rFonts w:ascii="宋体" w:hAnsi="宋体" w:cs="宋体"/>
          <w:szCs w:val="21"/>
        </w:rPr>
      </w:pPr>
    </w:p>
    <w:p>
      <w:pPr>
        <w:widowControl/>
        <w:spacing w:line="360" w:lineRule="auto"/>
        <w:jc w:val="left"/>
        <w:rPr>
          <w:rFonts w:ascii="宋体" w:hAnsi="宋体" w:cs="宋体"/>
          <w:szCs w:val="21"/>
        </w:rPr>
      </w:pPr>
      <w:r>
        <w:rPr>
          <w:rFonts w:hint="eastAsia" w:ascii="宋体" w:hAnsi="宋体" w:cs="宋体"/>
          <w:szCs w:val="21"/>
        </w:rPr>
        <w:t>参评人名称（并加盖公章）：</w:t>
      </w:r>
    </w:p>
    <w:p>
      <w:pPr>
        <w:widowControl/>
        <w:spacing w:line="360" w:lineRule="auto"/>
        <w:jc w:val="left"/>
        <w:rPr>
          <w:rFonts w:ascii="宋体" w:hAnsi="宋体" w:cs="宋体"/>
          <w:szCs w:val="21"/>
          <w:u w:val="single"/>
        </w:rPr>
      </w:pPr>
      <w:r>
        <w:rPr>
          <w:rFonts w:hint="eastAsia" w:ascii="宋体" w:hAnsi="宋体" w:cs="宋体"/>
          <w:szCs w:val="21"/>
        </w:rPr>
        <w:t>参评人法定代表人或其委托人签名或印鉴：</w:t>
      </w:r>
      <w:r>
        <w:rPr>
          <w:rFonts w:hint="eastAsia" w:ascii="宋体" w:hAnsi="宋体" w:cs="宋体"/>
          <w:szCs w:val="21"/>
          <w:u w:val="single"/>
        </w:rPr>
        <w:t xml:space="preserve">                  </w:t>
      </w:r>
    </w:p>
    <w:p>
      <w:pPr>
        <w:widowControl/>
        <w:spacing w:line="360" w:lineRule="auto"/>
        <w:jc w:val="left"/>
        <w:rPr>
          <w:rFonts w:ascii="宋体" w:hAnsi="宋体" w:cs="宋体"/>
          <w:szCs w:val="21"/>
        </w:rPr>
      </w:pPr>
      <w:r>
        <w:rPr>
          <w:rFonts w:hint="eastAsia" w:ascii="宋体" w:hAnsi="宋体" w:cs="宋体"/>
          <w:szCs w:val="21"/>
        </w:rPr>
        <w:t>日期：   年   月   日</w:t>
      </w:r>
      <w:r>
        <w:rPr>
          <w:rFonts w:hint="eastAsia"/>
          <w:szCs w:val="21"/>
        </w:rPr>
        <w:t>：</w:t>
      </w:r>
      <w:bookmarkEnd w:id="21"/>
      <w:bookmarkEnd w:id="22"/>
    </w:p>
    <w:p>
      <w:pPr>
        <w:widowControl/>
        <w:spacing w:line="360" w:lineRule="auto"/>
        <w:jc w:val="left"/>
        <w:rPr>
          <w:rFonts w:ascii="宋体" w:hAnsi="宋体"/>
          <w:szCs w:val="21"/>
        </w:rPr>
      </w:pPr>
      <w:bookmarkStart w:id="23" w:name="_Toc367205743"/>
    </w:p>
    <w:p>
      <w:pPr>
        <w:widowControl/>
        <w:spacing w:line="360" w:lineRule="auto"/>
        <w:jc w:val="left"/>
        <w:rPr>
          <w:rFonts w:ascii="宋体" w:hAnsi="宋体"/>
          <w:szCs w:val="21"/>
        </w:rPr>
      </w:pPr>
    </w:p>
    <w:bookmarkEnd w:id="23"/>
    <w:p>
      <w:pPr>
        <w:widowControl/>
        <w:spacing w:line="360" w:lineRule="auto"/>
        <w:jc w:val="left"/>
        <w:rPr>
          <w:rFonts w:hint="eastAsia" w:ascii="宋体" w:hAnsi="宋体"/>
          <w:b w:val="0"/>
          <w:sz w:val="21"/>
          <w:szCs w:val="20"/>
        </w:rPr>
      </w:pPr>
      <w:r>
        <w:rPr>
          <w:rFonts w:hint="eastAsia" w:ascii="宋体" w:hAnsi="宋体"/>
          <w:lang w:eastAsia="zh-Hans"/>
        </w:rPr>
        <w:t>（二）、服务方案</w:t>
      </w:r>
      <w:r>
        <w:rPr>
          <w:rFonts w:hint="eastAsia" w:ascii="宋体" w:hAnsi="宋体"/>
        </w:rPr>
        <w:t>（格式自拟）</w:t>
      </w:r>
    </w:p>
    <w:p>
      <w:pPr>
        <w:widowControl/>
        <w:spacing w:line="360" w:lineRule="auto"/>
        <w:jc w:val="left"/>
        <w:rPr>
          <w:rFonts w:ascii="宋体" w:hAnsi="宋体"/>
        </w:rPr>
      </w:pPr>
      <w:r>
        <w:rPr>
          <w:rFonts w:hint="eastAsia" w:ascii="宋体" w:hAnsi="宋体"/>
          <w:lang w:eastAsia="zh-Hans"/>
        </w:rPr>
        <w:t>（三）</w:t>
      </w:r>
      <w:r>
        <w:rPr>
          <w:rFonts w:hint="eastAsia" w:ascii="宋体" w:hAnsi="宋体"/>
        </w:rPr>
        <w:t>、</w:t>
      </w:r>
      <w:r>
        <w:rPr>
          <w:rFonts w:hint="eastAsia" w:ascii="宋体" w:hAnsi="宋体"/>
          <w:lang w:eastAsia="zh-Hans"/>
        </w:rPr>
        <w:t>质量保证体系</w:t>
      </w:r>
      <w:r>
        <w:rPr>
          <w:rFonts w:hint="eastAsia" w:ascii="宋体" w:hAnsi="宋体"/>
        </w:rPr>
        <w:t>（格式自拟）</w:t>
      </w:r>
    </w:p>
    <w:p>
      <w:pPr>
        <w:widowControl/>
        <w:spacing w:line="360" w:lineRule="auto"/>
        <w:jc w:val="left"/>
        <w:rPr>
          <w:rFonts w:ascii="宋体" w:hAnsi="宋体"/>
          <w:lang w:eastAsia="zh-Hans"/>
        </w:rPr>
      </w:pPr>
      <w:r>
        <w:rPr>
          <w:rFonts w:hint="eastAsia" w:ascii="宋体" w:hAnsi="宋体"/>
          <w:lang w:eastAsia="zh-Hans"/>
        </w:rPr>
        <w:t>（四）、检验时间承诺</w:t>
      </w:r>
      <w:r>
        <w:rPr>
          <w:rFonts w:hint="eastAsia" w:ascii="宋体" w:hAnsi="宋体"/>
        </w:rPr>
        <w:t>（格式自拟）</w:t>
      </w:r>
    </w:p>
    <w:p>
      <w:pPr>
        <w:widowControl/>
        <w:spacing w:line="360" w:lineRule="auto"/>
        <w:jc w:val="left"/>
        <w:rPr>
          <w:rFonts w:ascii="宋体" w:hAnsi="宋体"/>
          <w:lang w:eastAsia="zh-Hans"/>
        </w:rPr>
      </w:pPr>
      <w:r>
        <w:rPr>
          <w:rFonts w:hint="eastAsia" w:ascii="宋体" w:hAnsi="宋体"/>
          <w:lang w:eastAsia="zh-Hans"/>
        </w:rPr>
        <w:t>（五）、突发事件应急措施</w:t>
      </w:r>
      <w:r>
        <w:rPr>
          <w:rFonts w:hint="eastAsia" w:ascii="宋体" w:hAnsi="宋体"/>
        </w:rPr>
        <w:t>（格式自拟）</w:t>
      </w:r>
    </w:p>
    <w:p>
      <w:pPr>
        <w:widowControl/>
        <w:spacing w:line="360" w:lineRule="auto"/>
        <w:ind w:firstLine="281" w:firstLineChars="100"/>
        <w:jc w:val="left"/>
        <w:rPr>
          <w:rFonts w:ascii="宋体" w:hAnsi="宋体" w:cs="Arial"/>
          <w:b/>
          <w:sz w:val="28"/>
          <w:szCs w:val="28"/>
        </w:rPr>
      </w:pPr>
      <w:r>
        <w:rPr>
          <w:rFonts w:hint="eastAsia" w:ascii="宋体" w:hAnsi="宋体" w:cs="Arial"/>
          <w:b/>
          <w:sz w:val="28"/>
          <w:szCs w:val="28"/>
          <w:lang w:eastAsia="zh-Hans"/>
        </w:rPr>
        <w:t>六</w:t>
      </w:r>
      <w:r>
        <w:rPr>
          <w:rFonts w:hint="eastAsia" w:ascii="宋体" w:hAnsi="宋体" w:cs="Arial"/>
          <w:b/>
          <w:sz w:val="28"/>
          <w:szCs w:val="28"/>
        </w:rPr>
        <w:t>、商务部分</w:t>
      </w:r>
    </w:p>
    <w:p>
      <w:pPr>
        <w:widowControl/>
        <w:spacing w:line="360" w:lineRule="auto"/>
        <w:jc w:val="left"/>
        <w:rPr>
          <w:rFonts w:ascii="宋体" w:hAnsi="宋体"/>
          <w:lang w:eastAsia="zh-Hans"/>
        </w:rPr>
      </w:pPr>
      <w:r>
        <w:rPr>
          <w:rFonts w:hint="eastAsia" w:ascii="宋体" w:hAnsi="宋体"/>
          <w:lang w:eastAsia="zh-Hans"/>
        </w:rPr>
        <w:t>（一）、实验室能力（格式自拟）</w:t>
      </w:r>
    </w:p>
    <w:p>
      <w:pPr>
        <w:widowControl/>
        <w:spacing w:line="360" w:lineRule="auto"/>
        <w:jc w:val="left"/>
        <w:rPr>
          <w:rFonts w:ascii="宋体" w:hAnsi="宋体"/>
        </w:rPr>
      </w:pPr>
      <w:r>
        <w:rPr>
          <w:rFonts w:hint="eastAsia" w:ascii="宋体" w:hAnsi="宋体"/>
          <w:lang w:eastAsia="zh-Hans"/>
        </w:rPr>
        <w:t>（二）、信用中国信用信息报告</w:t>
      </w:r>
      <w:r>
        <w:rPr>
          <w:rFonts w:hint="eastAsia" w:ascii="宋体" w:hAnsi="宋体"/>
        </w:rPr>
        <w:t xml:space="preserve"> </w:t>
      </w:r>
    </w:p>
    <w:p>
      <w:pPr>
        <w:widowControl/>
        <w:spacing w:line="360" w:lineRule="auto"/>
        <w:jc w:val="left"/>
        <w:rPr>
          <w:rFonts w:ascii="宋体" w:hAnsi="宋体"/>
          <w:lang w:eastAsia="zh-Hans"/>
        </w:rPr>
      </w:pPr>
      <w:r>
        <w:rPr>
          <w:rFonts w:hint="eastAsia" w:ascii="宋体" w:hAnsi="宋体"/>
          <w:lang w:eastAsia="zh-Hans"/>
        </w:rPr>
        <w:t>（三）、相关认证认可（格式自拟）</w:t>
      </w:r>
    </w:p>
    <w:p>
      <w:pPr>
        <w:widowControl/>
        <w:spacing w:line="360" w:lineRule="auto"/>
        <w:jc w:val="left"/>
        <w:rPr>
          <w:rFonts w:ascii="宋体" w:hAnsi="宋体"/>
          <w:lang w:eastAsia="zh-Hans"/>
        </w:rPr>
      </w:pPr>
      <w:r>
        <w:rPr>
          <w:rFonts w:hint="eastAsia" w:ascii="宋体" w:hAnsi="宋体"/>
          <w:lang w:eastAsia="zh-Hans"/>
        </w:rPr>
        <w:t>（四）、类似业绩（格式自拟）</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2245"/>
        <w:gridCol w:w="2851"/>
        <w:gridCol w:w="1071"/>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序号</w:t>
            </w:r>
          </w:p>
        </w:tc>
        <w:tc>
          <w:tcPr>
            <w:tcW w:w="13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客户名称</w:t>
            </w:r>
          </w:p>
        </w:tc>
        <w:tc>
          <w:tcPr>
            <w:tcW w:w="16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项目名称及合同金额（万元）</w:t>
            </w:r>
          </w:p>
        </w:tc>
        <w:tc>
          <w:tcPr>
            <w:tcW w:w="6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实施时间</w:t>
            </w:r>
          </w:p>
        </w:tc>
        <w:tc>
          <w:tcPr>
            <w:tcW w:w="10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1</w:t>
            </w:r>
          </w:p>
        </w:tc>
        <w:tc>
          <w:tcPr>
            <w:tcW w:w="13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6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6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0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2</w:t>
            </w:r>
          </w:p>
        </w:tc>
        <w:tc>
          <w:tcPr>
            <w:tcW w:w="13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6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629" w:type="pct"/>
            <w:tcBorders>
              <w:top w:val="single" w:color="auto" w:sz="4" w:space="0"/>
              <w:left w:val="single" w:color="auto" w:sz="4" w:space="0"/>
              <w:bottom w:val="single" w:color="auto" w:sz="4" w:space="0"/>
              <w:right w:val="single" w:color="auto" w:sz="4" w:space="0"/>
            </w:tcBorders>
            <w:noWrap w:val="0"/>
            <w:vAlign w:val="center"/>
          </w:tcPr>
          <w:p>
            <w:pPr>
              <w:pStyle w:val="51"/>
              <w:keepNext w:val="0"/>
              <w:keepLines w:val="0"/>
              <w:suppressLineNumbers w:val="0"/>
              <w:spacing w:before="0" w:beforeAutospacing="0" w:after="0" w:afterAutospacing="0"/>
              <w:rPr>
                <w:rFonts w:hint="default" w:ascii="宋体" w:hAnsi="宋体"/>
                <w:color w:val="auto"/>
              </w:rPr>
            </w:pPr>
          </w:p>
        </w:tc>
        <w:tc>
          <w:tcPr>
            <w:tcW w:w="10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3</w:t>
            </w:r>
          </w:p>
        </w:tc>
        <w:tc>
          <w:tcPr>
            <w:tcW w:w="13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6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6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0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w:t>
            </w:r>
          </w:p>
        </w:tc>
        <w:tc>
          <w:tcPr>
            <w:tcW w:w="13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6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62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0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bl>
    <w:p>
      <w:pPr>
        <w:spacing w:line="360" w:lineRule="auto"/>
        <w:rPr>
          <w:rFonts w:ascii="宋体" w:hAnsi="宋体"/>
          <w:szCs w:val="21"/>
        </w:rPr>
      </w:pPr>
      <w:r>
        <w:rPr>
          <w:rFonts w:hint="eastAsia" w:ascii="宋体" w:hAnsi="宋体"/>
          <w:szCs w:val="21"/>
        </w:rPr>
        <w:t>注：供参考</w:t>
      </w:r>
    </w:p>
    <w:p>
      <w:pPr>
        <w:widowControl/>
        <w:spacing w:line="360" w:lineRule="auto"/>
        <w:jc w:val="left"/>
        <w:rPr>
          <w:rFonts w:ascii="宋体" w:hAnsi="宋体"/>
        </w:rPr>
      </w:pPr>
    </w:p>
    <w:p>
      <w:pPr>
        <w:widowControl/>
        <w:spacing w:line="360" w:lineRule="auto"/>
        <w:jc w:val="left"/>
        <w:rPr>
          <w:rFonts w:ascii="宋体" w:hAnsi="宋体"/>
          <w:b/>
          <w:sz w:val="28"/>
          <w:szCs w:val="28"/>
          <w:lang w:eastAsia="zh-Hans"/>
        </w:rPr>
      </w:pPr>
      <w:r>
        <w:rPr>
          <w:rFonts w:hint="eastAsia" w:ascii="宋体" w:hAnsi="宋体"/>
          <w:b/>
          <w:sz w:val="28"/>
          <w:szCs w:val="28"/>
        </w:rPr>
        <w:t>七</w:t>
      </w:r>
      <w:r>
        <w:rPr>
          <w:rFonts w:hint="eastAsia" w:ascii="宋体" w:hAnsi="宋体"/>
          <w:b/>
          <w:sz w:val="28"/>
          <w:szCs w:val="28"/>
          <w:lang w:eastAsia="zh-Hans"/>
        </w:rPr>
        <w:t>、质量（完成时间、安全、环保）保障措施及方案</w:t>
      </w:r>
    </w:p>
    <w:p>
      <w:pPr>
        <w:widowControl/>
        <w:spacing w:line="360" w:lineRule="auto"/>
        <w:jc w:val="left"/>
        <w:rPr>
          <w:rFonts w:ascii="宋体" w:hAnsi="宋体"/>
          <w:b/>
          <w:sz w:val="28"/>
          <w:szCs w:val="28"/>
          <w:lang w:eastAsia="zh-Hans"/>
        </w:rPr>
      </w:pPr>
    </w:p>
    <w:p>
      <w:pPr>
        <w:spacing w:line="360" w:lineRule="auto"/>
        <w:ind w:right="136" w:rightChars="65"/>
        <w:jc w:val="center"/>
        <w:rPr>
          <w:rFonts w:ascii="宋体" w:hAnsi="宋体"/>
          <w:b/>
          <w:kern w:val="0"/>
          <w:szCs w:val="21"/>
        </w:rPr>
      </w:pPr>
      <w:r>
        <w:rPr>
          <w:rFonts w:hint="eastAsia" w:ascii="宋体" w:hAnsi="宋体"/>
          <w:b/>
          <w:kern w:val="0"/>
          <w:szCs w:val="21"/>
          <w:lang w:eastAsia="zh-Hans"/>
        </w:rPr>
        <w:t>质量（完成时间、安全、环保）保障措施及方案</w:t>
      </w:r>
    </w:p>
    <w:p>
      <w:pPr>
        <w:widowControl/>
        <w:spacing w:line="360" w:lineRule="auto"/>
        <w:jc w:val="center"/>
        <w:rPr>
          <w:rFonts w:ascii="宋体" w:hAnsi="宋体"/>
        </w:rPr>
      </w:pPr>
      <w:r>
        <w:rPr>
          <w:rFonts w:hint="eastAsia" w:ascii="宋体" w:hAnsi="宋体"/>
        </w:rPr>
        <w:t>（格式自拟）</w:t>
      </w:r>
    </w:p>
    <w:p>
      <w:pPr>
        <w:pStyle w:val="7"/>
        <w:rPr>
          <w:b/>
          <w:kern w:val="2"/>
          <w:sz w:val="28"/>
          <w:szCs w:val="28"/>
          <w:lang w:eastAsia="zh-Hans"/>
        </w:rPr>
      </w:pPr>
      <w:r>
        <w:rPr>
          <w:rFonts w:hint="eastAsia"/>
          <w:b/>
          <w:kern w:val="2"/>
          <w:sz w:val="28"/>
          <w:szCs w:val="28"/>
        </w:rPr>
        <w:t>八</w:t>
      </w:r>
      <w:r>
        <w:rPr>
          <w:rFonts w:hint="eastAsia"/>
          <w:b/>
          <w:kern w:val="2"/>
          <w:sz w:val="28"/>
          <w:szCs w:val="28"/>
          <w:lang w:eastAsia="zh-Hans"/>
        </w:rPr>
        <w:t>、参评人认为必要的其他资料</w:t>
      </w:r>
    </w:p>
    <w:p>
      <w:pPr>
        <w:widowControl/>
        <w:spacing w:line="360" w:lineRule="auto"/>
        <w:ind w:firstLine="0" w:firstLineChars="0"/>
        <w:jc w:val="center"/>
        <w:rPr>
          <w:rFonts w:hint="eastAsia" w:ascii="宋体" w:hAnsi="宋体"/>
          <w:sz w:val="28"/>
        </w:rPr>
      </w:pPr>
      <w:r>
        <w:rPr>
          <w:rFonts w:hint="eastAsia" w:ascii="宋体" w:hAnsi="宋体"/>
        </w:rPr>
        <w:t>（格式自拟）</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8"/>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3000509000000000000"/>
    <w:charset w:val="86"/>
    <w:family w:val="script"/>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Courier">
    <w:altName w:val="Liberation Mono"/>
    <w:panose1 w:val="02070409020205020404"/>
    <w:charset w:val="00"/>
    <w:family w:val="moder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altName w:val="DejaVu Sans"/>
    <w:panose1 w:val="020B0604030504040204"/>
    <w:charset w:val="00"/>
    <w:family w:val="swiss"/>
    <w:pitch w:val="default"/>
    <w:sig w:usb0="00000000" w:usb1="00000000" w:usb2="00000029" w:usb3="00000000" w:csb0="200101FF" w:csb1="20280000"/>
  </w:font>
  <w:font w:name="Wingdings 2">
    <w:altName w:val="宋体-PUA"/>
    <w:panose1 w:val="05020102010507070707"/>
    <w:charset w:val="00"/>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宋体-PUA">
    <w:panose1 w:val="02010600030101010101"/>
    <w:charset w:val="86"/>
    <w:family w:val="auto"/>
    <w:pitch w:val="default"/>
    <w:sig w:usb0="00000000" w:usb1="10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28"/>
        <w:szCs w:val="28"/>
      </w:rPr>
    </w:pPr>
    <w:r>
      <w:rPr>
        <w:rFonts w:hint="eastAsia"/>
        <w:sz w:val="28"/>
        <w:szCs w:val="28"/>
      </w:rPr>
      <w:t xml:space="preserve">专家签名： </w:t>
    </w:r>
  </w:p>
  <w:p>
    <w:pPr>
      <w:pStyle w:val="15"/>
      <w:tabs>
        <w:tab w:val="left" w:pos="5356"/>
      </w:tabs>
    </w:pPr>
    <w:r>
      <w:rPr>
        <w:rFonts w:hint="eastAsia"/>
      </w:rPr>
      <w:tab/>
    </w:r>
    <w:r>
      <w:rPr>
        <w:rFonts w:hint="eastAsia"/>
      </w:rPr>
      <w:tab/>
    </w:r>
    <w:r>
      <w:rPr>
        <w:rFonts w:hint="eastAsia"/>
      </w:rPr>
      <w:tab/>
    </w:r>
  </w:p>
  <w:p>
    <w:pPr>
      <w:pStyle w:val="15"/>
      <w:jc w:val="right"/>
    </w:pPr>
  </w:p>
  <w:p>
    <w:pPr>
      <w:pStyle w:val="15"/>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5356"/>
      </w:tabs>
    </w:pPr>
    <w:r>
      <w:rPr>
        <w:rFonts w:hint="eastAsia"/>
      </w:rPr>
      <w:tab/>
    </w:r>
    <w:r>
      <w:rPr>
        <w:rFonts w:hint="eastAsia"/>
      </w:rPr>
      <w:tab/>
    </w:r>
    <w:r>
      <w:rPr>
        <w:rFonts w:hint="eastAsia"/>
      </w:rPr>
      <w:tab/>
    </w:r>
  </w:p>
  <w:p>
    <w:pPr>
      <w:pStyle w:val="15"/>
      <w:jc w:val="right"/>
    </w:pPr>
  </w:p>
  <w:p>
    <w:pPr>
      <w:pStyle w:val="15"/>
      <w:jc w:val="right"/>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9"/>
      </w:rPr>
    </w:pPr>
    <w:r>
      <w:fldChar w:fldCharType="begin"/>
    </w:r>
    <w:r>
      <w:rPr>
        <w:rStyle w:val="29"/>
      </w:rPr>
      <w:instrText xml:space="preserve">PAGE  </w:instrText>
    </w:r>
    <w:r>
      <w:fldChar w:fldCharType="end"/>
    </w:r>
  </w:p>
  <w:p>
    <w:pPr>
      <w:pStyle w:val="1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8"/>
    <w:multiLevelType w:val="multilevel"/>
    <w:tmpl w:val="00000028"/>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19A179C5"/>
    <w:multiLevelType w:val="multilevel"/>
    <w:tmpl w:val="19A179C5"/>
    <w:lvl w:ilvl="0" w:tentative="0">
      <w:start w:val="1"/>
      <w:numFmt w:val="japaneseCounting"/>
      <w:lvlText w:val="%1、"/>
      <w:lvlJc w:val="left"/>
      <w:pPr>
        <w:tabs>
          <w:tab w:val="left" w:pos="840"/>
        </w:tabs>
        <w:ind w:left="840" w:hanging="420"/>
      </w:pPr>
      <w:rPr>
        <w:rFonts w:hint="eastAsia" w:cs="Times New Roman"/>
      </w:rPr>
    </w:lvl>
    <w:lvl w:ilvl="1" w:tentative="0">
      <w:start w:val="1"/>
      <w:numFmt w:val="decimal"/>
      <w:lvlText w:val="（%2）"/>
      <w:lvlJc w:val="left"/>
      <w:pPr>
        <w:tabs>
          <w:tab w:val="left" w:pos="1560"/>
        </w:tabs>
        <w:ind w:left="1560" w:hanging="720"/>
      </w:pPr>
      <w:rPr>
        <w:rFonts w:hint="eastAsia" w:cs="Times New Roman"/>
      </w:rPr>
    </w:lvl>
    <w:lvl w:ilvl="2" w:tentative="0">
      <w:start w:val="1"/>
      <w:numFmt w:val="decimal"/>
      <w:lvlText w:val="%3."/>
      <w:lvlJc w:val="left"/>
      <w:pPr>
        <w:tabs>
          <w:tab w:val="left" w:pos="1680"/>
        </w:tabs>
        <w:ind w:left="1680" w:hanging="420"/>
      </w:pPr>
      <w:rPr>
        <w:rFonts w:hint="eastAsia" w:cs="Times New Roman"/>
      </w:rPr>
    </w:lvl>
    <w:lvl w:ilvl="3" w:tentative="0">
      <w:start w:val="7"/>
      <w:numFmt w:val="decimal"/>
      <w:lvlText w:val="%4、"/>
      <w:lvlJc w:val="left"/>
      <w:pPr>
        <w:tabs>
          <w:tab w:val="left" w:pos="2400"/>
        </w:tabs>
        <w:ind w:left="2400" w:hanging="720"/>
      </w:pPr>
      <w:rPr>
        <w:rFonts w:hint="default"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2">
    <w:nsid w:val="34A30D37"/>
    <w:multiLevelType w:val="multilevel"/>
    <w:tmpl w:val="34A30D37"/>
    <w:lvl w:ilvl="0" w:tentative="0">
      <w:start w:val="1"/>
      <w:numFmt w:val="decimal"/>
      <w:lvlText w:val="%1"/>
      <w:lvlJc w:val="left"/>
      <w:pPr>
        <w:tabs>
          <w:tab w:val="left" w:pos="1955"/>
        </w:tabs>
        <w:ind w:left="1955" w:hanging="170"/>
      </w:pPr>
      <w:rPr>
        <w:rFonts w:hint="default" w:ascii="Times New Roman" w:hAnsi="Times New Roman" w:eastAsia="宋体"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00C500D"/>
    <w:multiLevelType w:val="multilevel"/>
    <w:tmpl w:val="400C500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0008A94"/>
    <w:multiLevelType w:val="singleLevel"/>
    <w:tmpl w:val="60008A94"/>
    <w:lvl w:ilvl="0" w:tentative="0">
      <w:start w:val="1"/>
      <w:numFmt w:val="decimal"/>
      <w:suff w:val="nothing"/>
      <w:lvlText w:val="%1．"/>
      <w:lvlJc w:val="left"/>
      <w:pPr>
        <w:ind w:left="0" w:firstLine="400"/>
      </w:pPr>
      <w:rPr>
        <w:rFonts w:hint="default"/>
      </w:rPr>
    </w:lvl>
  </w:abstractNum>
  <w:abstractNum w:abstractNumId="5">
    <w:nsid w:val="60008C5E"/>
    <w:multiLevelType w:val="singleLevel"/>
    <w:tmpl w:val="60008C5E"/>
    <w:lvl w:ilvl="0" w:tentative="0">
      <w:start w:val="1"/>
      <w:numFmt w:val="decimal"/>
      <w:suff w:val="nothing"/>
      <w:lvlText w:val="%1．"/>
      <w:lvlJc w:val="left"/>
      <w:pPr>
        <w:ind w:left="0" w:firstLine="400"/>
      </w:pPr>
      <w:rPr>
        <w:rFonts w:hint="default"/>
      </w:rPr>
    </w:lvl>
  </w:abstractNum>
  <w:abstractNum w:abstractNumId="6">
    <w:nsid w:val="60008CFF"/>
    <w:multiLevelType w:val="singleLevel"/>
    <w:tmpl w:val="60008CFF"/>
    <w:lvl w:ilvl="0" w:tentative="0">
      <w:start w:val="1"/>
      <w:numFmt w:val="decimal"/>
      <w:suff w:val="nothing"/>
      <w:lvlText w:val="（%1）"/>
      <w:lvlJc w:val="left"/>
      <w:pPr>
        <w:ind w:left="0" w:firstLine="420"/>
      </w:pPr>
      <w:rPr>
        <w:rFonts w:hint="default"/>
      </w:rPr>
    </w:lvl>
  </w:abstractNum>
  <w:abstractNum w:abstractNumId="7">
    <w:nsid w:val="60008D1D"/>
    <w:multiLevelType w:val="singleLevel"/>
    <w:tmpl w:val="60008D1D"/>
    <w:lvl w:ilvl="0" w:tentative="0">
      <w:start w:val="1"/>
      <w:numFmt w:val="decimal"/>
      <w:suff w:val="nothing"/>
      <w:lvlText w:val="（%1）"/>
      <w:lvlJc w:val="left"/>
      <w:pPr>
        <w:ind w:left="0" w:firstLine="420"/>
      </w:pPr>
      <w:rPr>
        <w:rFonts w:hint="default"/>
      </w:rPr>
    </w:lvl>
  </w:abstractNum>
  <w:abstractNum w:abstractNumId="8">
    <w:nsid w:val="60008D40"/>
    <w:multiLevelType w:val="singleLevel"/>
    <w:tmpl w:val="60008D40"/>
    <w:lvl w:ilvl="0" w:tentative="0">
      <w:start w:val="1"/>
      <w:numFmt w:val="decimal"/>
      <w:suff w:val="nothing"/>
      <w:lvlText w:val="（%1）"/>
      <w:lvlJc w:val="left"/>
      <w:pPr>
        <w:ind w:left="0" w:firstLine="420"/>
      </w:pPr>
      <w:rPr>
        <w:rFonts w:hint="default"/>
      </w:rPr>
    </w:lvl>
  </w:abstractNum>
  <w:abstractNum w:abstractNumId="9">
    <w:nsid w:val="68BA719A"/>
    <w:multiLevelType w:val="multilevel"/>
    <w:tmpl w:val="68BA719A"/>
    <w:lvl w:ilvl="0" w:tentative="0">
      <w:start w:val="1"/>
      <w:numFmt w:val="decimal"/>
      <w:lvlText w:val="(%1)"/>
      <w:lvlJc w:val="left"/>
      <w:pPr>
        <w:tabs>
          <w:tab w:val="left" w:pos="780"/>
        </w:tabs>
        <w:ind w:left="780" w:hanging="360"/>
      </w:pPr>
      <w:rPr>
        <w:rFonts w:hint="default" w:ascii="Arial" w:hAnsi="Arial" w:cs="Times New Roman"/>
      </w:rPr>
    </w:lvl>
    <w:lvl w:ilvl="1" w:tentative="0">
      <w:start w:val="1"/>
      <w:numFmt w:val="decimal"/>
      <w:lvlText w:val="%2、"/>
      <w:lvlJc w:val="left"/>
      <w:pPr>
        <w:tabs>
          <w:tab w:val="left" w:pos="1200"/>
        </w:tabs>
        <w:ind w:left="1200" w:hanging="36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0">
    <w:nsid w:val="6EF75305"/>
    <w:multiLevelType w:val="singleLevel"/>
    <w:tmpl w:val="6EF75305"/>
    <w:lvl w:ilvl="0" w:tentative="0">
      <w:start w:val="3"/>
      <w:numFmt w:val="decimal"/>
      <w:suff w:val="nothing"/>
      <w:lvlText w:val="%1、"/>
      <w:lvlJc w:val="left"/>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10"/>
  </w:num>
  <w:num w:numId="8">
    <w:abstractNumId w:val="1"/>
  </w:num>
  <w:num w:numId="9">
    <w:abstractNumId w:val="9"/>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hYmNhZDRjZWY5NzA0MjcyYzk3MzFkYzg1Yjk1OGQifQ=="/>
  </w:docVars>
  <w:rsids>
    <w:rsidRoot w:val="00172A27"/>
    <w:rsid w:val="00003620"/>
    <w:rsid w:val="0001136A"/>
    <w:rsid w:val="00026B4F"/>
    <w:rsid w:val="00032255"/>
    <w:rsid w:val="000411F7"/>
    <w:rsid w:val="00050F38"/>
    <w:rsid w:val="00077A6A"/>
    <w:rsid w:val="000821F2"/>
    <w:rsid w:val="000868B1"/>
    <w:rsid w:val="00086E23"/>
    <w:rsid w:val="000B302B"/>
    <w:rsid w:val="000B3B7B"/>
    <w:rsid w:val="000B447A"/>
    <w:rsid w:val="000C6FDF"/>
    <w:rsid w:val="000D70A5"/>
    <w:rsid w:val="000D7AC1"/>
    <w:rsid w:val="000E2445"/>
    <w:rsid w:val="000E2FD9"/>
    <w:rsid w:val="00101B65"/>
    <w:rsid w:val="00105C3C"/>
    <w:rsid w:val="00113F11"/>
    <w:rsid w:val="001273B3"/>
    <w:rsid w:val="001403A9"/>
    <w:rsid w:val="00141654"/>
    <w:rsid w:val="0014623F"/>
    <w:rsid w:val="00165A77"/>
    <w:rsid w:val="00165CAB"/>
    <w:rsid w:val="00172A27"/>
    <w:rsid w:val="00182CB0"/>
    <w:rsid w:val="001A0A39"/>
    <w:rsid w:val="001C290C"/>
    <w:rsid w:val="001C6AD7"/>
    <w:rsid w:val="001E31E8"/>
    <w:rsid w:val="001F3AE4"/>
    <w:rsid w:val="001F4C34"/>
    <w:rsid w:val="001F4F5C"/>
    <w:rsid w:val="002161B4"/>
    <w:rsid w:val="00217131"/>
    <w:rsid w:val="00227B80"/>
    <w:rsid w:val="0023744C"/>
    <w:rsid w:val="00237498"/>
    <w:rsid w:val="002639DE"/>
    <w:rsid w:val="00272A45"/>
    <w:rsid w:val="00273031"/>
    <w:rsid w:val="00284016"/>
    <w:rsid w:val="00295624"/>
    <w:rsid w:val="0029567D"/>
    <w:rsid w:val="0029584E"/>
    <w:rsid w:val="002A373A"/>
    <w:rsid w:val="002A604A"/>
    <w:rsid w:val="002C3159"/>
    <w:rsid w:val="002C58EF"/>
    <w:rsid w:val="002C7D7E"/>
    <w:rsid w:val="002D441A"/>
    <w:rsid w:val="002D56FE"/>
    <w:rsid w:val="002D66D3"/>
    <w:rsid w:val="002F3776"/>
    <w:rsid w:val="002F3BAB"/>
    <w:rsid w:val="00322746"/>
    <w:rsid w:val="0032363C"/>
    <w:rsid w:val="00323714"/>
    <w:rsid w:val="00330B16"/>
    <w:rsid w:val="00331F41"/>
    <w:rsid w:val="0034710B"/>
    <w:rsid w:val="00355307"/>
    <w:rsid w:val="00355737"/>
    <w:rsid w:val="00381435"/>
    <w:rsid w:val="0039788A"/>
    <w:rsid w:val="003A13A3"/>
    <w:rsid w:val="003A7B2D"/>
    <w:rsid w:val="003D09E0"/>
    <w:rsid w:val="003E242A"/>
    <w:rsid w:val="003E78AC"/>
    <w:rsid w:val="003F0540"/>
    <w:rsid w:val="003F05E4"/>
    <w:rsid w:val="003F6A58"/>
    <w:rsid w:val="004117C1"/>
    <w:rsid w:val="004120D8"/>
    <w:rsid w:val="00416B71"/>
    <w:rsid w:val="0042048E"/>
    <w:rsid w:val="00422638"/>
    <w:rsid w:val="004237F2"/>
    <w:rsid w:val="0043614A"/>
    <w:rsid w:val="00436E91"/>
    <w:rsid w:val="004427C0"/>
    <w:rsid w:val="00443C81"/>
    <w:rsid w:val="00471475"/>
    <w:rsid w:val="00480C7C"/>
    <w:rsid w:val="00490951"/>
    <w:rsid w:val="004C0698"/>
    <w:rsid w:val="004C42C5"/>
    <w:rsid w:val="004D56E0"/>
    <w:rsid w:val="004D5DA0"/>
    <w:rsid w:val="004D6A6B"/>
    <w:rsid w:val="004E350A"/>
    <w:rsid w:val="004F5BF1"/>
    <w:rsid w:val="005006EF"/>
    <w:rsid w:val="0050091F"/>
    <w:rsid w:val="00515C0E"/>
    <w:rsid w:val="00516D2B"/>
    <w:rsid w:val="005228D2"/>
    <w:rsid w:val="00527F90"/>
    <w:rsid w:val="00544824"/>
    <w:rsid w:val="005470C3"/>
    <w:rsid w:val="005539EE"/>
    <w:rsid w:val="00555571"/>
    <w:rsid w:val="00563E14"/>
    <w:rsid w:val="005743D2"/>
    <w:rsid w:val="00574FCB"/>
    <w:rsid w:val="00575198"/>
    <w:rsid w:val="005A3781"/>
    <w:rsid w:val="005B032F"/>
    <w:rsid w:val="005B1170"/>
    <w:rsid w:val="005B1700"/>
    <w:rsid w:val="005B318B"/>
    <w:rsid w:val="005B399C"/>
    <w:rsid w:val="005C37F2"/>
    <w:rsid w:val="005F547C"/>
    <w:rsid w:val="005F5B6E"/>
    <w:rsid w:val="00600989"/>
    <w:rsid w:val="0060164A"/>
    <w:rsid w:val="00602354"/>
    <w:rsid w:val="00621015"/>
    <w:rsid w:val="00633F9D"/>
    <w:rsid w:val="00644442"/>
    <w:rsid w:val="006453EF"/>
    <w:rsid w:val="00651A64"/>
    <w:rsid w:val="00662476"/>
    <w:rsid w:val="00662E01"/>
    <w:rsid w:val="00664107"/>
    <w:rsid w:val="00671562"/>
    <w:rsid w:val="006724D1"/>
    <w:rsid w:val="00673A68"/>
    <w:rsid w:val="0067402C"/>
    <w:rsid w:val="00674DB4"/>
    <w:rsid w:val="00685FA9"/>
    <w:rsid w:val="00691E5E"/>
    <w:rsid w:val="00697290"/>
    <w:rsid w:val="006A0165"/>
    <w:rsid w:val="006A1E5F"/>
    <w:rsid w:val="006A2096"/>
    <w:rsid w:val="006B09F7"/>
    <w:rsid w:val="006C150C"/>
    <w:rsid w:val="006C1516"/>
    <w:rsid w:val="006C41B3"/>
    <w:rsid w:val="006D2DFB"/>
    <w:rsid w:val="006D63FB"/>
    <w:rsid w:val="006E1879"/>
    <w:rsid w:val="006E18BE"/>
    <w:rsid w:val="006E3437"/>
    <w:rsid w:val="006F49C9"/>
    <w:rsid w:val="006F56A5"/>
    <w:rsid w:val="006F7AD3"/>
    <w:rsid w:val="00715EBF"/>
    <w:rsid w:val="007238A3"/>
    <w:rsid w:val="00727ECE"/>
    <w:rsid w:val="007344AE"/>
    <w:rsid w:val="00735646"/>
    <w:rsid w:val="00752C12"/>
    <w:rsid w:val="00765951"/>
    <w:rsid w:val="007821DD"/>
    <w:rsid w:val="00785238"/>
    <w:rsid w:val="00787427"/>
    <w:rsid w:val="00792D65"/>
    <w:rsid w:val="00795CF5"/>
    <w:rsid w:val="007B095C"/>
    <w:rsid w:val="007B4B10"/>
    <w:rsid w:val="007B7863"/>
    <w:rsid w:val="007C3C21"/>
    <w:rsid w:val="007C5190"/>
    <w:rsid w:val="007D4664"/>
    <w:rsid w:val="007D7181"/>
    <w:rsid w:val="007E12ED"/>
    <w:rsid w:val="007F08EC"/>
    <w:rsid w:val="007F38C3"/>
    <w:rsid w:val="007F526C"/>
    <w:rsid w:val="007F7B00"/>
    <w:rsid w:val="008071E1"/>
    <w:rsid w:val="00810499"/>
    <w:rsid w:val="00813F43"/>
    <w:rsid w:val="00816169"/>
    <w:rsid w:val="008250BD"/>
    <w:rsid w:val="008318A5"/>
    <w:rsid w:val="00847BBE"/>
    <w:rsid w:val="00862CC9"/>
    <w:rsid w:val="008700E9"/>
    <w:rsid w:val="0088116C"/>
    <w:rsid w:val="0088142B"/>
    <w:rsid w:val="008903D2"/>
    <w:rsid w:val="008C0758"/>
    <w:rsid w:val="008D0A61"/>
    <w:rsid w:val="008D4F52"/>
    <w:rsid w:val="008D71A6"/>
    <w:rsid w:val="008E4241"/>
    <w:rsid w:val="008E5596"/>
    <w:rsid w:val="008E5D86"/>
    <w:rsid w:val="008F0AE5"/>
    <w:rsid w:val="00903CA2"/>
    <w:rsid w:val="00932533"/>
    <w:rsid w:val="00945FF7"/>
    <w:rsid w:val="0095335D"/>
    <w:rsid w:val="00953E71"/>
    <w:rsid w:val="009602CF"/>
    <w:rsid w:val="009653CE"/>
    <w:rsid w:val="009713A4"/>
    <w:rsid w:val="00986452"/>
    <w:rsid w:val="00991E39"/>
    <w:rsid w:val="009A7F62"/>
    <w:rsid w:val="009B13CC"/>
    <w:rsid w:val="009B2A49"/>
    <w:rsid w:val="009B6920"/>
    <w:rsid w:val="009C38A5"/>
    <w:rsid w:val="009E142F"/>
    <w:rsid w:val="009E2A90"/>
    <w:rsid w:val="009F584D"/>
    <w:rsid w:val="00A04D6A"/>
    <w:rsid w:val="00A0539E"/>
    <w:rsid w:val="00A27AD2"/>
    <w:rsid w:val="00A44003"/>
    <w:rsid w:val="00A44A5A"/>
    <w:rsid w:val="00A553AE"/>
    <w:rsid w:val="00A57487"/>
    <w:rsid w:val="00A7479B"/>
    <w:rsid w:val="00A93A41"/>
    <w:rsid w:val="00A95BE8"/>
    <w:rsid w:val="00AA2C34"/>
    <w:rsid w:val="00AB14C3"/>
    <w:rsid w:val="00AC1486"/>
    <w:rsid w:val="00AC3690"/>
    <w:rsid w:val="00AE021B"/>
    <w:rsid w:val="00B04029"/>
    <w:rsid w:val="00B16D29"/>
    <w:rsid w:val="00B23EE5"/>
    <w:rsid w:val="00B26903"/>
    <w:rsid w:val="00B32A88"/>
    <w:rsid w:val="00B3716D"/>
    <w:rsid w:val="00B437BB"/>
    <w:rsid w:val="00B44270"/>
    <w:rsid w:val="00B50D5E"/>
    <w:rsid w:val="00B51C3D"/>
    <w:rsid w:val="00B53F91"/>
    <w:rsid w:val="00B56DB0"/>
    <w:rsid w:val="00B636E5"/>
    <w:rsid w:val="00B71E78"/>
    <w:rsid w:val="00B73264"/>
    <w:rsid w:val="00B74A06"/>
    <w:rsid w:val="00B76604"/>
    <w:rsid w:val="00B86EA4"/>
    <w:rsid w:val="00B87182"/>
    <w:rsid w:val="00BA0C5C"/>
    <w:rsid w:val="00BA637E"/>
    <w:rsid w:val="00BB6150"/>
    <w:rsid w:val="00BB7E87"/>
    <w:rsid w:val="00BC0F18"/>
    <w:rsid w:val="00BD135A"/>
    <w:rsid w:val="00BD1786"/>
    <w:rsid w:val="00BD6C5E"/>
    <w:rsid w:val="00BE5C7B"/>
    <w:rsid w:val="00BE6745"/>
    <w:rsid w:val="00BE6CB1"/>
    <w:rsid w:val="00BE7F5A"/>
    <w:rsid w:val="00BF68DB"/>
    <w:rsid w:val="00C023F6"/>
    <w:rsid w:val="00C032AD"/>
    <w:rsid w:val="00C06E72"/>
    <w:rsid w:val="00C1161A"/>
    <w:rsid w:val="00C13A25"/>
    <w:rsid w:val="00C16227"/>
    <w:rsid w:val="00C5187B"/>
    <w:rsid w:val="00C65EE0"/>
    <w:rsid w:val="00C66EA4"/>
    <w:rsid w:val="00C814FE"/>
    <w:rsid w:val="00C81FE6"/>
    <w:rsid w:val="00C84794"/>
    <w:rsid w:val="00C90B23"/>
    <w:rsid w:val="00C93292"/>
    <w:rsid w:val="00C96E4E"/>
    <w:rsid w:val="00CA0A53"/>
    <w:rsid w:val="00CB5359"/>
    <w:rsid w:val="00CD10B8"/>
    <w:rsid w:val="00CF0D5C"/>
    <w:rsid w:val="00D00472"/>
    <w:rsid w:val="00D05EED"/>
    <w:rsid w:val="00D1308A"/>
    <w:rsid w:val="00D2084A"/>
    <w:rsid w:val="00D25379"/>
    <w:rsid w:val="00D25AF1"/>
    <w:rsid w:val="00D323F2"/>
    <w:rsid w:val="00D324B6"/>
    <w:rsid w:val="00D4522D"/>
    <w:rsid w:val="00D45DCA"/>
    <w:rsid w:val="00D57604"/>
    <w:rsid w:val="00D74C9C"/>
    <w:rsid w:val="00D77822"/>
    <w:rsid w:val="00D810A8"/>
    <w:rsid w:val="00DA58C4"/>
    <w:rsid w:val="00DB1B48"/>
    <w:rsid w:val="00DB6754"/>
    <w:rsid w:val="00DB68AB"/>
    <w:rsid w:val="00DC4E04"/>
    <w:rsid w:val="00DC69CB"/>
    <w:rsid w:val="00DD7358"/>
    <w:rsid w:val="00DE5837"/>
    <w:rsid w:val="00DF3523"/>
    <w:rsid w:val="00DF4403"/>
    <w:rsid w:val="00E0117F"/>
    <w:rsid w:val="00E0517E"/>
    <w:rsid w:val="00E06A24"/>
    <w:rsid w:val="00E22B67"/>
    <w:rsid w:val="00E2558B"/>
    <w:rsid w:val="00E318E9"/>
    <w:rsid w:val="00E3205E"/>
    <w:rsid w:val="00E322F1"/>
    <w:rsid w:val="00E37DCD"/>
    <w:rsid w:val="00E51EBB"/>
    <w:rsid w:val="00E814BF"/>
    <w:rsid w:val="00EC09A7"/>
    <w:rsid w:val="00ED4740"/>
    <w:rsid w:val="00EE4DDE"/>
    <w:rsid w:val="00EE6206"/>
    <w:rsid w:val="00EF25F3"/>
    <w:rsid w:val="00EF406C"/>
    <w:rsid w:val="00F04999"/>
    <w:rsid w:val="00F15E9E"/>
    <w:rsid w:val="00F426F6"/>
    <w:rsid w:val="00F44333"/>
    <w:rsid w:val="00F53F58"/>
    <w:rsid w:val="00F575FF"/>
    <w:rsid w:val="00F57E23"/>
    <w:rsid w:val="00F706A6"/>
    <w:rsid w:val="00F73EAC"/>
    <w:rsid w:val="00F8558A"/>
    <w:rsid w:val="00F878AD"/>
    <w:rsid w:val="00FA6AF1"/>
    <w:rsid w:val="00FA7FE8"/>
    <w:rsid w:val="00FD76F5"/>
    <w:rsid w:val="00FE2CA6"/>
    <w:rsid w:val="00FF1777"/>
    <w:rsid w:val="00FF5EA4"/>
    <w:rsid w:val="00FF75CA"/>
    <w:rsid w:val="020B2A6B"/>
    <w:rsid w:val="02402A41"/>
    <w:rsid w:val="038C5628"/>
    <w:rsid w:val="03DC6CEB"/>
    <w:rsid w:val="06DF5C37"/>
    <w:rsid w:val="09705EE4"/>
    <w:rsid w:val="0DFB34C1"/>
    <w:rsid w:val="0EE57AC6"/>
    <w:rsid w:val="0F667C83"/>
    <w:rsid w:val="0FFB5E67"/>
    <w:rsid w:val="17252B28"/>
    <w:rsid w:val="18856371"/>
    <w:rsid w:val="19E3323E"/>
    <w:rsid w:val="1BF47F74"/>
    <w:rsid w:val="1C2C24C4"/>
    <w:rsid w:val="1EBF9694"/>
    <w:rsid w:val="1FDF4D7B"/>
    <w:rsid w:val="229E2318"/>
    <w:rsid w:val="237249BF"/>
    <w:rsid w:val="23A91AB1"/>
    <w:rsid w:val="24072CFC"/>
    <w:rsid w:val="250947E2"/>
    <w:rsid w:val="26F19C09"/>
    <w:rsid w:val="27AF5D3B"/>
    <w:rsid w:val="27D6E963"/>
    <w:rsid w:val="27FA27B5"/>
    <w:rsid w:val="27FBC0F1"/>
    <w:rsid w:val="29E94E01"/>
    <w:rsid w:val="2ACF3F35"/>
    <w:rsid w:val="2B674FD8"/>
    <w:rsid w:val="2D343E1F"/>
    <w:rsid w:val="2DAD3FD4"/>
    <w:rsid w:val="2EDEF7FF"/>
    <w:rsid w:val="2FFE3C6C"/>
    <w:rsid w:val="32E744D7"/>
    <w:rsid w:val="343A14FC"/>
    <w:rsid w:val="343AAE14"/>
    <w:rsid w:val="34AD063C"/>
    <w:rsid w:val="36BFE2FF"/>
    <w:rsid w:val="36CC0D04"/>
    <w:rsid w:val="3767B59B"/>
    <w:rsid w:val="37F12F64"/>
    <w:rsid w:val="37FF69DE"/>
    <w:rsid w:val="398B41C6"/>
    <w:rsid w:val="39E41A41"/>
    <w:rsid w:val="3A2B0F2D"/>
    <w:rsid w:val="3B68048A"/>
    <w:rsid w:val="3BF4A7A4"/>
    <w:rsid w:val="3BFFDBA4"/>
    <w:rsid w:val="3CFDEC9C"/>
    <w:rsid w:val="3D7FE1F7"/>
    <w:rsid w:val="3DDFD380"/>
    <w:rsid w:val="3E659967"/>
    <w:rsid w:val="3EFF4E20"/>
    <w:rsid w:val="3F57CD81"/>
    <w:rsid w:val="3F7BFA50"/>
    <w:rsid w:val="3F7F66C2"/>
    <w:rsid w:val="3FA7AB2F"/>
    <w:rsid w:val="3FAF59B2"/>
    <w:rsid w:val="3FF6E2BC"/>
    <w:rsid w:val="3FFF5951"/>
    <w:rsid w:val="3FFFA378"/>
    <w:rsid w:val="3FFFCE48"/>
    <w:rsid w:val="40EA2D67"/>
    <w:rsid w:val="42464B23"/>
    <w:rsid w:val="44D257BC"/>
    <w:rsid w:val="456F6C62"/>
    <w:rsid w:val="47BF3BDC"/>
    <w:rsid w:val="4B2313FA"/>
    <w:rsid w:val="4B681551"/>
    <w:rsid w:val="4CC75D4C"/>
    <w:rsid w:val="4CFF7AF9"/>
    <w:rsid w:val="4DDC6759"/>
    <w:rsid w:val="4E7E2156"/>
    <w:rsid w:val="4F1E52D2"/>
    <w:rsid w:val="4F5018D6"/>
    <w:rsid w:val="4FC7B69A"/>
    <w:rsid w:val="4FFF431A"/>
    <w:rsid w:val="50C87C58"/>
    <w:rsid w:val="54201FC7"/>
    <w:rsid w:val="54681A91"/>
    <w:rsid w:val="54FC4F4F"/>
    <w:rsid w:val="56BC6C4E"/>
    <w:rsid w:val="57040235"/>
    <w:rsid w:val="577EE03F"/>
    <w:rsid w:val="59DB698E"/>
    <w:rsid w:val="59DC0F58"/>
    <w:rsid w:val="59FCE583"/>
    <w:rsid w:val="5ADFF899"/>
    <w:rsid w:val="5AFFF043"/>
    <w:rsid w:val="5BAFC12B"/>
    <w:rsid w:val="5C6DFA5E"/>
    <w:rsid w:val="5D9B6AAC"/>
    <w:rsid w:val="5DBB28C6"/>
    <w:rsid w:val="5DDFF6A8"/>
    <w:rsid w:val="5DFF387E"/>
    <w:rsid w:val="5E9FF271"/>
    <w:rsid w:val="5EFC8EC3"/>
    <w:rsid w:val="5EFFB476"/>
    <w:rsid w:val="5F5A6A04"/>
    <w:rsid w:val="5F7B802B"/>
    <w:rsid w:val="5F87CE69"/>
    <w:rsid w:val="5FD42137"/>
    <w:rsid w:val="5FD5CC04"/>
    <w:rsid w:val="5FF5080B"/>
    <w:rsid w:val="5FF60C38"/>
    <w:rsid w:val="61BA4335"/>
    <w:rsid w:val="62B73153"/>
    <w:rsid w:val="639617FE"/>
    <w:rsid w:val="66792E13"/>
    <w:rsid w:val="66AF4CB5"/>
    <w:rsid w:val="67DB4FD1"/>
    <w:rsid w:val="682B3FA0"/>
    <w:rsid w:val="6B131AA1"/>
    <w:rsid w:val="6BCD2AA8"/>
    <w:rsid w:val="6BF53033"/>
    <w:rsid w:val="6CBDDBC8"/>
    <w:rsid w:val="6D7B8F4B"/>
    <w:rsid w:val="6D7FD6D7"/>
    <w:rsid w:val="6DFFC293"/>
    <w:rsid w:val="6EA10213"/>
    <w:rsid w:val="6EFDCEBB"/>
    <w:rsid w:val="6EFFF63C"/>
    <w:rsid w:val="6F0F57F3"/>
    <w:rsid w:val="6F582918"/>
    <w:rsid w:val="6F870691"/>
    <w:rsid w:val="6FCA7F80"/>
    <w:rsid w:val="6FDA7AF5"/>
    <w:rsid w:val="6FF01446"/>
    <w:rsid w:val="6FFE4ECC"/>
    <w:rsid w:val="719B0E4B"/>
    <w:rsid w:val="721B3CBA"/>
    <w:rsid w:val="729D7FCB"/>
    <w:rsid w:val="73840B4F"/>
    <w:rsid w:val="739E1B53"/>
    <w:rsid w:val="73EF06D6"/>
    <w:rsid w:val="73FC1468"/>
    <w:rsid w:val="75BE1B70"/>
    <w:rsid w:val="75FF8BB1"/>
    <w:rsid w:val="769360A5"/>
    <w:rsid w:val="76D7EC33"/>
    <w:rsid w:val="76F73613"/>
    <w:rsid w:val="775FFC60"/>
    <w:rsid w:val="777F54BD"/>
    <w:rsid w:val="77BBA759"/>
    <w:rsid w:val="77DB667F"/>
    <w:rsid w:val="77DF4510"/>
    <w:rsid w:val="77DF967C"/>
    <w:rsid w:val="77FB695B"/>
    <w:rsid w:val="78BB34DD"/>
    <w:rsid w:val="79D84F5C"/>
    <w:rsid w:val="79EE590C"/>
    <w:rsid w:val="7AAA5B1B"/>
    <w:rsid w:val="7AFFF92B"/>
    <w:rsid w:val="7B37E0EA"/>
    <w:rsid w:val="7B9D3F46"/>
    <w:rsid w:val="7B9DA021"/>
    <w:rsid w:val="7BB3A52D"/>
    <w:rsid w:val="7BDE4880"/>
    <w:rsid w:val="7BE88D9C"/>
    <w:rsid w:val="7BEFE6BF"/>
    <w:rsid w:val="7BF27F01"/>
    <w:rsid w:val="7BFF0BCD"/>
    <w:rsid w:val="7C97AEF5"/>
    <w:rsid w:val="7D961A69"/>
    <w:rsid w:val="7DA98085"/>
    <w:rsid w:val="7DAFD2C8"/>
    <w:rsid w:val="7DBEB007"/>
    <w:rsid w:val="7DCF834F"/>
    <w:rsid w:val="7DEF9603"/>
    <w:rsid w:val="7DF74761"/>
    <w:rsid w:val="7DF792BB"/>
    <w:rsid w:val="7DFD84DD"/>
    <w:rsid w:val="7DFE4A08"/>
    <w:rsid w:val="7E7DB3F5"/>
    <w:rsid w:val="7EAE5FF0"/>
    <w:rsid w:val="7EDF7473"/>
    <w:rsid w:val="7EF512C3"/>
    <w:rsid w:val="7EF6F3F3"/>
    <w:rsid w:val="7F1F896F"/>
    <w:rsid w:val="7F3743E1"/>
    <w:rsid w:val="7F37AC47"/>
    <w:rsid w:val="7F9B0599"/>
    <w:rsid w:val="7FBD8B03"/>
    <w:rsid w:val="7FBE6C45"/>
    <w:rsid w:val="7FBEAD09"/>
    <w:rsid w:val="7FCF22D6"/>
    <w:rsid w:val="7FD934CC"/>
    <w:rsid w:val="7FDD4770"/>
    <w:rsid w:val="7FDD7C31"/>
    <w:rsid w:val="7FE7684E"/>
    <w:rsid w:val="7FEC59BE"/>
    <w:rsid w:val="7FF5E89B"/>
    <w:rsid w:val="7FFDCCAE"/>
    <w:rsid w:val="7FFDE909"/>
    <w:rsid w:val="7FFE9204"/>
    <w:rsid w:val="7FFFAE91"/>
    <w:rsid w:val="7FFFCDC7"/>
    <w:rsid w:val="7FFFCFD8"/>
    <w:rsid w:val="7FFFF316"/>
    <w:rsid w:val="87CB9CA9"/>
    <w:rsid w:val="8BE7B544"/>
    <w:rsid w:val="8CD7650F"/>
    <w:rsid w:val="97FB82E6"/>
    <w:rsid w:val="98A60793"/>
    <w:rsid w:val="9DEDD4FA"/>
    <w:rsid w:val="9EB68593"/>
    <w:rsid w:val="9F7764DE"/>
    <w:rsid w:val="9F8D60A8"/>
    <w:rsid w:val="9FBFAB8A"/>
    <w:rsid w:val="9FE73DFE"/>
    <w:rsid w:val="9FF7C061"/>
    <w:rsid w:val="AAFC2AEC"/>
    <w:rsid w:val="ABDFE16E"/>
    <w:rsid w:val="ACFA94B4"/>
    <w:rsid w:val="ACFAF020"/>
    <w:rsid w:val="AD690468"/>
    <w:rsid w:val="AED9CC96"/>
    <w:rsid w:val="AFD50DF0"/>
    <w:rsid w:val="AFDBDA85"/>
    <w:rsid w:val="AFEB6F21"/>
    <w:rsid w:val="AFED3A18"/>
    <w:rsid w:val="AFF7452D"/>
    <w:rsid w:val="B1EA29D7"/>
    <w:rsid w:val="B5EB5C6E"/>
    <w:rsid w:val="B7BF949D"/>
    <w:rsid w:val="B7FC990E"/>
    <w:rsid w:val="BBD7A8DB"/>
    <w:rsid w:val="BDE4D86A"/>
    <w:rsid w:val="BDEBBE12"/>
    <w:rsid w:val="BEBE5EC1"/>
    <w:rsid w:val="BECA6B82"/>
    <w:rsid w:val="BED72EDB"/>
    <w:rsid w:val="BFBF3721"/>
    <w:rsid w:val="BFF265F3"/>
    <w:rsid w:val="C6EF0FCF"/>
    <w:rsid w:val="CDB68B16"/>
    <w:rsid w:val="CDF636DC"/>
    <w:rsid w:val="CE7E1239"/>
    <w:rsid w:val="CEEB8398"/>
    <w:rsid w:val="CF7BE684"/>
    <w:rsid w:val="CFD4F1E5"/>
    <w:rsid w:val="CFFE11A6"/>
    <w:rsid w:val="D1DFCF8A"/>
    <w:rsid w:val="D333F4A9"/>
    <w:rsid w:val="D6FEE8A8"/>
    <w:rsid w:val="D72E7026"/>
    <w:rsid w:val="D7B72A37"/>
    <w:rsid w:val="D7CFD709"/>
    <w:rsid w:val="D83F0184"/>
    <w:rsid w:val="DABBA738"/>
    <w:rsid w:val="DB3D07AD"/>
    <w:rsid w:val="DB4FF7BA"/>
    <w:rsid w:val="DBFB4A75"/>
    <w:rsid w:val="DBFF3413"/>
    <w:rsid w:val="DBFFBB38"/>
    <w:rsid w:val="DDAFA3E5"/>
    <w:rsid w:val="DDEFDB54"/>
    <w:rsid w:val="DDFF906F"/>
    <w:rsid w:val="DECF3FD9"/>
    <w:rsid w:val="DF5639AD"/>
    <w:rsid w:val="DF68B0D8"/>
    <w:rsid w:val="DFBF9409"/>
    <w:rsid w:val="DFD6601C"/>
    <w:rsid w:val="DFFBD106"/>
    <w:rsid w:val="E3EFCDDD"/>
    <w:rsid w:val="E5B732FE"/>
    <w:rsid w:val="E5F60C27"/>
    <w:rsid w:val="E5FF553D"/>
    <w:rsid w:val="E73F4493"/>
    <w:rsid w:val="E79FC431"/>
    <w:rsid w:val="E9FE1660"/>
    <w:rsid w:val="EB7F67C2"/>
    <w:rsid w:val="EE6B745D"/>
    <w:rsid w:val="EEDB334B"/>
    <w:rsid w:val="EF5ECAFC"/>
    <w:rsid w:val="EF6F36E3"/>
    <w:rsid w:val="EFEF28E9"/>
    <w:rsid w:val="EFFA7636"/>
    <w:rsid w:val="EFFD7598"/>
    <w:rsid w:val="EFFFAFE5"/>
    <w:rsid w:val="F3A9966F"/>
    <w:rsid w:val="F3DF0E86"/>
    <w:rsid w:val="F6FFC4F3"/>
    <w:rsid w:val="F73B8BCC"/>
    <w:rsid w:val="F7D1244B"/>
    <w:rsid w:val="F7EFE683"/>
    <w:rsid w:val="F7FDE74A"/>
    <w:rsid w:val="F7FE757D"/>
    <w:rsid w:val="F7FF8AD0"/>
    <w:rsid w:val="F95A6352"/>
    <w:rsid w:val="FA9CD231"/>
    <w:rsid w:val="FB0F9B82"/>
    <w:rsid w:val="FB573022"/>
    <w:rsid w:val="FB6F812E"/>
    <w:rsid w:val="FBDDA4B5"/>
    <w:rsid w:val="FBDF5D43"/>
    <w:rsid w:val="FBF54219"/>
    <w:rsid w:val="FBFD5F80"/>
    <w:rsid w:val="FBFF056B"/>
    <w:rsid w:val="FCFA4EAD"/>
    <w:rsid w:val="FD1F3601"/>
    <w:rsid w:val="FD7BCB24"/>
    <w:rsid w:val="FDBF3523"/>
    <w:rsid w:val="FDCBE1BF"/>
    <w:rsid w:val="FDE6FFC2"/>
    <w:rsid w:val="FDFBC743"/>
    <w:rsid w:val="FDFD3746"/>
    <w:rsid w:val="FE7B2458"/>
    <w:rsid w:val="FE7FB522"/>
    <w:rsid w:val="FE7FED58"/>
    <w:rsid w:val="FEEF9935"/>
    <w:rsid w:val="FEFB2B89"/>
    <w:rsid w:val="FF3BD0B6"/>
    <w:rsid w:val="FF3E3F2F"/>
    <w:rsid w:val="FF7BF21A"/>
    <w:rsid w:val="FF7DAF34"/>
    <w:rsid w:val="FF7F32D2"/>
    <w:rsid w:val="FFDFB9AE"/>
    <w:rsid w:val="FFE7AA45"/>
    <w:rsid w:val="FFEE8844"/>
    <w:rsid w:val="FFF51AA6"/>
    <w:rsid w:val="FFF6702B"/>
    <w:rsid w:val="FFFAE18C"/>
    <w:rsid w:val="FFFBE5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4"/>
    <w:next w:val="1"/>
    <w:qFormat/>
    <w:uiPriority w:val="9"/>
    <w:pPr>
      <w:outlineLvl w:val="0"/>
    </w:p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6">
    <w:name w:val="heading 4"/>
    <w:basedOn w:val="1"/>
    <w:next w:val="1"/>
    <w:link w:val="31"/>
    <w:qFormat/>
    <w:uiPriority w:val="0"/>
    <w:pPr>
      <w:keepNext/>
      <w:keepLines/>
      <w:spacing w:before="280" w:after="290" w:line="374" w:lineRule="auto"/>
      <w:outlineLvl w:val="3"/>
    </w:pPr>
    <w:rPr>
      <w:rFonts w:ascii="Arial" w:hAnsi="Arial" w:eastAsia="黑体"/>
      <w:b/>
      <w:bCs/>
      <w:sz w:val="28"/>
      <w:szCs w:val="28"/>
    </w:rPr>
  </w:style>
  <w:style w:type="character" w:default="1" w:styleId="27">
    <w:name w:val="Default Paragraph Font"/>
    <w:unhideWhenUsed/>
    <w:qFormat/>
    <w:uiPriority w:val="1"/>
  </w:style>
  <w:style w:type="table" w:default="1" w:styleId="2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qFormat/>
    <w:uiPriority w:val="0"/>
    <w:pPr>
      <w:autoSpaceDN w:val="0"/>
      <w:ind w:firstLine="560" w:firstLineChars="200"/>
    </w:pPr>
    <w:rPr>
      <w:sz w:val="28"/>
    </w:rPr>
  </w:style>
  <w:style w:type="paragraph" w:styleId="4">
    <w:name w:val="Subtitle"/>
    <w:basedOn w:val="1"/>
    <w:next w:val="1"/>
    <w:qFormat/>
    <w:uiPriority w:val="11"/>
    <w:pPr>
      <w:adjustRightInd w:val="0"/>
      <w:snapToGrid w:val="0"/>
      <w:spacing w:line="600" w:lineRule="exact"/>
      <w:ind w:firstLine="640" w:firstLineChars="200"/>
    </w:pPr>
    <w:rPr>
      <w:rFonts w:eastAsia="方正楷体_GBK"/>
      <w:sz w:val="32"/>
      <w:szCs w:val="32"/>
    </w:rPr>
  </w:style>
  <w:style w:type="paragraph" w:styleId="7">
    <w:name w:val="Normal Indent"/>
    <w:basedOn w:val="1"/>
    <w:next w:val="1"/>
    <w:link w:val="32"/>
    <w:qFormat/>
    <w:uiPriority w:val="0"/>
    <w:pPr>
      <w:widowControl/>
      <w:spacing w:before="100" w:beforeAutospacing="1" w:after="100" w:afterAutospacing="1"/>
      <w:jc w:val="left"/>
    </w:pPr>
    <w:rPr>
      <w:rFonts w:ascii="宋体" w:hAnsi="宋体" w:cs="宋体"/>
      <w:kern w:val="0"/>
      <w:sz w:val="24"/>
      <w:szCs w:val="24"/>
    </w:rPr>
  </w:style>
  <w:style w:type="paragraph" w:styleId="8">
    <w:name w:val="caption"/>
    <w:basedOn w:val="1"/>
    <w:next w:val="1"/>
    <w:qFormat/>
    <w:uiPriority w:val="0"/>
    <w:rPr>
      <w:rFonts w:ascii="Arial" w:hAnsi="Arial" w:eastAsia="黑体" w:cs="Arial"/>
      <w:sz w:val="20"/>
    </w:rPr>
  </w:style>
  <w:style w:type="paragraph" w:styleId="9">
    <w:name w:val="annotation text"/>
    <w:basedOn w:val="1"/>
    <w:link w:val="33"/>
    <w:qFormat/>
    <w:uiPriority w:val="0"/>
    <w:pPr>
      <w:jc w:val="left"/>
    </w:pPr>
  </w:style>
  <w:style w:type="paragraph" w:styleId="10">
    <w:name w:val="Body Text"/>
    <w:basedOn w:val="1"/>
    <w:link w:val="34"/>
    <w:qFormat/>
    <w:uiPriority w:val="0"/>
    <w:pPr>
      <w:spacing w:after="120"/>
    </w:pPr>
    <w:rPr>
      <w:szCs w:val="24"/>
    </w:rPr>
  </w:style>
  <w:style w:type="paragraph" w:styleId="11">
    <w:name w:val="toc 5"/>
    <w:basedOn w:val="1"/>
    <w:next w:val="1"/>
    <w:qFormat/>
    <w:uiPriority w:val="0"/>
    <w:pPr>
      <w:ind w:left="1680"/>
    </w:pPr>
    <w:rPr>
      <w:rFonts w:ascii="Times New Roman" w:hAnsi="Times New Roman" w:eastAsia="宋体" w:cs="Times New Roman"/>
    </w:rPr>
  </w:style>
  <w:style w:type="paragraph" w:styleId="12">
    <w:name w:val="Plain Text"/>
    <w:basedOn w:val="1"/>
    <w:link w:val="35"/>
    <w:qFormat/>
    <w:uiPriority w:val="0"/>
    <w:rPr>
      <w:rFonts w:ascii="宋体" w:hAnsi="Courier New"/>
    </w:rPr>
  </w:style>
  <w:style w:type="paragraph" w:styleId="13">
    <w:name w:val="Body Text Indent 2"/>
    <w:basedOn w:val="1"/>
    <w:qFormat/>
    <w:uiPriority w:val="0"/>
    <w:pPr>
      <w:autoSpaceDN w:val="0"/>
      <w:ind w:firstLine="420" w:firstLineChars="150"/>
    </w:pPr>
    <w:rPr>
      <w:sz w:val="28"/>
    </w:rPr>
  </w:style>
  <w:style w:type="paragraph" w:styleId="14">
    <w:name w:val="Balloon Text"/>
    <w:basedOn w:val="1"/>
    <w:qFormat/>
    <w:uiPriority w:val="0"/>
    <w:rPr>
      <w:sz w:val="18"/>
    </w:rPr>
  </w:style>
  <w:style w:type="paragraph" w:styleId="15">
    <w:name w:val="footer"/>
    <w:basedOn w:val="1"/>
    <w:link w:val="36"/>
    <w:qFormat/>
    <w:uiPriority w:val="0"/>
    <w:pPr>
      <w:tabs>
        <w:tab w:val="center" w:pos="4153"/>
        <w:tab w:val="right" w:pos="8306"/>
      </w:tabs>
      <w:snapToGrid w:val="0"/>
      <w:jc w:val="left"/>
    </w:pPr>
    <w:rPr>
      <w:sz w:val="18"/>
    </w:rPr>
  </w:style>
  <w:style w:type="paragraph" w:styleId="16">
    <w:name w:val="header"/>
    <w:basedOn w:val="1"/>
    <w:link w:val="37"/>
    <w:qFormat/>
    <w:uiPriority w:val="99"/>
    <w:pPr>
      <w:tabs>
        <w:tab w:val="center" w:pos="4153"/>
        <w:tab w:val="right" w:pos="8306"/>
      </w:tabs>
      <w:snapToGrid w:val="0"/>
    </w:pPr>
    <w:rPr>
      <w:sz w:val="18"/>
    </w:rPr>
  </w:style>
  <w:style w:type="paragraph" w:styleId="17">
    <w:name w:val="toc 1"/>
    <w:basedOn w:val="1"/>
    <w:next w:val="1"/>
    <w:qFormat/>
    <w:uiPriority w:val="1"/>
    <w:pPr>
      <w:spacing w:before="721"/>
      <w:ind w:left="107"/>
    </w:pPr>
    <w:rPr>
      <w:b/>
      <w:bCs/>
      <w:sz w:val="28"/>
      <w:szCs w:val="28"/>
    </w:rPr>
  </w:style>
  <w:style w:type="paragraph" w:styleId="18">
    <w:name w:val="index heading"/>
    <w:basedOn w:val="1"/>
    <w:next w:val="19"/>
    <w:unhideWhenUsed/>
    <w:qFormat/>
    <w:uiPriority w:val="0"/>
  </w:style>
  <w:style w:type="paragraph" w:styleId="19">
    <w:name w:val="index 1"/>
    <w:basedOn w:val="1"/>
    <w:next w:val="1"/>
    <w:unhideWhenUsed/>
    <w:qFormat/>
    <w:uiPriority w:val="0"/>
    <w:pPr>
      <w:tabs>
        <w:tab w:val="left" w:pos="7740"/>
      </w:tabs>
      <w:jc w:val="center"/>
    </w:pPr>
    <w:rPr>
      <w:rFonts w:ascii="仿宋" w:hAnsi="仿宋" w:eastAsia="仿宋"/>
      <w:b/>
      <w:sz w:val="28"/>
      <w:szCs w:val="28"/>
    </w:rPr>
  </w:style>
  <w:style w:type="paragraph" w:styleId="20">
    <w:name w:val="Body Text Indent 3"/>
    <w:basedOn w:val="1"/>
    <w:link w:val="38"/>
    <w:qFormat/>
    <w:uiPriority w:val="0"/>
    <w:pPr>
      <w:spacing w:after="120"/>
      <w:ind w:left="420" w:leftChars="200"/>
    </w:pPr>
    <w:rPr>
      <w:sz w:val="16"/>
      <w:szCs w:val="16"/>
    </w:rPr>
  </w:style>
  <w:style w:type="paragraph" w:styleId="21">
    <w:name w:val="Normal (Web)"/>
    <w:basedOn w:val="1"/>
    <w:qFormat/>
    <w:uiPriority w:val="0"/>
    <w:rPr>
      <w:sz w:val="24"/>
    </w:rPr>
  </w:style>
  <w:style w:type="paragraph" w:styleId="22">
    <w:name w:val="Title"/>
    <w:basedOn w:val="1"/>
    <w:link w:val="39"/>
    <w:qFormat/>
    <w:uiPriority w:val="0"/>
    <w:pPr>
      <w:spacing w:before="1"/>
      <w:ind w:left="1329" w:right="1471"/>
      <w:jc w:val="center"/>
    </w:pPr>
    <w:rPr>
      <w:rFonts w:ascii="楷体" w:hAnsi="楷体" w:eastAsia="楷体" w:cs="楷体"/>
      <w:b/>
      <w:bCs/>
      <w:sz w:val="70"/>
      <w:szCs w:val="70"/>
    </w:rPr>
  </w:style>
  <w:style w:type="paragraph" w:styleId="23">
    <w:name w:val="annotation subject"/>
    <w:basedOn w:val="9"/>
    <w:next w:val="9"/>
    <w:link w:val="40"/>
    <w:qFormat/>
    <w:uiPriority w:val="0"/>
    <w:rPr>
      <w:b/>
      <w:bCs/>
    </w:rPr>
  </w:style>
  <w:style w:type="paragraph" w:styleId="24">
    <w:name w:val="Body Text First Indent 2"/>
    <w:qFormat/>
    <w:uiPriority w:val="0"/>
    <w:pPr>
      <w:keepNext w:val="0"/>
      <w:keepLines w:val="0"/>
      <w:widowControl w:val="0"/>
      <w:suppressLineNumbers w:val="0"/>
      <w:spacing w:after="120" w:afterLines="0" w:afterAutospacing="0"/>
      <w:ind w:left="420" w:leftChars="200" w:firstLine="420" w:firstLineChars="200"/>
      <w:jc w:val="both"/>
    </w:pPr>
    <w:rPr>
      <w:rFonts w:hint="default" w:ascii="Calibri" w:hAnsi="Calibri" w:eastAsia="宋体" w:cs="黑体"/>
      <w:kern w:val="2"/>
      <w:sz w:val="21"/>
      <w:szCs w:val="21"/>
      <w:lang w:val="en-US" w:eastAsia="zh-CN" w:bidi="ar"/>
    </w:rPr>
  </w:style>
  <w:style w:type="table" w:styleId="26">
    <w:name w:val="Table Grid"/>
    <w:basedOn w:val="2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8">
    <w:name w:val="Strong"/>
    <w:qFormat/>
    <w:uiPriority w:val="22"/>
    <w:rPr>
      <w:b/>
      <w:bCs/>
    </w:rPr>
  </w:style>
  <w:style w:type="character" w:styleId="29">
    <w:name w:val="page number"/>
    <w:qFormat/>
    <w:uiPriority w:val="0"/>
  </w:style>
  <w:style w:type="character" w:styleId="30">
    <w:name w:val="annotation reference"/>
    <w:qFormat/>
    <w:uiPriority w:val="0"/>
    <w:rPr>
      <w:sz w:val="21"/>
      <w:szCs w:val="21"/>
    </w:rPr>
  </w:style>
  <w:style w:type="character" w:customStyle="1" w:styleId="31">
    <w:name w:val="标题 4 字符"/>
    <w:link w:val="6"/>
    <w:semiHidden/>
    <w:qFormat/>
    <w:uiPriority w:val="0"/>
    <w:rPr>
      <w:rFonts w:ascii="Arial" w:hAnsi="Arial" w:eastAsia="黑体"/>
      <w:b/>
      <w:bCs/>
      <w:kern w:val="2"/>
      <w:sz w:val="28"/>
      <w:szCs w:val="28"/>
    </w:rPr>
  </w:style>
  <w:style w:type="character" w:customStyle="1" w:styleId="32">
    <w:name w:val="正文缩进 字符"/>
    <w:link w:val="7"/>
    <w:qFormat/>
    <w:uiPriority w:val="0"/>
    <w:rPr>
      <w:rFonts w:ascii="宋体" w:hAnsi="宋体" w:cs="宋体"/>
      <w:sz w:val="24"/>
      <w:szCs w:val="24"/>
    </w:rPr>
  </w:style>
  <w:style w:type="character" w:customStyle="1" w:styleId="33">
    <w:name w:val="批注文字 字符"/>
    <w:link w:val="9"/>
    <w:qFormat/>
    <w:uiPriority w:val="0"/>
    <w:rPr>
      <w:kern w:val="2"/>
      <w:sz w:val="21"/>
    </w:rPr>
  </w:style>
  <w:style w:type="character" w:customStyle="1" w:styleId="34">
    <w:name w:val="正文文本 字符"/>
    <w:link w:val="10"/>
    <w:qFormat/>
    <w:uiPriority w:val="0"/>
    <w:rPr>
      <w:kern w:val="2"/>
      <w:sz w:val="21"/>
      <w:szCs w:val="24"/>
    </w:rPr>
  </w:style>
  <w:style w:type="character" w:customStyle="1" w:styleId="35">
    <w:name w:val="纯文本 字符1"/>
    <w:link w:val="12"/>
    <w:qFormat/>
    <w:uiPriority w:val="0"/>
    <w:rPr>
      <w:rFonts w:ascii="宋体" w:hAnsi="Courier New"/>
      <w:kern w:val="2"/>
      <w:sz w:val="21"/>
    </w:rPr>
  </w:style>
  <w:style w:type="character" w:customStyle="1" w:styleId="36">
    <w:name w:val="页脚 字符"/>
    <w:link w:val="15"/>
    <w:qFormat/>
    <w:uiPriority w:val="0"/>
    <w:rPr>
      <w:kern w:val="2"/>
      <w:sz w:val="18"/>
    </w:rPr>
  </w:style>
  <w:style w:type="character" w:customStyle="1" w:styleId="37">
    <w:name w:val="页眉 字符"/>
    <w:link w:val="16"/>
    <w:qFormat/>
    <w:uiPriority w:val="99"/>
    <w:rPr>
      <w:kern w:val="2"/>
      <w:sz w:val="18"/>
    </w:rPr>
  </w:style>
  <w:style w:type="character" w:customStyle="1" w:styleId="38">
    <w:name w:val="正文文本缩进 3 字符"/>
    <w:link w:val="20"/>
    <w:qFormat/>
    <w:uiPriority w:val="0"/>
    <w:rPr>
      <w:kern w:val="2"/>
      <w:sz w:val="16"/>
      <w:szCs w:val="16"/>
    </w:rPr>
  </w:style>
  <w:style w:type="character" w:customStyle="1" w:styleId="39">
    <w:name w:val="标题 字符"/>
    <w:link w:val="22"/>
    <w:qFormat/>
    <w:uiPriority w:val="0"/>
    <w:rPr>
      <w:rFonts w:ascii="楷体" w:hAnsi="楷体" w:eastAsia="楷体" w:cs="楷体"/>
      <w:b/>
      <w:bCs/>
      <w:kern w:val="2"/>
      <w:sz w:val="70"/>
      <w:szCs w:val="70"/>
    </w:rPr>
  </w:style>
  <w:style w:type="character" w:customStyle="1" w:styleId="40">
    <w:name w:val="批注主题 字符"/>
    <w:link w:val="23"/>
    <w:qFormat/>
    <w:uiPriority w:val="0"/>
    <w:rPr>
      <w:b/>
      <w:bCs/>
      <w:kern w:val="2"/>
      <w:sz w:val="21"/>
    </w:rPr>
  </w:style>
  <w:style w:type="paragraph" w:customStyle="1" w:styleId="41">
    <w:name w:val="_Style 3"/>
    <w:next w:val="2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PlainText"/>
    <w:qFormat/>
    <w:uiPriority w:val="0"/>
    <w:pPr>
      <w:widowControl w:val="0"/>
      <w:jc w:val="both"/>
      <w:textAlignment w:val="baseline"/>
    </w:pPr>
    <w:rPr>
      <w:rFonts w:ascii="宋体" w:hAnsi="Courier New" w:eastAsia="宋体" w:cs="Times New Roman"/>
      <w:kern w:val="2"/>
      <w:sz w:val="21"/>
      <w:lang w:val="en-US" w:eastAsia="zh-CN" w:bidi="ar-SA"/>
    </w:rPr>
  </w:style>
  <w:style w:type="character" w:customStyle="1" w:styleId="43">
    <w:name w:val="正文文本字符1"/>
    <w:qFormat/>
    <w:uiPriority w:val="0"/>
    <w:rPr>
      <w:kern w:val="2"/>
      <w:sz w:val="21"/>
    </w:rPr>
  </w:style>
  <w:style w:type="character" w:customStyle="1" w:styleId="44">
    <w:name w:val="正文缩进 Char"/>
    <w:qFormat/>
    <w:uiPriority w:val="0"/>
    <w:rPr>
      <w:sz w:val="32"/>
    </w:rPr>
  </w:style>
  <w:style w:type="character" w:customStyle="1" w:styleId="45">
    <w:name w:val="纯文本字符1"/>
    <w:qFormat/>
    <w:uiPriority w:val="0"/>
    <w:rPr>
      <w:rFonts w:ascii="宋体" w:hAnsi="Courier"/>
      <w:kern w:val="2"/>
      <w:sz w:val="24"/>
      <w:szCs w:val="24"/>
    </w:rPr>
  </w:style>
  <w:style w:type="character" w:customStyle="1" w:styleId="46">
    <w:name w:val="彩色列表字符"/>
    <w:link w:val="47"/>
    <w:qFormat/>
    <w:uiPriority w:val="34"/>
    <w:rPr>
      <w:kern w:val="2"/>
      <w:sz w:val="21"/>
      <w:szCs w:val="24"/>
    </w:rPr>
  </w:style>
  <w:style w:type="paragraph" w:customStyle="1" w:styleId="47">
    <w:name w:val="彩色列表1"/>
    <w:basedOn w:val="1"/>
    <w:link w:val="46"/>
    <w:qFormat/>
    <w:uiPriority w:val="34"/>
    <w:pPr>
      <w:ind w:firstLine="420" w:firstLineChars="200"/>
    </w:pPr>
    <w:rPr>
      <w:szCs w:val="24"/>
    </w:rPr>
  </w:style>
  <w:style w:type="character" w:customStyle="1" w:styleId="48">
    <w:name w:val="NormalCharacter"/>
    <w:qFormat/>
    <w:uiPriority w:val="0"/>
  </w:style>
  <w:style w:type="character" w:customStyle="1" w:styleId="49">
    <w:name w:val="纯文本 字符"/>
    <w:qFormat/>
    <w:locked/>
    <w:uiPriority w:val="0"/>
    <w:rPr>
      <w:rFonts w:ascii="宋体" w:hAnsi="Courier New" w:cs="Courier New"/>
      <w:kern w:val="2"/>
      <w:sz w:val="21"/>
      <w:szCs w:val="21"/>
    </w:rPr>
  </w:style>
  <w:style w:type="paragraph" w:customStyle="1" w:styleId="50">
    <w:name w:val="彩色列表 - 强调文字颜色 11"/>
    <w:basedOn w:val="1"/>
    <w:qFormat/>
    <w:uiPriority w:val="34"/>
    <w:pPr>
      <w:ind w:firstLine="420" w:firstLineChars="200"/>
    </w:pPr>
  </w:style>
  <w:style w:type="paragraph" w:customStyle="1" w:styleId="51">
    <w:name w:val="题注4"/>
    <w:basedOn w:val="1"/>
    <w:next w:val="8"/>
    <w:qFormat/>
    <w:uiPriority w:val="0"/>
    <w:pPr>
      <w:ind w:left="-132" w:leftChars="-64" w:right="-105" w:rightChars="-50" w:hanging="2"/>
      <w:jc w:val="center"/>
    </w:pPr>
    <w:rPr>
      <w:b/>
      <w:color w:val="FF0000"/>
      <w:szCs w:val="21"/>
      <w:lang w:val="en-GB"/>
    </w:rPr>
  </w:style>
  <w:style w:type="paragraph" w:customStyle="1" w:styleId="52">
    <w:name w:val="BodyText"/>
    <w:basedOn w:val="1"/>
    <w:qFormat/>
    <w:uiPriority w:val="0"/>
    <w:pPr>
      <w:spacing w:after="120"/>
    </w:pPr>
  </w:style>
  <w:style w:type="paragraph" w:customStyle="1" w:styleId="53">
    <w:name w:val="Default"/>
    <w:qFormat/>
    <w:uiPriority w:val="0"/>
    <w:pPr>
      <w:widowControl w:val="0"/>
      <w:autoSpaceDE w:val="0"/>
      <w:autoSpaceDN w:val="0"/>
      <w:adjustRightInd w:val="0"/>
    </w:pPr>
    <w:rPr>
      <w:rFonts w:ascii="楷体_GB2312" w:hAnsi="楷体_GB2312" w:eastAsia="宋体" w:cs="楷体_GB2312"/>
      <w:color w:val="000000"/>
      <w:sz w:val="24"/>
      <w:szCs w:val="24"/>
      <w:lang w:val="en-US" w:eastAsia="zh-CN" w:bidi="ar-SA"/>
    </w:rPr>
  </w:style>
  <w:style w:type="paragraph" w:customStyle="1" w:styleId="54">
    <w:name w:val="_Style 48"/>
    <w:unhideWhenUsed/>
    <w:qFormat/>
    <w:uiPriority w:val="99"/>
    <w:rPr>
      <w:rFonts w:ascii="Times New Roman" w:hAnsi="Times New Roman" w:eastAsia="宋体" w:cs="Times New Roman"/>
      <w:kern w:val="2"/>
      <w:sz w:val="21"/>
      <w:lang w:val="en-US" w:eastAsia="zh-CN" w:bidi="ar-SA"/>
    </w:rPr>
  </w:style>
  <w:style w:type="paragraph" w:customStyle="1" w:styleId="55">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21582</Words>
  <Characters>22829</Characters>
  <Lines>1</Lines>
  <Paragraphs>1</Paragraphs>
  <TotalTime>36</TotalTime>
  <ScaleCrop>false</ScaleCrop>
  <LinksUpToDate>false</LinksUpToDate>
  <CharactersWithSpaces>23886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2024-04-16T22:09:00Z</dcterms:created>
  <dc:creator>微软用户</dc:creator>
  <cp:lastModifiedBy>kylin</cp:lastModifiedBy>
  <cp:lastPrinted>2024-04-17T17:49:00Z</cp:lastPrinted>
  <dcterms:modified xsi:type="dcterms:W3CDTF">2024-05-22T10:27:52Z</dcterms:modified>
  <dc:title>民事委托代理合同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ECF09A6C2CCF4A15B4FB32AF52DAF683_13</vt:lpwstr>
  </property>
</Properties>
</file>