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720"/>
        </w:tabs>
        <w:spacing w:line="360" w:lineRule="auto"/>
        <w:jc w:val="center"/>
        <w:rPr>
          <w:rFonts w:ascii="宋体" w:hAnsi="宋体"/>
          <w:b/>
          <w:bCs/>
          <w:spacing w:val="-20"/>
          <w:sz w:val="60"/>
          <w:szCs w:val="60"/>
        </w:rPr>
      </w:pPr>
      <w:r>
        <w:rPr>
          <w:rFonts w:ascii="宋体" w:hAnsi="宋体"/>
          <w:b/>
          <w:bCs/>
          <w:spacing w:val="-20"/>
          <w:sz w:val="60"/>
          <w:szCs w:val="60"/>
        </w:rPr>
        <w:t>广东省消防救援总队</w:t>
      </w:r>
      <w:r>
        <w:rPr>
          <w:rFonts w:hint="eastAsia" w:ascii="宋体" w:hAnsi="宋体"/>
          <w:b/>
          <w:bCs/>
          <w:spacing w:val="-20"/>
          <w:sz w:val="60"/>
          <w:szCs w:val="60"/>
        </w:rPr>
        <w:t>审计</w:t>
      </w:r>
      <w:r>
        <w:rPr>
          <w:rFonts w:ascii="宋体" w:hAnsi="宋体"/>
          <w:b/>
          <w:bCs/>
          <w:spacing w:val="-20"/>
          <w:sz w:val="60"/>
          <w:szCs w:val="60"/>
        </w:rPr>
        <w:t>服务</w:t>
      </w:r>
    </w:p>
    <w:p>
      <w:pPr>
        <w:tabs>
          <w:tab w:val="left" w:pos="720"/>
        </w:tabs>
        <w:spacing w:line="360" w:lineRule="auto"/>
        <w:jc w:val="center"/>
        <w:rPr>
          <w:rFonts w:ascii="宋体" w:hAnsi="宋体"/>
          <w:b/>
          <w:bCs/>
          <w:spacing w:val="-20"/>
          <w:sz w:val="60"/>
          <w:szCs w:val="60"/>
        </w:rPr>
      </w:pPr>
      <w:r>
        <w:rPr>
          <w:rFonts w:ascii="宋体" w:hAnsi="宋体"/>
          <w:b/>
          <w:bCs/>
          <w:spacing w:val="-20"/>
          <w:sz w:val="60"/>
          <w:szCs w:val="60"/>
        </w:rPr>
        <w:t>采购项目</w:t>
      </w:r>
    </w:p>
    <w:p>
      <w:pPr>
        <w:pStyle w:val="13"/>
        <w:widowControl/>
        <w:spacing w:line="594" w:lineRule="exact"/>
        <w:jc w:val="center"/>
        <w:rPr>
          <w:rFonts w:hint="eastAsia" w:ascii="宋体" w:hAnsi="宋体" w:cs="宋体"/>
          <w:b/>
          <w:bCs/>
          <w:sz w:val="32"/>
          <w:szCs w:val="32"/>
        </w:rPr>
      </w:pPr>
      <w:r>
        <w:rPr>
          <w:rFonts w:hint="eastAsia" w:ascii="宋体" w:hAnsi="宋体" w:cs="宋体"/>
          <w:b/>
          <w:bCs/>
          <w:sz w:val="32"/>
          <w:szCs w:val="32"/>
        </w:rPr>
        <w:t>（项目编号：</w:t>
      </w:r>
      <w:r>
        <w:rPr>
          <w:rFonts w:ascii="宋体" w:hAnsi="宋体" w:cs="宋体"/>
          <w:b/>
          <w:bCs/>
          <w:sz w:val="32"/>
          <w:szCs w:val="32"/>
        </w:rPr>
        <w:t>ZD</w:t>
      </w:r>
      <w:r>
        <w:rPr>
          <w:rFonts w:hint="eastAsia" w:ascii="宋体" w:hAnsi="宋体" w:cs="宋体"/>
          <w:b/>
          <w:bCs/>
          <w:sz w:val="32"/>
          <w:szCs w:val="32"/>
        </w:rPr>
        <w:t>SJS</w:t>
      </w:r>
      <w:r>
        <w:rPr>
          <w:rFonts w:ascii="宋体" w:hAnsi="宋体" w:cs="宋体"/>
          <w:b/>
          <w:bCs/>
          <w:sz w:val="32"/>
          <w:szCs w:val="32"/>
        </w:rPr>
        <w:t>202</w:t>
      </w:r>
      <w:r>
        <w:rPr>
          <w:rFonts w:hint="eastAsia" w:ascii="宋体" w:hAnsi="宋体" w:cs="宋体"/>
          <w:b/>
          <w:bCs/>
          <w:sz w:val="32"/>
          <w:szCs w:val="32"/>
          <w:lang w:val="en-US" w:eastAsia="zh-CN"/>
        </w:rPr>
        <w:t>3</w:t>
      </w:r>
      <w:r>
        <w:rPr>
          <w:rFonts w:hint="eastAsia" w:ascii="宋体" w:hAnsi="宋体" w:cs="宋体"/>
          <w:b/>
          <w:bCs/>
          <w:sz w:val="32"/>
          <w:szCs w:val="32"/>
        </w:rPr>
        <w:t>001）</w:t>
      </w:r>
    </w:p>
    <w:p>
      <w:pPr>
        <w:tabs>
          <w:tab w:val="left" w:pos="720"/>
        </w:tabs>
        <w:spacing w:line="360" w:lineRule="auto"/>
        <w:jc w:val="center"/>
        <w:rPr>
          <w:rFonts w:ascii="宋体" w:hAnsi="宋体"/>
          <w:sz w:val="52"/>
          <w:szCs w:val="52"/>
        </w:rPr>
      </w:pPr>
    </w:p>
    <w:p>
      <w:pPr>
        <w:spacing w:line="360" w:lineRule="auto"/>
        <w:jc w:val="center"/>
        <w:rPr>
          <w:rFonts w:ascii="宋体" w:hAnsi="宋体"/>
          <w:b/>
          <w:bCs/>
          <w:spacing w:val="-30"/>
          <w:sz w:val="52"/>
          <w:szCs w:val="52"/>
        </w:rPr>
      </w:pPr>
      <w:r>
        <w:rPr>
          <w:rFonts w:hint="eastAsia" w:ascii="宋体" w:hAnsi="宋体"/>
          <w:b/>
          <w:bCs/>
          <w:spacing w:val="-30"/>
          <w:sz w:val="52"/>
          <w:szCs w:val="52"/>
        </w:rPr>
        <w:t>遴选文件</w:t>
      </w:r>
    </w:p>
    <w:p>
      <w:pPr>
        <w:spacing w:line="360" w:lineRule="auto"/>
        <w:rPr>
          <w:rFonts w:ascii="宋体" w:hAnsi="宋体"/>
          <w:bCs/>
          <w:sz w:val="32"/>
          <w:szCs w:val="32"/>
        </w:rPr>
      </w:pPr>
    </w:p>
    <w:p>
      <w:pPr>
        <w:pStyle w:val="8"/>
      </w:pPr>
    </w:p>
    <w:p>
      <w:pPr>
        <w:pStyle w:val="3"/>
        <w:ind w:left="0" w:leftChars="0"/>
        <w:rPr>
          <w:rFonts w:ascii="宋体" w:hAnsi="宋体"/>
          <w:b/>
          <w:bCs/>
          <w:sz w:val="32"/>
          <w:szCs w:val="32"/>
        </w:rPr>
      </w:pPr>
    </w:p>
    <w:p>
      <w:pPr>
        <w:pStyle w:val="3"/>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采购人：广东省消防救援总队</w:t>
      </w:r>
    </w:p>
    <w:p>
      <w:pPr>
        <w:spacing w:line="360" w:lineRule="auto"/>
        <w:ind w:firstLine="3855" w:firstLineChars="1200"/>
        <w:jc w:val="left"/>
        <w:rPr>
          <w:rFonts w:hint="eastAsia" w:ascii="宋体" w:hAnsi="宋体"/>
          <w:b/>
          <w:bCs/>
          <w:sz w:val="32"/>
          <w:szCs w:val="32"/>
        </w:rPr>
        <w:sectPr>
          <w:headerReference r:id="rId5" w:type="default"/>
          <w:footerReference r:id="rId6" w:type="default"/>
          <w:pgSz w:w="11906" w:h="16838"/>
          <w:pgMar w:top="1440" w:right="1416" w:bottom="1440" w:left="1276" w:header="851" w:footer="992" w:gutter="0"/>
          <w:pgNumType w:start="0"/>
          <w:cols w:space="720" w:num="1"/>
          <w:docGrid w:type="lines" w:linePitch="312" w:charSpace="0"/>
        </w:sectPr>
      </w:pPr>
      <w:r>
        <w:rPr>
          <w:rFonts w:ascii="宋体" w:hAnsi="宋体"/>
          <w:b/>
          <w:bCs/>
          <w:sz w:val="32"/>
          <w:szCs w:val="32"/>
        </w:rPr>
        <w:t>202</w:t>
      </w:r>
      <w:r>
        <w:rPr>
          <w:rFonts w:hint="eastAsia" w:ascii="宋体" w:hAnsi="宋体"/>
          <w:b/>
          <w:bCs/>
          <w:sz w:val="32"/>
          <w:szCs w:val="32"/>
          <w:lang w:val="en-US" w:eastAsia="zh-CN"/>
        </w:rPr>
        <w:t>3</w:t>
      </w:r>
      <w:r>
        <w:rPr>
          <w:rFonts w:hint="eastAsia" w:ascii="宋体" w:hAnsi="宋体"/>
          <w:b/>
          <w:bCs/>
          <w:sz w:val="32"/>
          <w:szCs w:val="32"/>
        </w:rPr>
        <w:t>年1</w:t>
      </w:r>
      <w:r>
        <w:rPr>
          <w:rFonts w:hint="eastAsia" w:ascii="宋体" w:hAnsi="宋体"/>
          <w:b/>
          <w:bCs/>
          <w:sz w:val="32"/>
          <w:szCs w:val="32"/>
          <w:lang w:val="en-US" w:eastAsia="zh-CN"/>
        </w:rPr>
        <w:t>1</w:t>
      </w:r>
      <w:r>
        <w:rPr>
          <w:rFonts w:hint="eastAsia" w:ascii="宋体" w:hAnsi="宋体"/>
          <w:b/>
          <w:bCs/>
          <w:sz w:val="32"/>
          <w:szCs w:val="32"/>
        </w:rPr>
        <w:t>月</w:t>
      </w:r>
      <w:bookmarkStart w:id="0" w:name="_Toc370744755"/>
    </w:p>
    <w:bookmarkEnd w:id="0"/>
    <w:p>
      <w:pPr>
        <w:keepNext/>
        <w:keepLines/>
        <w:adjustRightInd w:val="0"/>
        <w:spacing w:line="360" w:lineRule="auto"/>
        <w:jc w:val="center"/>
        <w:textAlignment w:val="baseline"/>
        <w:outlineLvl w:val="1"/>
        <w:rPr>
          <w:rFonts w:hint="eastAsia" w:ascii="黑体" w:hAnsi="黑体" w:eastAsia="黑体" w:cs="黑体"/>
          <w:kern w:val="0"/>
          <w:sz w:val="32"/>
          <w:szCs w:val="32"/>
        </w:rPr>
      </w:pPr>
      <w:bookmarkStart w:id="1" w:name="_Toc371172264"/>
      <w:bookmarkStart w:id="2" w:name="_Toc337541094"/>
      <w:r>
        <w:rPr>
          <w:rFonts w:hint="eastAsia" w:ascii="黑体" w:hAnsi="黑体" w:eastAsia="黑体" w:cs="黑体"/>
          <w:kern w:val="0"/>
          <w:sz w:val="32"/>
          <w:szCs w:val="32"/>
        </w:rPr>
        <w:t xml:space="preserve">第一部分  采购邀请函  </w:t>
      </w:r>
    </w:p>
    <w:p>
      <w:pPr>
        <w:adjustRightInd w:val="0"/>
        <w:snapToGrid w:val="0"/>
        <w:ind w:firstLine="420" w:firstLineChars="200"/>
        <w:rPr>
          <w:rFonts w:hint="eastAsia" w:ascii="宋体" w:hAnsi="宋体" w:cs="宋体"/>
          <w:szCs w:val="21"/>
        </w:rPr>
      </w:pPr>
    </w:p>
    <w:p>
      <w:pPr>
        <w:adjustRightInd w:val="0"/>
        <w:snapToGrid w:val="0"/>
        <w:spacing w:line="360" w:lineRule="auto"/>
        <w:ind w:firstLine="420" w:firstLineChars="200"/>
        <w:rPr>
          <w:rFonts w:hint="eastAsia" w:ascii="宋体" w:hAnsi="宋体" w:cs="宋体"/>
          <w:szCs w:val="21"/>
        </w:rPr>
      </w:pPr>
      <w:r>
        <w:rPr>
          <w:rFonts w:ascii="宋体" w:hAnsi="宋体"/>
        </w:rPr>
        <w:t>广东省消防救援总队（以下简称“</w:t>
      </w:r>
      <w:r>
        <w:rPr>
          <w:rFonts w:hint="eastAsia" w:ascii="宋体" w:hAnsi="宋体"/>
        </w:rPr>
        <w:t>采购</w:t>
      </w:r>
      <w:r>
        <w:rPr>
          <w:rFonts w:ascii="宋体" w:hAnsi="宋体"/>
        </w:rPr>
        <w:t>人”）对</w:t>
      </w:r>
      <w:r>
        <w:rPr>
          <w:rFonts w:hint="eastAsia" w:ascii="宋体" w:hAnsi="宋体"/>
        </w:rPr>
        <w:t>广东省消防救援总队审计服务采购项目</w:t>
      </w:r>
      <w:r>
        <w:rPr>
          <w:rFonts w:ascii="宋体" w:hAnsi="宋体"/>
        </w:rPr>
        <w:t>进行遴选采购，欢迎符合资格条件的供应商参加。</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一、项目基本情况</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项目名称：广东省消防救援总队审计服务采购项目</w:t>
      </w:r>
    </w:p>
    <w:p>
      <w:pPr>
        <w:adjustRightInd w:val="0"/>
        <w:snapToGrid w:val="0"/>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项目编号：</w:t>
      </w:r>
      <w:r>
        <w:rPr>
          <w:rFonts w:hint="eastAsia" w:ascii="宋体" w:hAnsi="宋体" w:cs="宋体"/>
          <w:szCs w:val="21"/>
          <w:highlight w:val="none"/>
          <w:u w:val="single"/>
        </w:rPr>
        <w:t>ZDSJS202</w:t>
      </w:r>
      <w:r>
        <w:rPr>
          <w:rFonts w:hint="eastAsia" w:ascii="宋体" w:hAnsi="宋体" w:cs="宋体"/>
          <w:szCs w:val="21"/>
          <w:highlight w:val="none"/>
          <w:u w:val="single"/>
          <w:lang w:val="en-US" w:eastAsia="zh-CN"/>
        </w:rPr>
        <w:t>3</w:t>
      </w:r>
      <w:r>
        <w:rPr>
          <w:rFonts w:hint="eastAsia" w:ascii="宋体" w:hAnsi="宋体" w:cs="宋体"/>
          <w:szCs w:val="21"/>
          <w:highlight w:val="none"/>
          <w:u w:val="single"/>
        </w:rPr>
        <w:t>001</w:t>
      </w:r>
    </w:p>
    <w:p>
      <w:pPr>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预算金额：</w:t>
      </w:r>
      <w:r>
        <w:rPr>
          <w:rFonts w:hint="eastAsia" w:ascii="宋体" w:hAnsi="宋体"/>
          <w:highlight w:val="none"/>
          <w:lang w:val="en-US" w:eastAsia="zh-CN"/>
        </w:rPr>
        <w:t>22</w:t>
      </w:r>
      <w:r>
        <w:rPr>
          <w:rFonts w:hint="eastAsia" w:ascii="宋体" w:hAnsi="宋体"/>
          <w:highlight w:val="none"/>
        </w:rPr>
        <w:t>万</w:t>
      </w:r>
      <w:r>
        <w:rPr>
          <w:rFonts w:ascii="宋体" w:hAnsi="宋体"/>
          <w:highlight w:val="none"/>
        </w:rPr>
        <w:t>元。</w:t>
      </w:r>
    </w:p>
    <w:p>
      <w:pPr>
        <w:pStyle w:val="10"/>
        <w:adjustRightInd w:val="0"/>
        <w:snapToGrid w:val="0"/>
        <w:spacing w:after="0" w:line="360" w:lineRule="auto"/>
        <w:ind w:firstLine="420"/>
        <w:rPr>
          <w:rFonts w:ascii="宋体" w:hAnsi="宋体"/>
          <w:highlight w:val="none"/>
        </w:rPr>
      </w:pPr>
      <w:r>
        <w:rPr>
          <w:rFonts w:ascii="宋体" w:hAnsi="宋体"/>
          <w:highlight w:val="none"/>
        </w:rPr>
        <w:t>服务期限：202</w:t>
      </w:r>
      <w:r>
        <w:rPr>
          <w:rFonts w:hint="eastAsia" w:ascii="宋体" w:hAnsi="宋体"/>
          <w:highlight w:val="none"/>
          <w:lang w:val="en-US" w:eastAsia="zh-CN"/>
        </w:rPr>
        <w:t>3</w:t>
      </w:r>
      <w:r>
        <w:rPr>
          <w:rFonts w:ascii="宋体" w:hAnsi="宋体"/>
          <w:highlight w:val="none"/>
        </w:rPr>
        <w:t xml:space="preserve"> 年12 月-202</w:t>
      </w:r>
      <w:r>
        <w:rPr>
          <w:rFonts w:hint="eastAsia" w:ascii="宋体" w:hAnsi="宋体"/>
          <w:highlight w:val="none"/>
          <w:lang w:val="en-US" w:eastAsia="zh-CN"/>
        </w:rPr>
        <w:t>4</w:t>
      </w:r>
      <w:r>
        <w:rPr>
          <w:rFonts w:ascii="宋体" w:hAnsi="宋体"/>
          <w:highlight w:val="none"/>
        </w:rPr>
        <w:t>年 11 月。</w:t>
      </w:r>
    </w:p>
    <w:p>
      <w:pPr>
        <w:adjustRightInd w:val="0"/>
        <w:snapToGrid w:val="0"/>
        <w:spacing w:line="360" w:lineRule="auto"/>
        <w:ind w:firstLine="420" w:firstLineChars="200"/>
        <w:rPr>
          <w:rFonts w:hint="eastAsia" w:ascii="宋体" w:hAnsi="宋体" w:cs="宋体"/>
          <w:szCs w:val="21"/>
          <w:highlight w:val="none"/>
        </w:rPr>
      </w:pPr>
      <w:r>
        <w:rPr>
          <w:rFonts w:ascii="宋体" w:hAnsi="宋体"/>
          <w:highlight w:val="none"/>
        </w:rPr>
        <w:t>具体要求详见用户需求书。</w:t>
      </w:r>
    </w:p>
    <w:p>
      <w:pPr>
        <w:adjustRightInd w:val="0"/>
        <w:snapToGrid w:val="0"/>
        <w:spacing w:line="360" w:lineRule="auto"/>
        <w:ind w:firstLine="420" w:firstLineChars="200"/>
        <w:rPr>
          <w:rFonts w:hint="eastAsia" w:ascii="宋体" w:hAnsi="宋体" w:cs="宋体"/>
          <w:b/>
          <w:bCs/>
          <w:szCs w:val="21"/>
          <w:highlight w:val="none"/>
        </w:rPr>
      </w:pPr>
      <w:r>
        <w:rPr>
          <w:rFonts w:hint="eastAsia" w:ascii="宋体" w:hAnsi="宋体"/>
          <w:szCs w:val="21"/>
          <w:highlight w:val="none"/>
        </w:rPr>
        <w:t>采购需求：详见项目内容。</w:t>
      </w:r>
    </w:p>
    <w:p>
      <w:pPr>
        <w:numPr>
          <w:ilvl w:val="0"/>
          <w:numId w:val="2"/>
        </w:numPr>
        <w:tabs>
          <w:tab w:val="left" w:pos="840"/>
          <w:tab w:val="left" w:pos="1080"/>
        </w:tabs>
        <w:spacing w:line="390" w:lineRule="exact"/>
        <w:rPr>
          <w:rFonts w:ascii="宋体" w:hAnsi="宋体" w:cs="宋体"/>
          <w:szCs w:val="21"/>
          <w:highlight w:val="none"/>
        </w:rPr>
      </w:pPr>
      <w:r>
        <w:rPr>
          <w:rFonts w:hint="eastAsia" w:ascii="宋体" w:hAnsi="宋体" w:cs="宋体"/>
          <w:szCs w:val="21"/>
          <w:highlight w:val="none"/>
        </w:rPr>
        <w:t>项目内容： 参与采购人对总队下辖的支队（含大队）组织开展的财政财务收支、领导干部经济责任、重大政策落实情况跟踪审计、专项审计调查、内部控制审计、建设工程项目审计、信息化项目专项审计、采购专项审计、审计文书整理等审计服务项目</w:t>
      </w:r>
      <w:r>
        <w:rPr>
          <w:rFonts w:hint="eastAsia" w:ascii="宋体" w:hAnsi="宋体" w:cs="宋体"/>
          <w:szCs w:val="21"/>
          <w:highlight w:val="none"/>
          <w:lang w:eastAsia="zh-CN"/>
        </w:rPr>
        <w:t>。</w:t>
      </w:r>
    </w:p>
    <w:p>
      <w:pPr>
        <w:numPr>
          <w:ilvl w:val="0"/>
          <w:numId w:val="2"/>
        </w:numPr>
        <w:tabs>
          <w:tab w:val="left" w:pos="840"/>
          <w:tab w:val="left" w:pos="1092"/>
        </w:tabs>
        <w:adjustRightInd w:val="0"/>
        <w:snapToGrid w:val="0"/>
        <w:spacing w:line="390" w:lineRule="exact"/>
        <w:ind w:firstLineChars="200"/>
        <w:rPr>
          <w:rFonts w:ascii="宋体" w:hAnsi="宋体" w:cs="宋体"/>
          <w:szCs w:val="21"/>
          <w:highlight w:val="none"/>
        </w:rPr>
      </w:pPr>
      <w:r>
        <w:rPr>
          <w:rFonts w:hint="eastAsia" w:ascii="宋体" w:hAnsi="宋体" w:cs="宋体"/>
          <w:szCs w:val="21"/>
          <w:highlight w:val="none"/>
        </w:rPr>
        <w:t>产品详细技术规格、参数：详见遴选文件中的“用户需求书”。</w:t>
      </w:r>
    </w:p>
    <w:p>
      <w:pPr>
        <w:numPr>
          <w:ilvl w:val="0"/>
          <w:numId w:val="2"/>
        </w:numPr>
        <w:tabs>
          <w:tab w:val="left" w:pos="840"/>
          <w:tab w:val="left" w:pos="1092"/>
        </w:tabs>
        <w:adjustRightInd w:val="0"/>
        <w:snapToGrid w:val="0"/>
        <w:spacing w:line="390" w:lineRule="exact"/>
        <w:ind w:firstLineChars="200"/>
        <w:rPr>
          <w:rFonts w:ascii="宋体" w:hAnsi="宋体" w:cs="宋体"/>
          <w:szCs w:val="21"/>
          <w:highlight w:val="none"/>
        </w:rPr>
      </w:pPr>
      <w:r>
        <w:rPr>
          <w:rFonts w:hint="eastAsia" w:ascii="宋体" w:hAnsi="宋体" w:cs="宋体"/>
          <w:szCs w:val="21"/>
          <w:highlight w:val="none"/>
        </w:rPr>
        <w:t>服务地点：采购人指定地点。</w:t>
      </w:r>
    </w:p>
    <w:p>
      <w:pPr>
        <w:numPr>
          <w:ilvl w:val="0"/>
          <w:numId w:val="2"/>
        </w:numPr>
        <w:tabs>
          <w:tab w:val="left" w:pos="840"/>
          <w:tab w:val="left" w:pos="1092"/>
        </w:tabs>
        <w:adjustRightInd w:val="0"/>
        <w:snapToGrid w:val="0"/>
        <w:spacing w:line="390" w:lineRule="exact"/>
        <w:ind w:firstLineChars="200"/>
        <w:rPr>
          <w:rFonts w:ascii="宋体" w:hAnsi="宋体" w:cs="宋体"/>
          <w:szCs w:val="21"/>
          <w:highlight w:val="none"/>
        </w:rPr>
      </w:pPr>
      <w:r>
        <w:rPr>
          <w:rFonts w:hint="eastAsia" w:ascii="宋体" w:hAnsi="宋体" w:cs="宋体"/>
          <w:szCs w:val="21"/>
          <w:highlight w:val="none"/>
        </w:rPr>
        <w:t>采购类型：服务类。</w:t>
      </w:r>
    </w:p>
    <w:p>
      <w:pPr>
        <w:numPr>
          <w:ilvl w:val="0"/>
          <w:numId w:val="2"/>
        </w:numPr>
        <w:tabs>
          <w:tab w:val="left" w:pos="840"/>
          <w:tab w:val="left" w:pos="1092"/>
        </w:tabs>
        <w:adjustRightInd w:val="0"/>
        <w:snapToGrid w:val="0"/>
        <w:spacing w:line="390" w:lineRule="exact"/>
        <w:ind w:firstLineChars="200"/>
        <w:rPr>
          <w:rFonts w:hint="eastAsia" w:ascii="宋体" w:hAnsi="宋体" w:cs="宋体"/>
          <w:b/>
          <w:bCs/>
          <w:szCs w:val="21"/>
          <w:highlight w:val="none"/>
        </w:rPr>
      </w:pPr>
      <w:r>
        <w:rPr>
          <w:rFonts w:hint="eastAsia" w:ascii="宋体" w:hAnsi="宋体" w:cs="宋体"/>
          <w:szCs w:val="21"/>
          <w:highlight w:val="none"/>
        </w:rPr>
        <w:t>项目要求：详细要求请参阅“采购需求”。</w:t>
      </w:r>
    </w:p>
    <w:p>
      <w:pPr>
        <w:adjustRightInd w:val="0"/>
        <w:snapToGrid w:val="0"/>
        <w:spacing w:before="240" w:beforeLines="100"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二、参评人的资格要求</w:t>
      </w:r>
    </w:p>
    <w:p>
      <w:pPr>
        <w:pStyle w:val="10"/>
        <w:adjustRightInd w:val="0"/>
        <w:snapToGrid w:val="0"/>
        <w:spacing w:after="0" w:line="360" w:lineRule="auto"/>
        <w:ind w:firstLine="420"/>
        <w:rPr>
          <w:rFonts w:ascii="宋体" w:hAnsi="宋体"/>
        </w:rPr>
      </w:pPr>
      <w:r>
        <w:rPr>
          <w:rFonts w:ascii="宋体" w:hAnsi="宋体" w:cs="Arial"/>
          <w:highlight w:val="none"/>
        </w:rPr>
        <w:t>1</w:t>
      </w:r>
      <w:r>
        <w:rPr>
          <w:rFonts w:ascii="宋体" w:hAnsi="宋体"/>
          <w:highlight w:val="none"/>
        </w:rPr>
        <w:t>、</w:t>
      </w:r>
      <w:r>
        <w:rPr>
          <w:rFonts w:hint="eastAsia" w:ascii="宋体" w:hAnsi="宋体"/>
          <w:highlight w:val="none"/>
        </w:rPr>
        <w:t>参评</w:t>
      </w:r>
      <w:r>
        <w:rPr>
          <w:rFonts w:ascii="宋体" w:hAnsi="宋体"/>
          <w:highlight w:val="none"/>
        </w:rPr>
        <w:t>供应商应具备《中华人民共和国政府采购法》第二十二条规定的</w:t>
      </w:r>
      <w:r>
        <w:rPr>
          <w:rFonts w:ascii="宋体" w:hAnsi="宋体"/>
        </w:rPr>
        <w:t>条件，提供下</w:t>
      </w:r>
      <w:r>
        <w:rPr>
          <w:rFonts w:ascii="宋体" w:hAnsi="宋体"/>
          <w:w w:val="99"/>
        </w:rPr>
        <w:t xml:space="preserve"> </w:t>
      </w:r>
      <w:r>
        <w:rPr>
          <w:rFonts w:ascii="宋体" w:hAnsi="宋体"/>
        </w:rPr>
        <w:t>列材料：</w:t>
      </w:r>
      <w:r>
        <w:rPr>
          <w:rFonts w:ascii="宋体" w:hAnsi="宋体"/>
          <w:spacing w:val="-4"/>
        </w:rPr>
        <w:t xml:space="preserve"> </w:t>
      </w:r>
      <w:r>
        <w:rPr>
          <w:rFonts w:ascii="宋体" w:hAnsi="宋体"/>
        </w:rPr>
        <w:t>具有独立承担民事责任的能力：是在中华人民共和国境内注册的法人或其他组织</w:t>
      </w:r>
      <w:r>
        <w:rPr>
          <w:rFonts w:ascii="宋体" w:hAnsi="宋体"/>
          <w:w w:val="99"/>
        </w:rPr>
        <w:t xml:space="preserve"> </w:t>
      </w:r>
      <w:r>
        <w:rPr>
          <w:rFonts w:ascii="宋体" w:hAnsi="宋体"/>
          <w:w w:val="95"/>
        </w:rPr>
        <w:t>或自然人</w:t>
      </w:r>
      <w:r>
        <w:rPr>
          <w:rFonts w:ascii="宋体" w:hAnsi="宋体" w:cs="Arial"/>
        </w:rPr>
        <w:t>，</w:t>
      </w:r>
      <w:r>
        <w:rPr>
          <w:rFonts w:hint="eastAsia" w:ascii="宋体" w:hAnsi="宋体" w:cs="Arial"/>
        </w:rPr>
        <w:t>参评</w:t>
      </w:r>
      <w:r>
        <w:rPr>
          <w:rFonts w:ascii="宋体" w:hAnsi="宋体" w:cs="Arial"/>
        </w:rPr>
        <w:t>时提交有效的营业执照（或事业法人登记证或社会团体登记证或民办非企业 单位登记证或身份证等相关证明）副本复印件。（如国家另有规定的，则从其规定。如供应 商为分支机构，须取得具有法人资格的总公司（总所）出具给分支机构的授权书，并提供总 公司（总所）和分支机构的营业执照（执业许可证）复印件；已由总公司（总所）授权的， 总公司（总所）取得的相关资质证书对分支机构有效，法律法规或者行业另有规定的除外）</w:t>
      </w:r>
    </w:p>
    <w:p>
      <w:pPr>
        <w:pStyle w:val="10"/>
        <w:adjustRightInd w:val="0"/>
        <w:snapToGrid w:val="0"/>
        <w:spacing w:after="0" w:line="360" w:lineRule="auto"/>
        <w:ind w:firstLine="420"/>
        <w:rPr>
          <w:rFonts w:ascii="宋体" w:hAnsi="宋体"/>
        </w:rPr>
      </w:pPr>
      <w:r>
        <w:rPr>
          <w:rFonts w:ascii="宋体" w:hAnsi="宋体" w:cs="Arial"/>
          <w:spacing w:val="-4"/>
        </w:rPr>
        <w:t>2</w:t>
      </w:r>
      <w:r>
        <w:rPr>
          <w:rFonts w:ascii="宋体" w:hAnsi="宋体"/>
          <w:spacing w:val="-4"/>
        </w:rPr>
        <w:t>、</w:t>
      </w:r>
      <w:r>
        <w:rPr>
          <w:rFonts w:ascii="宋体" w:hAnsi="宋体" w:cs="Arial"/>
        </w:rPr>
        <w:t>具有良好的商业信誉和健全的财务会计制度：提供 202</w:t>
      </w:r>
      <w:r>
        <w:rPr>
          <w:rFonts w:hint="eastAsia" w:ascii="宋体" w:hAnsi="宋体" w:cs="Arial"/>
          <w:lang w:val="en-US" w:eastAsia="zh-CN"/>
        </w:rPr>
        <w:t>1</w:t>
      </w:r>
      <w:r>
        <w:rPr>
          <w:rFonts w:ascii="宋体" w:hAnsi="宋体" w:cs="Arial"/>
        </w:rPr>
        <w:t xml:space="preserve"> 年度</w:t>
      </w:r>
      <w:r>
        <w:rPr>
          <w:rFonts w:hint="eastAsia" w:ascii="宋体" w:hAnsi="宋体" w:cs="Arial"/>
        </w:rPr>
        <w:t>或</w:t>
      </w:r>
      <w:r>
        <w:rPr>
          <w:rFonts w:ascii="宋体" w:hAnsi="宋体" w:cs="Arial"/>
        </w:rPr>
        <w:t>202</w:t>
      </w:r>
      <w:r>
        <w:rPr>
          <w:rFonts w:hint="eastAsia" w:ascii="宋体" w:hAnsi="宋体" w:cs="Arial"/>
          <w:lang w:val="en-US" w:eastAsia="zh-CN"/>
        </w:rPr>
        <w:t>2</w:t>
      </w:r>
      <w:r>
        <w:rPr>
          <w:rFonts w:ascii="宋体" w:hAnsi="宋体" w:cs="Arial"/>
        </w:rPr>
        <w:t xml:space="preserve"> 年度财务状况报告或基本开户行出具的资信证明，或最近一期财务报表（适用在上一年度或本财务年度成立的法人或其他组织），或人民银行出具的个人信用报告（适用于自然人）。</w:t>
      </w:r>
    </w:p>
    <w:p>
      <w:pPr>
        <w:pStyle w:val="10"/>
        <w:adjustRightInd w:val="0"/>
        <w:snapToGrid w:val="0"/>
        <w:spacing w:after="0" w:line="360" w:lineRule="auto"/>
        <w:ind w:firstLine="420"/>
        <w:rPr>
          <w:rFonts w:ascii="宋体" w:hAnsi="宋体" w:cs="Arial"/>
        </w:rPr>
      </w:pPr>
      <w:r>
        <w:rPr>
          <w:rFonts w:ascii="宋体" w:hAnsi="宋体" w:cs="Arial"/>
        </w:rPr>
        <w:t>3、有依法缴纳税收和社会保障资金的良好记录：提供投标截止日前 6 个月内任意1 个月依法缴纳税收和社会保障资金的相关材料。如依法免税或不需要缴纳社会保障资金的，提供相应证明材料。</w:t>
      </w:r>
    </w:p>
    <w:p>
      <w:pPr>
        <w:pStyle w:val="10"/>
        <w:adjustRightInd w:val="0"/>
        <w:snapToGrid w:val="0"/>
        <w:spacing w:after="0" w:line="360" w:lineRule="auto"/>
        <w:ind w:firstLine="420" w:firstLineChars="200"/>
        <w:rPr>
          <w:rFonts w:ascii="宋体" w:hAnsi="宋体"/>
        </w:rPr>
      </w:pPr>
      <w:r>
        <w:rPr>
          <w:rFonts w:ascii="宋体" w:hAnsi="宋体" w:cs="Arial"/>
        </w:rPr>
        <w:t>4</w:t>
      </w:r>
      <w:r>
        <w:rPr>
          <w:rFonts w:ascii="宋体" w:hAnsi="宋体"/>
        </w:rPr>
        <w:t>、具有履行合同所必须的设备和专业技术能力：提供《供应商资格声明函》。</w:t>
      </w:r>
    </w:p>
    <w:p>
      <w:pPr>
        <w:pStyle w:val="10"/>
        <w:adjustRightInd w:val="0"/>
        <w:snapToGrid w:val="0"/>
        <w:spacing w:after="0" w:line="360" w:lineRule="auto"/>
        <w:ind w:firstLine="420"/>
        <w:rPr>
          <w:rFonts w:hint="eastAsia" w:ascii="宋体" w:hAnsi="宋体"/>
        </w:rPr>
      </w:pPr>
      <w:r>
        <w:rPr>
          <w:rFonts w:ascii="宋体" w:hAnsi="宋体"/>
        </w:rPr>
        <w:t>5、参加采购活动前三年内，在经营活动中没有重大违法记录：提供《供应商资格声明 函》。</w:t>
      </w:r>
      <w:bookmarkStart w:id="3" w:name="第二部分__用户需求书"/>
      <w:bookmarkEnd w:id="3"/>
      <w:r>
        <w:rPr>
          <w:rFonts w:hint="eastAsia" w:ascii="宋体" w:hAnsi="宋体"/>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pStyle w:val="10"/>
        <w:adjustRightInd w:val="0"/>
        <w:snapToGrid w:val="0"/>
        <w:spacing w:after="0" w:line="360" w:lineRule="auto"/>
        <w:ind w:firstLine="420"/>
      </w:pPr>
      <w:r>
        <w:t>6、信用记录：供应商未被列入“信用中国”网站(www.creditchina.gov.cn)“记录失信被执行人或重大税收违法</w:t>
      </w:r>
      <w:r>
        <w:rPr>
          <w:rFonts w:hint="eastAsia"/>
        </w:rPr>
        <w:t>失信主体</w:t>
      </w:r>
      <w:r>
        <w:t>或政府采购严重违法失信行为”记录名单；不处于中国政府采购网(www.ccgp.gov.cn)“政府采购严重违法失信行为信息记录”中的禁止参加政府采购活动期间。（以</w:t>
      </w:r>
      <w:r>
        <w:rPr>
          <w:rFonts w:hint="eastAsia"/>
        </w:rPr>
        <w:t>采购</w:t>
      </w:r>
      <w:r>
        <w:t>人于参选截止时间当天在“信用中国”网站（</w:t>
      </w:r>
      <w:r>
        <w:fldChar w:fldCharType="begin"/>
      </w:r>
      <w:r>
        <w:instrText xml:space="preserve"> HYPERLINK "http://www.creditchina.gov.cn/" \h </w:instrText>
      </w:r>
      <w:r>
        <w:fldChar w:fldCharType="separate"/>
      </w:r>
      <w:r>
        <w:t>www.creditchina.gov.cn</w:t>
      </w:r>
      <w:r>
        <w:fldChar w:fldCharType="end"/>
      </w:r>
      <w:r>
        <w:t>）及中国政府采购网（</w:t>
      </w:r>
      <w:r>
        <w:fldChar w:fldCharType="begin"/>
      </w:r>
      <w:r>
        <w:instrText xml:space="preserve"> HYPERLINK "http://www.ccgp.gov.cn/" \h </w:instrText>
      </w:r>
      <w:r>
        <w:fldChar w:fldCharType="separate"/>
      </w:r>
      <w:r>
        <w:t>http://www.ccgp.gov.cn/</w:t>
      </w:r>
      <w:r>
        <w:fldChar w:fldCharType="end"/>
      </w:r>
      <w:r>
        <w:t>）查询结果为准，如相关失信记录已失效，供应商需提供相关证明资料）。</w:t>
      </w:r>
    </w:p>
    <w:p>
      <w:pPr>
        <w:pStyle w:val="10"/>
        <w:adjustRightInd w:val="0"/>
        <w:snapToGrid w:val="0"/>
        <w:spacing w:after="0" w:line="360" w:lineRule="auto"/>
        <w:ind w:firstLine="420"/>
      </w:pPr>
      <w:r>
        <w:t>7、供应商必须符合法律、行政法规规定的其他条件：单位负责人为同一人或者存在直接控股、管理关系的不同供应商，不得同时参加本采购项目</w:t>
      </w:r>
      <w:r>
        <w:rPr>
          <w:rFonts w:hint="eastAsia"/>
        </w:rPr>
        <w:t>评选</w:t>
      </w:r>
      <w:r>
        <w:t>。为本项目提供整体设计、规范编制或者项目管理、监理、检测等服务的供应商，不得再参与本项目</w:t>
      </w:r>
      <w:r>
        <w:rPr>
          <w:rFonts w:hint="eastAsia"/>
        </w:rPr>
        <w:t>评选</w:t>
      </w:r>
      <w:r>
        <w:t>。提供《供应商资格声明函》。</w:t>
      </w:r>
    </w:p>
    <w:p>
      <w:pPr>
        <w:pStyle w:val="10"/>
        <w:adjustRightInd w:val="0"/>
        <w:snapToGrid w:val="0"/>
        <w:spacing w:after="0" w:line="360" w:lineRule="auto"/>
        <w:ind w:firstLine="420"/>
        <w:rPr>
          <w:rFonts w:hint="eastAsia"/>
        </w:rPr>
      </w:pPr>
      <w:r>
        <w:rPr>
          <w:rFonts w:hint="eastAsia" w:ascii="Times New Roman" w:hAnsi="Times New Roman" w:eastAsia="Times New Roman"/>
        </w:rPr>
        <w:t>8</w:t>
      </w:r>
      <w:r>
        <w:t>、</w:t>
      </w:r>
      <w:r>
        <w:rPr>
          <w:rFonts w:hint="eastAsia"/>
        </w:rPr>
        <w:t>供应商已按评选公告及评选文件的规定获取了遴选采购文件。（提供《供应商资格声明函》）</w:t>
      </w:r>
    </w:p>
    <w:p>
      <w:pPr>
        <w:pStyle w:val="10"/>
        <w:adjustRightInd w:val="0"/>
        <w:snapToGrid w:val="0"/>
        <w:spacing w:after="0" w:line="360" w:lineRule="auto"/>
        <w:ind w:firstLine="420"/>
        <w:rPr>
          <w:rFonts w:hint="eastAsia" w:ascii="宋体" w:hAnsi="宋体" w:cs="宋体"/>
          <w:szCs w:val="21"/>
        </w:rPr>
      </w:pPr>
      <w:r>
        <w:rPr>
          <w:rFonts w:hint="eastAsia"/>
        </w:rPr>
        <w:t>9、</w:t>
      </w:r>
      <w:r>
        <w:t>本项目不接受联合体投标。</w:t>
      </w:r>
      <w:r>
        <w:rPr>
          <w:w w:val="99"/>
        </w:rPr>
        <w:t xml:space="preserve"> </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三、获取遴选文件</w:t>
      </w:r>
    </w:p>
    <w:p>
      <w:pPr>
        <w:adjustRightInd w:val="0"/>
        <w:snapToGrid w:val="0"/>
        <w:spacing w:line="360" w:lineRule="auto"/>
        <w:ind w:firstLine="420" w:firstLineChars="200"/>
        <w:rPr>
          <w:rFonts w:hint="eastAsia" w:ascii="宋体" w:hAnsi="宋体" w:cs="宋体"/>
          <w:szCs w:val="21"/>
          <w:lang w:eastAsia="zh-Hans"/>
        </w:rPr>
      </w:pPr>
      <w:r>
        <w:rPr>
          <w:rFonts w:hint="eastAsia" w:ascii="宋体" w:hAnsi="宋体" w:cs="宋体"/>
          <w:szCs w:val="21"/>
          <w:lang w:eastAsia="zh-Hans"/>
        </w:rPr>
        <w:t>时间：202</w:t>
      </w:r>
      <w:r>
        <w:rPr>
          <w:rFonts w:hint="eastAsia" w:ascii="宋体" w:hAnsi="宋体" w:cs="宋体"/>
          <w:szCs w:val="21"/>
          <w:lang w:val="en-US" w:eastAsia="zh-CN"/>
        </w:rPr>
        <w:t>3</w:t>
      </w:r>
      <w:r>
        <w:rPr>
          <w:rFonts w:hint="eastAsia" w:ascii="宋体" w:hAnsi="宋体" w:cs="宋体"/>
          <w:szCs w:val="21"/>
          <w:lang w:eastAsia="zh-Hans"/>
        </w:rPr>
        <w:t>年</w:t>
      </w:r>
      <w:r>
        <w:rPr>
          <w:rFonts w:hint="eastAsia" w:ascii="宋体" w:hAnsi="宋体" w:cs="宋体"/>
          <w:szCs w:val="21"/>
        </w:rPr>
        <w:t>11</w:t>
      </w:r>
      <w:r>
        <w:rPr>
          <w:rFonts w:hint="eastAsia" w:ascii="宋体" w:hAnsi="宋体" w:cs="宋体"/>
          <w:szCs w:val="21"/>
          <w:lang w:eastAsia="zh-Hans"/>
        </w:rPr>
        <w:t>月</w:t>
      </w:r>
      <w:r>
        <w:rPr>
          <w:rFonts w:hint="eastAsia" w:ascii="宋体" w:hAnsi="宋体" w:cs="宋体"/>
          <w:szCs w:val="21"/>
          <w:lang w:val="en-US" w:eastAsia="zh-CN"/>
        </w:rPr>
        <w:t>23</w:t>
      </w:r>
      <w:r>
        <w:rPr>
          <w:rFonts w:hint="eastAsia" w:ascii="宋体" w:hAnsi="宋体" w:cs="宋体"/>
          <w:szCs w:val="21"/>
          <w:lang w:eastAsia="zh-Hans"/>
        </w:rPr>
        <w:t xml:space="preserve">日至 </w:t>
      </w:r>
      <w:r>
        <w:rPr>
          <w:rFonts w:hint="eastAsia" w:ascii="宋体" w:hAnsi="宋体" w:cs="宋体"/>
          <w:szCs w:val="21"/>
        </w:rPr>
        <w:t>11</w:t>
      </w:r>
      <w:r>
        <w:rPr>
          <w:rFonts w:hint="eastAsia" w:ascii="宋体" w:hAnsi="宋体" w:cs="宋体"/>
          <w:szCs w:val="21"/>
          <w:lang w:eastAsia="zh-Hans"/>
        </w:rPr>
        <w:t>月</w:t>
      </w:r>
      <w:r>
        <w:rPr>
          <w:rFonts w:hint="eastAsia" w:ascii="宋体" w:hAnsi="宋体" w:cs="宋体"/>
          <w:szCs w:val="21"/>
          <w:lang w:val="en-US" w:eastAsia="zh-CN"/>
        </w:rPr>
        <w:t>29</w:t>
      </w:r>
      <w:r>
        <w:rPr>
          <w:rFonts w:hint="eastAsia" w:ascii="宋体" w:hAnsi="宋体" w:cs="宋体"/>
          <w:szCs w:val="21"/>
          <w:lang w:eastAsia="zh-Hans"/>
        </w:rPr>
        <w:t>日。</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方式：</w:t>
      </w:r>
      <w:r>
        <w:rPr>
          <w:rFonts w:hint="eastAsia"/>
          <w:szCs w:val="22"/>
        </w:rPr>
        <w:t>由采购人将邀请函及遴选文件在广东省消防救援总队互联网门户网站挂网，有意向的参评公司自行查看</w:t>
      </w:r>
      <w:r>
        <w:rPr>
          <w:rFonts w:hint="eastAsia" w:ascii="宋体" w:hAnsi="宋体" w:cs="宋体"/>
          <w:szCs w:val="21"/>
        </w:rPr>
        <w:t>。</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四、提交参评文件截止时间、评选时间和地点</w:t>
      </w:r>
    </w:p>
    <w:p>
      <w:pPr>
        <w:adjustRightInd w:val="0"/>
        <w:snapToGrid w:val="0"/>
        <w:spacing w:line="360" w:lineRule="auto"/>
        <w:ind w:firstLine="420" w:firstLineChars="200"/>
        <w:rPr>
          <w:rFonts w:hint="eastAsia" w:ascii="Times New Roman" w:hAnsi="Times New Roman"/>
          <w:szCs w:val="22"/>
          <w:u w:val="single"/>
        </w:rPr>
      </w:pPr>
      <w:r>
        <w:rPr>
          <w:rFonts w:hint="eastAsia" w:ascii="Times New Roman" w:hAnsi="Times New Roman"/>
          <w:szCs w:val="22"/>
        </w:rPr>
        <w:t>提交评选文件截止时间：202</w:t>
      </w:r>
      <w:r>
        <w:rPr>
          <w:rFonts w:hint="eastAsia" w:ascii="Times New Roman" w:hAnsi="Times New Roman"/>
          <w:szCs w:val="22"/>
          <w:lang w:val="en-US" w:eastAsia="zh-CN"/>
        </w:rPr>
        <w:t>3</w:t>
      </w:r>
      <w:r>
        <w:rPr>
          <w:rFonts w:hint="eastAsia" w:ascii="Times New Roman" w:hAnsi="Times New Roman"/>
          <w:szCs w:val="22"/>
        </w:rPr>
        <w:t>年1</w:t>
      </w:r>
      <w:r>
        <w:rPr>
          <w:rFonts w:hint="eastAsia" w:ascii="Times New Roman" w:hAnsi="Times New Roman"/>
          <w:szCs w:val="22"/>
          <w:lang w:val="en-US" w:eastAsia="zh-CN"/>
        </w:rPr>
        <w:t>2</w:t>
      </w:r>
      <w:r>
        <w:rPr>
          <w:rFonts w:hint="eastAsia" w:ascii="Times New Roman" w:hAnsi="Times New Roman"/>
          <w:szCs w:val="22"/>
        </w:rPr>
        <w:t>月</w:t>
      </w:r>
      <w:r>
        <w:rPr>
          <w:rFonts w:hint="eastAsia" w:ascii="Times New Roman" w:hAnsi="Times New Roman"/>
          <w:szCs w:val="22"/>
          <w:lang w:val="en-US" w:eastAsia="zh-CN"/>
        </w:rPr>
        <w:t>1</w:t>
      </w:r>
      <w:r>
        <w:rPr>
          <w:rFonts w:hint="eastAsia" w:ascii="Times New Roman" w:hAnsi="Times New Roman"/>
          <w:szCs w:val="22"/>
        </w:rPr>
        <w:t>日24时（以邮政特快专递EMS邮寄时间为准）。评选文件提交方式：使用邮政特快专递(EMS)邮寄。</w:t>
      </w:r>
      <w:r>
        <w:rPr>
          <w:rFonts w:hint="eastAsia" w:ascii="Times New Roman" w:hAnsi="Times New Roman"/>
          <w:szCs w:val="22"/>
          <w:u w:val="single"/>
        </w:rPr>
        <w:t>请在邮件内封套内注明参评公司联系人及电话，方便通知公司代表到场参评。</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收件信息如下：</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地址：广东省广州市天河区瘦狗岭路483号广东消防救援总队门岗内审计室邮递柜；</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联系人：吴先生；</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联系电话：020-87119204；</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邮编：510640。</w:t>
      </w:r>
    </w:p>
    <w:p>
      <w:pPr>
        <w:adjustRightInd w:val="0"/>
        <w:snapToGrid w:val="0"/>
        <w:spacing w:line="360" w:lineRule="auto"/>
        <w:ind w:firstLine="420" w:firstLineChars="200"/>
        <w:rPr>
          <w:rFonts w:ascii="Times New Roman" w:hAnsi="Times New Roman"/>
          <w:szCs w:val="22"/>
        </w:rPr>
      </w:pPr>
      <w:r>
        <w:rPr>
          <w:rFonts w:hint="eastAsia" w:ascii="Times New Roman" w:hAnsi="Times New Roman"/>
          <w:szCs w:val="22"/>
        </w:rPr>
        <w:t>评选时间：采购人根据工作安排确定评选时间，不晚于202</w:t>
      </w:r>
      <w:r>
        <w:rPr>
          <w:rFonts w:hint="eastAsia" w:ascii="Times New Roman" w:hAnsi="Times New Roman"/>
          <w:szCs w:val="22"/>
          <w:lang w:val="en-US" w:eastAsia="zh-CN"/>
        </w:rPr>
        <w:t>3</w:t>
      </w:r>
      <w:r>
        <w:rPr>
          <w:rFonts w:hint="eastAsia" w:ascii="Times New Roman" w:hAnsi="Times New Roman"/>
          <w:szCs w:val="22"/>
        </w:rPr>
        <w:t>年1</w:t>
      </w:r>
      <w:r>
        <w:rPr>
          <w:rFonts w:hint="eastAsia" w:ascii="Times New Roman" w:hAnsi="Times New Roman"/>
          <w:szCs w:val="22"/>
          <w:lang w:val="en-US" w:eastAsia="zh-CN"/>
        </w:rPr>
        <w:t>2</w:t>
      </w:r>
      <w:r>
        <w:rPr>
          <w:rFonts w:hint="eastAsia" w:ascii="Times New Roman" w:hAnsi="Times New Roman"/>
          <w:szCs w:val="22"/>
        </w:rPr>
        <w:t>月</w:t>
      </w:r>
      <w:r>
        <w:rPr>
          <w:rFonts w:hint="eastAsia" w:ascii="Times New Roman" w:hAnsi="Times New Roman"/>
          <w:szCs w:val="22"/>
          <w:lang w:val="en-US" w:eastAsia="zh-CN"/>
        </w:rPr>
        <w:t>3</w:t>
      </w:r>
      <w:r>
        <w:rPr>
          <w:rFonts w:hint="eastAsia" w:ascii="Times New Roman" w:hAnsi="Times New Roman"/>
          <w:szCs w:val="22"/>
        </w:rPr>
        <w:t>日。参评公司代表需到现场参加。</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评选地点：广州市天河区瘦狗岭路483号。</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五、对本次评选提出询问，请按以下方式联系</w:t>
      </w:r>
    </w:p>
    <w:p>
      <w:pPr>
        <w:adjustRightInd w:val="0"/>
        <w:snapToGrid w:val="0"/>
        <w:spacing w:line="360" w:lineRule="auto"/>
        <w:ind w:firstLine="420" w:firstLineChars="200"/>
        <w:rPr>
          <w:szCs w:val="22"/>
        </w:rPr>
      </w:pPr>
      <w:r>
        <w:rPr>
          <w:rFonts w:hint="eastAsia"/>
          <w:szCs w:val="22"/>
        </w:rPr>
        <w:t>采购人：广东省消防救援总队信息通信处</w:t>
      </w:r>
    </w:p>
    <w:p>
      <w:pPr>
        <w:adjustRightInd w:val="0"/>
        <w:snapToGrid w:val="0"/>
        <w:spacing w:line="360" w:lineRule="auto"/>
        <w:ind w:firstLine="420" w:firstLineChars="200"/>
        <w:rPr>
          <w:szCs w:val="22"/>
        </w:rPr>
      </w:pPr>
      <w:r>
        <w:rPr>
          <w:rFonts w:hint="eastAsia"/>
          <w:szCs w:val="22"/>
        </w:rPr>
        <w:t>地址：</w:t>
      </w:r>
      <w:r>
        <w:rPr>
          <w:rFonts w:hint="eastAsia" w:ascii="宋体" w:hAnsi="宋体"/>
          <w:bCs/>
          <w:szCs w:val="21"/>
        </w:rPr>
        <w:t>广州市天河区瘦狗岭路4</w:t>
      </w:r>
      <w:r>
        <w:rPr>
          <w:rFonts w:ascii="宋体" w:hAnsi="宋体"/>
          <w:bCs/>
          <w:szCs w:val="21"/>
        </w:rPr>
        <w:t>83</w:t>
      </w:r>
      <w:r>
        <w:rPr>
          <w:rFonts w:hint="eastAsia" w:ascii="宋体" w:hAnsi="宋体"/>
          <w:bCs/>
          <w:szCs w:val="21"/>
        </w:rPr>
        <w:t>号</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联系人：吴先生；</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联系电话：020-87119204；</w:t>
      </w:r>
    </w:p>
    <w:p>
      <w:pPr>
        <w:adjustRightInd w:val="0"/>
        <w:snapToGrid w:val="0"/>
        <w:spacing w:line="360" w:lineRule="auto"/>
        <w:ind w:firstLine="420" w:firstLineChars="200"/>
        <w:rPr>
          <w:rFonts w:hint="eastAsia" w:ascii="Times New Roman" w:hAnsi="Times New Roman"/>
          <w:szCs w:val="22"/>
        </w:rPr>
      </w:pPr>
      <w:r>
        <w:rPr>
          <w:rFonts w:hint="eastAsia" w:ascii="Times New Roman" w:hAnsi="Times New Roman"/>
          <w:szCs w:val="22"/>
        </w:rPr>
        <w:t>邮编：510640。</w:t>
      </w:r>
    </w:p>
    <w:p>
      <w:pPr>
        <w:pStyle w:val="8"/>
        <w:adjustRightInd w:val="0"/>
        <w:snapToGrid w:val="0"/>
        <w:spacing w:before="0" w:beforeAutospacing="0" w:after="0" w:afterAutospacing="0"/>
        <w:ind w:firstLine="420" w:firstLineChars="200"/>
        <w:rPr>
          <w:rFonts w:hint="eastAsia"/>
          <w:sz w:val="21"/>
          <w:szCs w:val="21"/>
        </w:rPr>
      </w:pPr>
    </w:p>
    <w:p>
      <w:pPr>
        <w:pStyle w:val="8"/>
        <w:spacing w:before="0" w:beforeAutospacing="0" w:after="0" w:afterAutospacing="0" w:line="360" w:lineRule="auto"/>
        <w:rPr>
          <w:rFonts w:hint="eastAsia"/>
          <w:sz w:val="21"/>
          <w:szCs w:val="21"/>
          <w:shd w:val="clear" w:color="auto" w:fill="FFFF00"/>
        </w:rPr>
      </w:pPr>
    </w:p>
    <w:p>
      <w:pPr>
        <w:pStyle w:val="8"/>
        <w:spacing w:before="0" w:beforeAutospacing="0" w:after="0" w:afterAutospacing="0" w:line="360" w:lineRule="auto"/>
        <w:rPr>
          <w:rFonts w:hint="eastAsia"/>
          <w:sz w:val="21"/>
          <w:szCs w:val="21"/>
          <w:shd w:val="clear" w:color="auto" w:fill="FFFF00"/>
        </w:rPr>
      </w:pPr>
    </w:p>
    <w:p>
      <w:pPr>
        <w:pStyle w:val="8"/>
        <w:jc w:val="center"/>
        <w:rPr>
          <w:rFonts w:hint="eastAsia" w:ascii="黑体" w:hAnsi="黑体" w:eastAsia="黑体" w:cs="黑体"/>
          <w:kern w:val="0"/>
          <w:sz w:val="32"/>
          <w:szCs w:val="32"/>
        </w:rPr>
      </w:pPr>
      <w:r>
        <w:rPr>
          <w:rFonts w:hint="eastAsia" w:ascii="黑体" w:hAnsi="黑体" w:eastAsia="黑体" w:cs="黑体"/>
          <w:kern w:val="0"/>
          <w:sz w:val="32"/>
          <w:szCs w:val="32"/>
        </w:rPr>
        <w:br w:type="page"/>
      </w:r>
      <w:r>
        <w:rPr>
          <w:rFonts w:hint="eastAsia" w:ascii="黑体" w:hAnsi="黑体" w:eastAsia="黑体" w:cs="黑体"/>
          <w:kern w:val="0"/>
          <w:sz w:val="32"/>
          <w:szCs w:val="32"/>
        </w:rPr>
        <w:t>第二部分  参评须知</w:t>
      </w:r>
      <w:bookmarkEnd w:id="1"/>
      <w:bookmarkEnd w:id="2"/>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参评须知前附表</w:t>
      </w:r>
    </w:p>
    <w:p>
      <w:pPr>
        <w:pStyle w:val="2"/>
        <w:rPr>
          <w:rFonts w:hint="eastAsia"/>
        </w:rPr>
      </w:pPr>
    </w:p>
    <w:tbl>
      <w:tblPr>
        <w:tblStyle w:val="1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572"/>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67"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pStyle w:val="11"/>
              <w:adjustRightInd w:val="0"/>
              <w:snapToGrid w:val="0"/>
              <w:spacing w:line="276" w:lineRule="auto"/>
              <w:jc w:val="center"/>
              <w:rPr>
                <w:rFonts w:hint="eastAsia" w:hAnsi="宋体"/>
                <w:b/>
                <w:szCs w:val="21"/>
              </w:rPr>
            </w:pPr>
            <w:r>
              <w:rPr>
                <w:rFonts w:hint="eastAsia" w:hAnsi="宋体"/>
                <w:b/>
                <w:szCs w:val="21"/>
              </w:rPr>
              <w:t>序号</w:t>
            </w:r>
          </w:p>
        </w:tc>
        <w:tc>
          <w:tcPr>
            <w:tcW w:w="1572"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pStyle w:val="11"/>
              <w:adjustRightInd w:val="0"/>
              <w:snapToGrid w:val="0"/>
              <w:spacing w:line="276" w:lineRule="auto"/>
              <w:jc w:val="center"/>
              <w:rPr>
                <w:rFonts w:hAnsi="宋体"/>
                <w:b/>
                <w:szCs w:val="21"/>
              </w:rPr>
            </w:pPr>
            <w:r>
              <w:rPr>
                <w:rFonts w:hint="eastAsia" w:hAnsi="宋体"/>
                <w:b/>
                <w:szCs w:val="21"/>
              </w:rPr>
              <w:t>项目</w:t>
            </w:r>
          </w:p>
        </w:tc>
        <w:tc>
          <w:tcPr>
            <w:tcW w:w="6968"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pStyle w:val="11"/>
              <w:adjustRightInd w:val="0"/>
              <w:snapToGrid w:val="0"/>
              <w:spacing w:line="276" w:lineRule="auto"/>
              <w:jc w:val="center"/>
              <w:rPr>
                <w:rFonts w:hAnsi="宋体"/>
                <w:b/>
                <w:szCs w:val="21"/>
              </w:rPr>
            </w:pPr>
            <w:r>
              <w:rPr>
                <w:rFonts w:hint="eastAsia" w:hAnsi="宋体"/>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pStyle w:val="11"/>
              <w:numPr>
                <w:ilvl w:val="0"/>
                <w:numId w:val="3"/>
              </w:numPr>
              <w:adjustRightInd w:val="0"/>
              <w:snapToGrid w:val="0"/>
              <w:spacing w:line="276" w:lineRule="auto"/>
              <w:jc w:val="center"/>
              <w:rPr>
                <w:rFonts w:hint="eastAsia" w:hAnsi="宋体"/>
                <w:bCs/>
                <w:szCs w:val="21"/>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pStyle w:val="11"/>
              <w:adjustRightInd w:val="0"/>
              <w:snapToGrid w:val="0"/>
              <w:spacing w:line="276" w:lineRule="auto"/>
              <w:jc w:val="center"/>
              <w:rPr>
                <w:rFonts w:hAnsi="宋体"/>
                <w:szCs w:val="21"/>
              </w:rPr>
            </w:pPr>
            <w:r>
              <w:rPr>
                <w:rFonts w:hint="eastAsia" w:hAnsi="宋体"/>
                <w:szCs w:val="21"/>
              </w:rPr>
              <w:t>项目概况</w:t>
            </w:r>
          </w:p>
        </w:tc>
        <w:tc>
          <w:tcPr>
            <w:tcW w:w="6968" w:type="dxa"/>
            <w:tcBorders>
              <w:top w:val="single" w:color="auto" w:sz="4" w:space="0"/>
              <w:left w:val="single" w:color="auto" w:sz="4" w:space="0"/>
              <w:bottom w:val="single" w:color="auto" w:sz="4" w:space="0"/>
              <w:right w:val="single" w:color="auto" w:sz="4" w:space="0"/>
            </w:tcBorders>
            <w:noWrap w:val="0"/>
            <w:vAlign w:val="center"/>
          </w:tcPr>
          <w:p>
            <w:pPr>
              <w:tabs>
                <w:tab w:val="left" w:pos="2552"/>
              </w:tabs>
              <w:spacing w:line="276" w:lineRule="auto"/>
              <w:rPr>
                <w:rFonts w:hint="eastAsia"/>
              </w:rPr>
            </w:pPr>
            <w:r>
              <w:rPr>
                <w:rFonts w:hint="eastAsia" w:ascii="宋体" w:hAnsi="宋体"/>
                <w:szCs w:val="21"/>
              </w:rPr>
              <w:t>项目名称：广东省消防救援总队审计服务采购</w:t>
            </w:r>
            <w:r>
              <w:rPr>
                <w:rFonts w:hint="eastAsia" w:ascii="宋体" w:hAnsi="宋体"/>
              </w:rPr>
              <w:t>项目</w:t>
            </w:r>
          </w:p>
          <w:p>
            <w:pPr>
              <w:tabs>
                <w:tab w:val="left" w:pos="2552"/>
              </w:tabs>
              <w:spacing w:line="276" w:lineRule="auto"/>
              <w:rPr>
                <w:rFonts w:hint="eastAsia" w:ascii="宋体" w:hAnsi="宋体"/>
                <w:szCs w:val="21"/>
              </w:rPr>
            </w:pPr>
            <w:r>
              <w:rPr>
                <w:rFonts w:hint="eastAsia" w:ascii="宋体" w:hAnsi="宋体"/>
                <w:szCs w:val="21"/>
              </w:rPr>
              <w:t>项目编号：</w:t>
            </w:r>
            <w:r>
              <w:rPr>
                <w:rFonts w:hint="eastAsia" w:ascii="宋体" w:hAnsi="宋体"/>
                <w:b/>
                <w:bCs/>
                <w:szCs w:val="21"/>
              </w:rPr>
              <w:t>ZDSJS202</w:t>
            </w:r>
            <w:r>
              <w:rPr>
                <w:rFonts w:hint="eastAsia" w:ascii="宋体" w:hAnsi="宋体"/>
                <w:b/>
                <w:bCs/>
                <w:szCs w:val="21"/>
                <w:lang w:val="en-US" w:eastAsia="zh-CN"/>
              </w:rPr>
              <w:t>3</w:t>
            </w:r>
            <w:r>
              <w:rPr>
                <w:rFonts w:hint="eastAsia" w:ascii="宋体" w:hAnsi="宋体"/>
                <w:b/>
                <w:bCs/>
                <w:szCs w:val="21"/>
              </w:rPr>
              <w:t>001</w:t>
            </w:r>
          </w:p>
          <w:p>
            <w:pPr>
              <w:tabs>
                <w:tab w:val="left" w:pos="2552"/>
              </w:tabs>
              <w:spacing w:line="276" w:lineRule="auto"/>
              <w:rPr>
                <w:rFonts w:hint="eastAsia" w:ascii="宋体" w:hAnsi="宋体"/>
                <w:szCs w:val="21"/>
              </w:rPr>
            </w:pPr>
            <w:r>
              <w:rPr>
                <w:rFonts w:hint="eastAsia" w:ascii="宋体" w:hAnsi="宋体"/>
                <w:szCs w:val="21"/>
              </w:rPr>
              <w:t>采购人名称：</w:t>
            </w:r>
            <w:r>
              <w:rPr>
                <w:rFonts w:hint="eastAsia" w:ascii="宋体" w:hAnsi="宋体"/>
                <w:b/>
                <w:bCs/>
                <w:szCs w:val="21"/>
              </w:rPr>
              <w:t>广东省消防救援总队</w:t>
            </w:r>
          </w:p>
          <w:p>
            <w:pPr>
              <w:tabs>
                <w:tab w:val="left" w:pos="2552"/>
              </w:tabs>
              <w:spacing w:line="276" w:lineRule="auto"/>
              <w:rPr>
                <w:rFonts w:ascii="宋体" w:hAnsi="宋体"/>
                <w:szCs w:val="21"/>
              </w:rPr>
            </w:pPr>
            <w:r>
              <w:rPr>
                <w:rFonts w:hint="eastAsia" w:ascii="宋体" w:hAnsi="宋体"/>
                <w:szCs w:val="21"/>
              </w:rPr>
              <w:t>采购方式：</w:t>
            </w:r>
            <w:r>
              <w:rPr>
                <w:rFonts w:hint="eastAsia" w:ascii="宋体" w:hAnsi="宋体"/>
                <w:b/>
                <w:bCs/>
                <w:szCs w:val="21"/>
              </w:rPr>
              <w:t>遴选采购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67" w:type="dxa"/>
            <w:noWrap w:val="0"/>
            <w:vAlign w:val="center"/>
          </w:tcPr>
          <w:p>
            <w:pPr>
              <w:pStyle w:val="11"/>
              <w:numPr>
                <w:ilvl w:val="0"/>
                <w:numId w:val="3"/>
              </w:numPr>
              <w:adjustRightInd w:val="0"/>
              <w:snapToGrid w:val="0"/>
              <w:spacing w:line="276" w:lineRule="auto"/>
              <w:jc w:val="center"/>
              <w:rPr>
                <w:rFonts w:hAnsi="宋体"/>
                <w:bCs/>
                <w:szCs w:val="21"/>
              </w:rPr>
            </w:pPr>
          </w:p>
        </w:tc>
        <w:tc>
          <w:tcPr>
            <w:tcW w:w="1572" w:type="dxa"/>
            <w:noWrap w:val="0"/>
            <w:vAlign w:val="center"/>
          </w:tcPr>
          <w:p>
            <w:pPr>
              <w:tabs>
                <w:tab w:val="left" w:pos="2552"/>
              </w:tabs>
              <w:spacing w:line="276" w:lineRule="auto"/>
              <w:jc w:val="center"/>
              <w:rPr>
                <w:rFonts w:ascii="宋体" w:hAnsi="宋体"/>
                <w:szCs w:val="21"/>
              </w:rPr>
            </w:pPr>
            <w:r>
              <w:rPr>
                <w:rFonts w:hint="eastAsia" w:ascii="宋体" w:hAnsi="宋体"/>
                <w:szCs w:val="21"/>
              </w:rPr>
              <w:t>评选有效期</w:t>
            </w:r>
          </w:p>
        </w:tc>
        <w:tc>
          <w:tcPr>
            <w:tcW w:w="6968" w:type="dxa"/>
            <w:noWrap w:val="0"/>
            <w:vAlign w:val="center"/>
          </w:tcPr>
          <w:p>
            <w:pPr>
              <w:tabs>
                <w:tab w:val="left" w:pos="2552"/>
              </w:tabs>
              <w:spacing w:line="276" w:lineRule="auto"/>
              <w:rPr>
                <w:rFonts w:ascii="宋体" w:hAnsi="宋体"/>
                <w:szCs w:val="21"/>
              </w:rPr>
            </w:pPr>
            <w:r>
              <w:rPr>
                <w:rFonts w:hint="eastAsia" w:ascii="宋体" w:hAnsi="宋体"/>
                <w:szCs w:val="21"/>
              </w:rPr>
              <w:t xml:space="preserve">从评选截止之日起 </w:t>
            </w:r>
            <w:r>
              <w:rPr>
                <w:rFonts w:hint="eastAsia" w:ascii="宋体" w:hAnsi="宋体"/>
                <w:b/>
                <w:bCs/>
                <w:szCs w:val="21"/>
              </w:rPr>
              <w:t xml:space="preserve">90 </w:t>
            </w:r>
            <w:r>
              <w:rPr>
                <w:rFonts w:hint="eastAsia" w:ascii="宋体" w:hAnsi="宋体"/>
                <w:szCs w:val="21"/>
              </w:rPr>
              <w:t>日内</w:t>
            </w:r>
            <w:r>
              <w:rPr>
                <w:rFonts w:hint="eastAsia" w:ascii="宋体" w:hAnsi="宋体"/>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7" w:type="dxa"/>
            <w:noWrap w:val="0"/>
            <w:vAlign w:val="center"/>
          </w:tcPr>
          <w:p>
            <w:pPr>
              <w:pStyle w:val="11"/>
              <w:numPr>
                <w:ilvl w:val="0"/>
                <w:numId w:val="3"/>
              </w:numPr>
              <w:adjustRightInd w:val="0"/>
              <w:snapToGrid w:val="0"/>
              <w:spacing w:line="276" w:lineRule="auto"/>
              <w:jc w:val="center"/>
              <w:rPr>
                <w:rFonts w:hAnsi="宋体"/>
                <w:bCs/>
                <w:szCs w:val="21"/>
              </w:rPr>
            </w:pPr>
          </w:p>
        </w:tc>
        <w:tc>
          <w:tcPr>
            <w:tcW w:w="1572" w:type="dxa"/>
            <w:noWrap w:val="0"/>
            <w:vAlign w:val="center"/>
          </w:tcPr>
          <w:p>
            <w:pPr>
              <w:tabs>
                <w:tab w:val="left" w:pos="2552"/>
              </w:tabs>
              <w:spacing w:line="276" w:lineRule="auto"/>
              <w:jc w:val="center"/>
              <w:rPr>
                <w:rFonts w:ascii="宋体" w:hAnsi="宋体"/>
                <w:szCs w:val="21"/>
              </w:rPr>
            </w:pPr>
            <w:r>
              <w:rPr>
                <w:rFonts w:hint="eastAsia" w:ascii="宋体" w:hAnsi="宋体"/>
                <w:szCs w:val="21"/>
              </w:rPr>
              <w:t>参评递交材料</w:t>
            </w:r>
          </w:p>
        </w:tc>
        <w:tc>
          <w:tcPr>
            <w:tcW w:w="6968" w:type="dxa"/>
            <w:noWrap w:val="0"/>
            <w:vAlign w:val="center"/>
          </w:tcPr>
          <w:p>
            <w:pPr>
              <w:tabs>
                <w:tab w:val="left" w:pos="2552"/>
              </w:tabs>
              <w:spacing w:line="276" w:lineRule="auto"/>
              <w:rPr>
                <w:rFonts w:hint="eastAsia" w:ascii="宋体" w:hAnsi="宋体"/>
                <w:szCs w:val="21"/>
              </w:rPr>
            </w:pPr>
            <w:r>
              <w:rPr>
                <w:rFonts w:hint="eastAsia" w:ascii="宋体" w:hAnsi="宋体"/>
                <w:szCs w:val="21"/>
              </w:rPr>
              <w:t>参评文</w:t>
            </w:r>
            <w:r>
              <w:rPr>
                <w:rFonts w:hint="eastAsia" w:ascii="宋体" w:hAnsi="宋体"/>
                <w:color w:val="000000"/>
                <w:szCs w:val="21"/>
              </w:rPr>
              <w:t>件</w:t>
            </w:r>
            <w:r>
              <w:rPr>
                <w:rFonts w:hint="eastAsia" w:ascii="宋体" w:hAnsi="宋体"/>
                <w:b/>
                <w:color w:val="000000"/>
                <w:szCs w:val="21"/>
              </w:rPr>
              <w:t>一式三份</w:t>
            </w:r>
            <w:r>
              <w:rPr>
                <w:rFonts w:hint="eastAsia" w:ascii="宋体" w:hAnsi="宋体"/>
                <w:b/>
                <w:color w:val="000000"/>
                <w:szCs w:val="21"/>
                <w:lang w:eastAsia="zh-Hans"/>
              </w:rPr>
              <w:t>（正本一份，复印件副本二份）</w:t>
            </w:r>
            <w:r>
              <w:rPr>
                <w:rFonts w:hint="eastAsia" w:ascii="宋体" w:hAnsi="宋体"/>
                <w:color w:val="000000"/>
                <w:szCs w:val="21"/>
              </w:rPr>
              <w:t>，</w:t>
            </w:r>
            <w:r>
              <w:rPr>
                <w:rFonts w:hint="eastAsia" w:ascii="宋体" w:hAnsi="宋体"/>
                <w:szCs w:val="21"/>
              </w:rPr>
              <w:t>在每一封口处加盖公章，并在封套上标明项目名称、参评人名称、联系人及电话等字样</w:t>
            </w:r>
            <w:r>
              <w:rPr>
                <w:rFonts w:hint="eastAsia" w:ascii="宋体" w:hAnsi="宋体"/>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7" w:type="dxa"/>
            <w:noWrap w:val="0"/>
            <w:vAlign w:val="center"/>
          </w:tcPr>
          <w:p>
            <w:pPr>
              <w:pStyle w:val="11"/>
              <w:numPr>
                <w:ilvl w:val="0"/>
                <w:numId w:val="3"/>
              </w:numPr>
              <w:adjustRightInd w:val="0"/>
              <w:snapToGrid w:val="0"/>
              <w:spacing w:line="276" w:lineRule="auto"/>
              <w:jc w:val="center"/>
              <w:rPr>
                <w:rFonts w:hAnsi="宋体"/>
                <w:bCs/>
                <w:szCs w:val="21"/>
              </w:rPr>
            </w:pPr>
          </w:p>
        </w:tc>
        <w:tc>
          <w:tcPr>
            <w:tcW w:w="1572" w:type="dxa"/>
            <w:noWrap w:val="0"/>
            <w:vAlign w:val="center"/>
          </w:tcPr>
          <w:p>
            <w:pPr>
              <w:tabs>
                <w:tab w:val="left" w:pos="2552"/>
              </w:tabs>
              <w:spacing w:line="276" w:lineRule="auto"/>
              <w:jc w:val="center"/>
              <w:rPr>
                <w:rFonts w:hint="eastAsia" w:ascii="宋体" w:hAnsi="宋体"/>
                <w:szCs w:val="21"/>
              </w:rPr>
            </w:pPr>
            <w:r>
              <w:rPr>
                <w:rFonts w:hint="eastAsia" w:ascii="宋体" w:hAnsi="宋体"/>
                <w:szCs w:val="21"/>
              </w:rPr>
              <w:t>材料递交方式</w:t>
            </w:r>
          </w:p>
        </w:tc>
        <w:tc>
          <w:tcPr>
            <w:tcW w:w="6968" w:type="dxa"/>
            <w:tcBorders>
              <w:bottom w:val="single" w:color="000000" w:sz="4" w:space="0"/>
            </w:tcBorders>
            <w:noWrap w:val="0"/>
            <w:vAlign w:val="center"/>
          </w:tcPr>
          <w:p>
            <w:pPr>
              <w:tabs>
                <w:tab w:val="left" w:pos="2552"/>
              </w:tabs>
              <w:spacing w:line="276" w:lineRule="auto"/>
              <w:rPr>
                <w:rFonts w:hint="eastAsia" w:ascii="宋体" w:hAnsi="宋体"/>
                <w:szCs w:val="21"/>
              </w:rPr>
            </w:pPr>
            <w:r>
              <w:rPr>
                <w:rFonts w:hint="eastAsia" w:ascii="宋体" w:hAnsi="宋体"/>
                <w:szCs w:val="21"/>
              </w:rPr>
              <w:t>采用EMS邮寄参评，邮寄地址及收件人：</w:t>
            </w:r>
            <w:r>
              <w:rPr>
                <w:rFonts w:hint="eastAsia" w:ascii="Times New Roman" w:hAnsi="Times New Roman"/>
                <w:szCs w:val="22"/>
              </w:rPr>
              <w:t>广东省广州市天河区瘦狗岭路483号广东消防救援总队门岗内</w:t>
            </w:r>
            <w:r>
              <w:rPr>
                <w:rFonts w:hint="eastAsia" w:ascii="Times New Roman" w:hAnsi="Times New Roman"/>
                <w:szCs w:val="22"/>
                <w:lang w:val="en-US" w:eastAsia="zh-CN"/>
              </w:rPr>
              <w:t>审计室</w:t>
            </w:r>
            <w:r>
              <w:rPr>
                <w:rFonts w:hint="eastAsia" w:ascii="Times New Roman" w:hAnsi="Times New Roman"/>
                <w:szCs w:val="22"/>
              </w:rPr>
              <w:t>邮递柜</w:t>
            </w:r>
            <w:r>
              <w:rPr>
                <w:rFonts w:hint="eastAsia" w:ascii="宋体" w:hAnsi="宋体"/>
                <w:szCs w:val="21"/>
              </w:rPr>
              <w:t>，吴先生（电话020-87119204）</w:t>
            </w:r>
            <w:r>
              <w:rPr>
                <w:rFonts w:hint="eastAsia" w:ascii="宋体" w:hAnsi="宋体"/>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967" w:type="dxa"/>
            <w:noWrap w:val="0"/>
            <w:vAlign w:val="center"/>
          </w:tcPr>
          <w:p>
            <w:pPr>
              <w:pStyle w:val="11"/>
              <w:numPr>
                <w:ilvl w:val="0"/>
                <w:numId w:val="3"/>
              </w:numPr>
              <w:adjustRightInd w:val="0"/>
              <w:snapToGrid w:val="0"/>
              <w:spacing w:line="276" w:lineRule="auto"/>
              <w:jc w:val="center"/>
              <w:rPr>
                <w:rFonts w:hAnsi="宋体"/>
                <w:bCs/>
                <w:szCs w:val="21"/>
              </w:rPr>
            </w:pPr>
          </w:p>
        </w:tc>
        <w:tc>
          <w:tcPr>
            <w:tcW w:w="1572" w:type="dxa"/>
            <w:noWrap w:val="0"/>
            <w:vAlign w:val="center"/>
          </w:tcPr>
          <w:p>
            <w:pPr>
              <w:tabs>
                <w:tab w:val="left" w:pos="2552"/>
              </w:tabs>
              <w:spacing w:line="276" w:lineRule="auto"/>
              <w:jc w:val="center"/>
              <w:rPr>
                <w:rFonts w:ascii="宋体" w:hAnsi="宋体"/>
                <w:szCs w:val="21"/>
              </w:rPr>
            </w:pPr>
            <w:r>
              <w:rPr>
                <w:rFonts w:hint="eastAsia" w:ascii="宋体" w:hAnsi="宋体"/>
                <w:szCs w:val="21"/>
              </w:rPr>
              <w:t>评选</w:t>
            </w:r>
          </w:p>
        </w:tc>
        <w:tc>
          <w:tcPr>
            <w:tcW w:w="6968" w:type="dxa"/>
            <w:tcBorders>
              <w:bottom w:val="single" w:color="000000" w:sz="4" w:space="0"/>
            </w:tcBorders>
            <w:noWrap w:val="0"/>
            <w:vAlign w:val="center"/>
          </w:tcPr>
          <w:p>
            <w:pPr>
              <w:tabs>
                <w:tab w:val="left" w:pos="2552"/>
              </w:tabs>
              <w:spacing w:line="276" w:lineRule="auto"/>
              <w:rPr>
                <w:rFonts w:ascii="宋体" w:hAnsi="宋体"/>
                <w:b/>
                <w:szCs w:val="21"/>
              </w:rPr>
            </w:pPr>
            <w:r>
              <w:rPr>
                <w:rFonts w:hint="eastAsia"/>
                <w:szCs w:val="22"/>
              </w:rPr>
              <w:t>采购人根据工作安排确定评选时间，不晚于</w:t>
            </w:r>
            <w:r>
              <w:rPr>
                <w:rFonts w:hint="eastAsia" w:ascii="宋体" w:hAnsi="宋体"/>
                <w:szCs w:val="21"/>
              </w:rPr>
              <w:t>202</w:t>
            </w:r>
            <w:r>
              <w:rPr>
                <w:rFonts w:hint="eastAsia" w:ascii="宋体" w:hAnsi="宋体"/>
                <w:szCs w:val="21"/>
                <w:lang w:val="en-US" w:eastAsia="zh-CN"/>
              </w:rPr>
              <w:t>3</w:t>
            </w:r>
            <w:r>
              <w:rPr>
                <w:rFonts w:hint="eastAsia" w:ascii="宋体" w:hAnsi="宋体"/>
                <w:szCs w:val="21"/>
              </w:rPr>
              <w:t>年1</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3</w:t>
            </w:r>
            <w:r>
              <w:rPr>
                <w:rFonts w:hint="eastAsia" w:ascii="宋体" w:hAnsi="宋体"/>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967" w:type="dxa"/>
            <w:tcBorders>
              <w:top w:val="single" w:color="auto" w:sz="4" w:space="0"/>
            </w:tcBorders>
            <w:noWrap w:val="0"/>
            <w:vAlign w:val="center"/>
          </w:tcPr>
          <w:p>
            <w:pPr>
              <w:pStyle w:val="11"/>
              <w:numPr>
                <w:ilvl w:val="0"/>
                <w:numId w:val="3"/>
              </w:numPr>
              <w:adjustRightInd w:val="0"/>
              <w:snapToGrid w:val="0"/>
              <w:spacing w:line="276" w:lineRule="auto"/>
              <w:jc w:val="center"/>
              <w:rPr>
                <w:rFonts w:hint="eastAsia" w:hAnsi="宋体"/>
                <w:bCs/>
                <w:szCs w:val="21"/>
              </w:rPr>
            </w:pPr>
          </w:p>
        </w:tc>
        <w:tc>
          <w:tcPr>
            <w:tcW w:w="1572" w:type="dxa"/>
            <w:tcBorders>
              <w:top w:val="single" w:color="auto" w:sz="4" w:space="0"/>
            </w:tcBorders>
            <w:noWrap w:val="0"/>
            <w:vAlign w:val="center"/>
          </w:tcPr>
          <w:p>
            <w:pPr>
              <w:tabs>
                <w:tab w:val="left" w:pos="2552"/>
              </w:tabs>
              <w:spacing w:line="276" w:lineRule="auto"/>
              <w:jc w:val="center"/>
              <w:rPr>
                <w:rFonts w:hint="eastAsia" w:ascii="宋体" w:hAnsi="宋体"/>
                <w:szCs w:val="21"/>
              </w:rPr>
            </w:pPr>
            <w:r>
              <w:rPr>
                <w:rFonts w:hint="eastAsia" w:ascii="宋体" w:hAnsi="宋体"/>
                <w:szCs w:val="21"/>
              </w:rPr>
              <w:t>评审小组</w:t>
            </w:r>
          </w:p>
        </w:tc>
        <w:tc>
          <w:tcPr>
            <w:tcW w:w="6968" w:type="dxa"/>
            <w:noWrap w:val="0"/>
            <w:vAlign w:val="center"/>
          </w:tcPr>
          <w:p>
            <w:pPr>
              <w:tabs>
                <w:tab w:val="left" w:pos="2552"/>
              </w:tabs>
              <w:spacing w:line="276" w:lineRule="auto"/>
              <w:rPr>
                <w:rFonts w:hint="eastAsia" w:ascii="宋体" w:hAnsi="宋体"/>
                <w:szCs w:val="21"/>
              </w:rPr>
            </w:pPr>
            <w:r>
              <w:rPr>
                <w:rFonts w:hint="eastAsia" w:ascii="宋体" w:hAnsi="宋体"/>
                <w:bCs/>
                <w:szCs w:val="21"/>
              </w:rPr>
              <w:t>全部评审过程由采购人组建的评审小组负责完成，评审小组由3人单数成员组成</w:t>
            </w:r>
            <w:r>
              <w:rPr>
                <w:rFonts w:hint="eastAsia" w:ascii="宋体" w:hAnsi="宋体"/>
                <w:bCs/>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967" w:type="dxa"/>
            <w:noWrap w:val="0"/>
            <w:vAlign w:val="center"/>
          </w:tcPr>
          <w:p>
            <w:pPr>
              <w:pStyle w:val="11"/>
              <w:numPr>
                <w:ilvl w:val="0"/>
                <w:numId w:val="3"/>
              </w:numPr>
              <w:adjustRightInd w:val="0"/>
              <w:snapToGrid w:val="0"/>
              <w:spacing w:line="276" w:lineRule="auto"/>
              <w:jc w:val="center"/>
              <w:rPr>
                <w:rFonts w:hAnsi="宋体"/>
                <w:bCs/>
                <w:szCs w:val="21"/>
              </w:rPr>
            </w:pPr>
          </w:p>
        </w:tc>
        <w:tc>
          <w:tcPr>
            <w:tcW w:w="1572" w:type="dxa"/>
            <w:noWrap w:val="0"/>
            <w:vAlign w:val="center"/>
          </w:tcPr>
          <w:p>
            <w:pPr>
              <w:tabs>
                <w:tab w:val="left" w:pos="2552"/>
              </w:tabs>
              <w:spacing w:line="276" w:lineRule="auto"/>
              <w:jc w:val="center"/>
              <w:rPr>
                <w:rFonts w:ascii="宋体" w:hAnsi="宋体"/>
                <w:szCs w:val="21"/>
              </w:rPr>
            </w:pPr>
            <w:r>
              <w:rPr>
                <w:rFonts w:hint="eastAsia" w:ascii="宋体" w:hAnsi="宋体"/>
                <w:szCs w:val="21"/>
              </w:rPr>
              <w:t>评审方法</w:t>
            </w:r>
          </w:p>
        </w:tc>
        <w:tc>
          <w:tcPr>
            <w:tcW w:w="6968" w:type="dxa"/>
            <w:noWrap w:val="0"/>
            <w:vAlign w:val="center"/>
          </w:tcPr>
          <w:p>
            <w:pPr>
              <w:autoSpaceDE w:val="0"/>
              <w:autoSpaceDN w:val="0"/>
              <w:adjustRightInd w:val="0"/>
              <w:spacing w:line="276" w:lineRule="auto"/>
              <w:rPr>
                <w:rFonts w:ascii="宋体" w:hAnsi="宋体"/>
                <w:bCs/>
                <w:szCs w:val="21"/>
              </w:rPr>
            </w:pPr>
            <w:r>
              <w:rPr>
                <w:rFonts w:hint="eastAsia" w:ascii="宋体" w:hAnsi="宋体"/>
                <w:bCs/>
                <w:szCs w:val="21"/>
              </w:rPr>
              <w:t>综合评分法（</w:t>
            </w:r>
            <w:r>
              <w:rPr>
                <w:rFonts w:ascii="宋体" w:hAnsi="宋体"/>
                <w:bCs/>
                <w:szCs w:val="21"/>
              </w:rPr>
              <w:t>100%</w:t>
            </w:r>
            <w:r>
              <w:rPr>
                <w:rFonts w:hint="eastAsia" w:ascii="宋体" w:hAnsi="宋体"/>
                <w:bCs/>
                <w:szCs w:val="21"/>
              </w:rPr>
              <w:t>）</w:t>
            </w:r>
          </w:p>
          <w:p>
            <w:pPr>
              <w:tabs>
                <w:tab w:val="left" w:pos="2552"/>
              </w:tabs>
              <w:spacing w:line="276" w:lineRule="auto"/>
              <w:rPr>
                <w:rFonts w:hint="eastAsia" w:ascii="宋体" w:hAnsi="宋体"/>
                <w:szCs w:val="21"/>
              </w:rPr>
            </w:pPr>
            <w:r>
              <w:rPr>
                <w:rFonts w:hint="eastAsia" w:ascii="宋体" w:hAnsi="宋体"/>
                <w:bCs/>
                <w:szCs w:val="21"/>
              </w:rPr>
              <w:t>技术分值5</w:t>
            </w:r>
            <w:r>
              <w:rPr>
                <w:rFonts w:ascii="宋体" w:hAnsi="宋体"/>
                <w:bCs/>
                <w:szCs w:val="21"/>
              </w:rPr>
              <w:t>0%</w:t>
            </w:r>
            <w:r>
              <w:rPr>
                <w:rFonts w:hint="eastAsia" w:ascii="宋体" w:hAnsi="宋体"/>
                <w:bCs/>
                <w:szCs w:val="21"/>
              </w:rPr>
              <w:t>，商务分值40%，价格分值10</w:t>
            </w:r>
            <w:r>
              <w:rPr>
                <w:rFonts w:ascii="宋体" w:hAnsi="宋体"/>
                <w:bCs/>
                <w:szCs w:val="21"/>
              </w:rPr>
              <w:t>%</w:t>
            </w:r>
            <w:r>
              <w:rPr>
                <w:rFonts w:hint="eastAsia" w:ascii="宋体" w:hAnsi="宋体"/>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967" w:type="dxa"/>
            <w:noWrap w:val="0"/>
            <w:vAlign w:val="center"/>
          </w:tcPr>
          <w:p>
            <w:pPr>
              <w:pStyle w:val="11"/>
              <w:numPr>
                <w:ilvl w:val="0"/>
                <w:numId w:val="3"/>
              </w:numPr>
              <w:adjustRightInd w:val="0"/>
              <w:snapToGrid w:val="0"/>
              <w:spacing w:line="276" w:lineRule="auto"/>
              <w:jc w:val="center"/>
              <w:rPr>
                <w:rFonts w:hAnsi="宋体"/>
                <w:bCs/>
                <w:szCs w:val="21"/>
              </w:rPr>
            </w:pPr>
          </w:p>
        </w:tc>
        <w:tc>
          <w:tcPr>
            <w:tcW w:w="1572" w:type="dxa"/>
            <w:noWrap w:val="0"/>
            <w:vAlign w:val="center"/>
          </w:tcPr>
          <w:p>
            <w:pPr>
              <w:tabs>
                <w:tab w:val="left" w:pos="2552"/>
              </w:tabs>
              <w:spacing w:line="276" w:lineRule="auto"/>
              <w:jc w:val="center"/>
              <w:rPr>
                <w:rFonts w:hint="eastAsia" w:ascii="宋体" w:hAnsi="宋体"/>
                <w:szCs w:val="21"/>
              </w:rPr>
            </w:pPr>
            <w:r>
              <w:rPr>
                <w:rFonts w:hint="eastAsia" w:ascii="宋体" w:hAnsi="宋体"/>
                <w:szCs w:val="21"/>
              </w:rPr>
              <w:t>项目限价</w:t>
            </w:r>
          </w:p>
        </w:tc>
        <w:tc>
          <w:tcPr>
            <w:tcW w:w="6968" w:type="dxa"/>
            <w:noWrap w:val="0"/>
            <w:vAlign w:val="center"/>
          </w:tcPr>
          <w:p>
            <w:pPr>
              <w:autoSpaceDE w:val="0"/>
              <w:autoSpaceDN w:val="0"/>
              <w:adjustRightInd w:val="0"/>
              <w:spacing w:line="276" w:lineRule="auto"/>
              <w:rPr>
                <w:rFonts w:hint="eastAsia" w:ascii="宋体" w:hAnsi="宋体"/>
                <w:bCs/>
                <w:szCs w:val="21"/>
              </w:rPr>
            </w:pPr>
            <w:r>
              <w:rPr>
                <w:rFonts w:hint="eastAsia" w:ascii="宋体" w:hAnsi="宋体"/>
                <w:bCs/>
                <w:szCs w:val="21"/>
              </w:rPr>
              <w:t>项目总价限价</w:t>
            </w:r>
            <w:r>
              <w:rPr>
                <w:rFonts w:hint="eastAsia" w:ascii="宋体" w:hAnsi="宋体"/>
                <w:bCs/>
                <w:szCs w:val="21"/>
                <w:lang w:val="en-US" w:eastAsia="zh-CN"/>
              </w:rPr>
              <w:t>22</w:t>
            </w:r>
            <w:r>
              <w:rPr>
                <w:rFonts w:hint="eastAsia" w:ascii="宋体" w:hAnsi="宋体" w:eastAsia="宋体" w:cs="Times New Roman"/>
                <w:bCs/>
                <w:szCs w:val="21"/>
                <w:u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967" w:type="dxa"/>
            <w:noWrap w:val="0"/>
            <w:vAlign w:val="center"/>
          </w:tcPr>
          <w:p>
            <w:pPr>
              <w:pStyle w:val="11"/>
              <w:numPr>
                <w:ilvl w:val="0"/>
                <w:numId w:val="3"/>
              </w:numPr>
              <w:adjustRightInd w:val="0"/>
              <w:snapToGrid w:val="0"/>
              <w:spacing w:line="276" w:lineRule="auto"/>
              <w:jc w:val="center"/>
              <w:rPr>
                <w:rFonts w:hint="eastAsia" w:hAnsi="宋体"/>
                <w:bCs/>
                <w:szCs w:val="21"/>
              </w:rPr>
            </w:pPr>
          </w:p>
        </w:tc>
        <w:tc>
          <w:tcPr>
            <w:tcW w:w="1572" w:type="dxa"/>
            <w:noWrap w:val="0"/>
            <w:vAlign w:val="center"/>
          </w:tcPr>
          <w:p>
            <w:pPr>
              <w:spacing w:line="276" w:lineRule="auto"/>
              <w:jc w:val="center"/>
              <w:rPr>
                <w:rFonts w:hint="eastAsia" w:ascii="宋体" w:hAnsi="宋体"/>
                <w:szCs w:val="21"/>
              </w:rPr>
            </w:pPr>
            <w:r>
              <w:rPr>
                <w:rFonts w:hint="eastAsia" w:ascii="宋体" w:hAnsi="宋体"/>
                <w:szCs w:val="21"/>
              </w:rPr>
              <w:t>评审步骤</w:t>
            </w:r>
          </w:p>
        </w:tc>
        <w:tc>
          <w:tcPr>
            <w:tcW w:w="6968" w:type="dxa"/>
            <w:noWrap w:val="0"/>
            <w:vAlign w:val="center"/>
          </w:tcPr>
          <w:p>
            <w:pPr>
              <w:spacing w:line="276" w:lineRule="auto"/>
              <w:rPr>
                <w:rFonts w:hint="eastAsia" w:ascii="宋体" w:hAnsi="宋体"/>
                <w:szCs w:val="21"/>
              </w:rPr>
            </w:pPr>
            <w:r>
              <w:rPr>
                <w:rFonts w:hint="eastAsia" w:ascii="宋体" w:hAnsi="宋体"/>
                <w:szCs w:val="21"/>
              </w:rPr>
              <w:t>先进行资格、符合性评审，再进行技术、商务及价格的详细评审。只有通过资格、符合性评审的参评人才能进入详细的评审，即为</w:t>
            </w:r>
            <w:r>
              <w:rPr>
                <w:rFonts w:hint="eastAsia" w:ascii="宋体" w:hAnsi="宋体"/>
                <w:bCs/>
                <w:szCs w:val="21"/>
              </w:rPr>
              <w:t>入围参评人</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6" w:hRule="atLeast"/>
          <w:jc w:val="center"/>
        </w:trPr>
        <w:tc>
          <w:tcPr>
            <w:tcW w:w="967" w:type="dxa"/>
            <w:noWrap w:val="0"/>
            <w:vAlign w:val="center"/>
          </w:tcPr>
          <w:p>
            <w:pPr>
              <w:pStyle w:val="11"/>
              <w:numPr>
                <w:ilvl w:val="0"/>
                <w:numId w:val="3"/>
              </w:numPr>
              <w:adjustRightInd w:val="0"/>
              <w:snapToGrid w:val="0"/>
              <w:spacing w:line="276" w:lineRule="auto"/>
              <w:jc w:val="center"/>
              <w:rPr>
                <w:rFonts w:hint="eastAsia" w:hAnsi="宋体"/>
                <w:bCs/>
                <w:szCs w:val="21"/>
              </w:rPr>
            </w:pPr>
          </w:p>
        </w:tc>
        <w:tc>
          <w:tcPr>
            <w:tcW w:w="1572" w:type="dxa"/>
            <w:noWrap w:val="0"/>
            <w:vAlign w:val="center"/>
          </w:tcPr>
          <w:p>
            <w:pPr>
              <w:spacing w:line="276" w:lineRule="auto"/>
              <w:jc w:val="center"/>
              <w:rPr>
                <w:rFonts w:hint="eastAsia" w:ascii="宋体" w:hAnsi="宋体"/>
                <w:szCs w:val="21"/>
              </w:rPr>
            </w:pPr>
            <w:r>
              <w:rPr>
                <w:rFonts w:hint="eastAsia" w:ascii="宋体" w:hAnsi="宋体"/>
                <w:bCs/>
                <w:szCs w:val="21"/>
              </w:rPr>
              <w:t>成交候选人的推荐</w:t>
            </w:r>
          </w:p>
        </w:tc>
        <w:tc>
          <w:tcPr>
            <w:tcW w:w="6968" w:type="dxa"/>
            <w:noWrap w:val="0"/>
            <w:vAlign w:val="center"/>
          </w:tcPr>
          <w:p>
            <w:pPr>
              <w:spacing w:line="276" w:lineRule="auto"/>
              <w:rPr>
                <w:rFonts w:hint="eastAsia" w:ascii="宋体" w:hAnsi="宋体"/>
                <w:bCs/>
                <w:szCs w:val="21"/>
              </w:rPr>
            </w:pPr>
            <w:r>
              <w:rPr>
                <w:rFonts w:hint="eastAsia" w:ascii="宋体" w:hAnsi="宋体"/>
                <w:bCs/>
                <w:szCs w:val="21"/>
              </w:rPr>
              <w:t>评审小组结合商务文件部分、技术文件部分和价格部分进行综合评估，将商务得分、技术得分和价格得分相加得出各入围参评人的综合得分。评审小组按综合得分高低次序排出名次，并推荐综合得分排名第一的参评人为第一成交候选人，排名第二的参评人为第二成交候选人。</w:t>
            </w:r>
          </w:p>
          <w:p>
            <w:pPr>
              <w:spacing w:line="276" w:lineRule="auto"/>
              <w:rPr>
                <w:rFonts w:hint="eastAsia" w:ascii="宋体" w:hAnsi="宋体"/>
                <w:bCs/>
                <w:szCs w:val="21"/>
              </w:rPr>
            </w:pPr>
            <w:r>
              <w:rPr>
                <w:rFonts w:hint="eastAsia" w:ascii="宋体" w:hAnsi="宋体"/>
                <w:bCs/>
                <w:szCs w:val="21"/>
              </w:rPr>
              <w:t>综合得分相同的，名次按技术评分由高到低顺序排列；综合得分相同且技术评分相同的，名次按商务评分由高到低顺序排列；综合得分相同、技术评分和商务评分均相同的，名次由评审价由低到高顺序排列。综合得分相同、技术评分、商务评分和评审价均相同的评审小组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967" w:type="dxa"/>
            <w:noWrap w:val="0"/>
            <w:vAlign w:val="center"/>
          </w:tcPr>
          <w:p>
            <w:pPr>
              <w:pStyle w:val="11"/>
              <w:numPr>
                <w:ilvl w:val="0"/>
                <w:numId w:val="3"/>
              </w:numPr>
              <w:adjustRightInd w:val="0"/>
              <w:snapToGrid w:val="0"/>
              <w:spacing w:line="276" w:lineRule="auto"/>
              <w:jc w:val="center"/>
              <w:rPr>
                <w:rFonts w:hint="eastAsia" w:hAnsi="宋体"/>
                <w:bCs/>
                <w:szCs w:val="21"/>
              </w:rPr>
            </w:pPr>
          </w:p>
        </w:tc>
        <w:tc>
          <w:tcPr>
            <w:tcW w:w="1572" w:type="dxa"/>
            <w:noWrap w:val="0"/>
            <w:vAlign w:val="center"/>
          </w:tcPr>
          <w:p>
            <w:pPr>
              <w:spacing w:line="276" w:lineRule="auto"/>
              <w:jc w:val="center"/>
              <w:rPr>
                <w:rFonts w:hint="eastAsia" w:ascii="宋体" w:hAnsi="宋体"/>
                <w:szCs w:val="21"/>
              </w:rPr>
            </w:pPr>
            <w:r>
              <w:rPr>
                <w:rFonts w:hint="eastAsia" w:ascii="宋体" w:hAnsi="宋体"/>
                <w:szCs w:val="21"/>
              </w:rPr>
              <w:t>其他</w:t>
            </w:r>
          </w:p>
        </w:tc>
        <w:tc>
          <w:tcPr>
            <w:tcW w:w="6968" w:type="dxa"/>
            <w:noWrap w:val="0"/>
            <w:vAlign w:val="center"/>
          </w:tcPr>
          <w:p>
            <w:pPr>
              <w:tabs>
                <w:tab w:val="left" w:pos="0"/>
              </w:tabs>
              <w:snapToGrid w:val="0"/>
              <w:spacing w:line="276" w:lineRule="auto"/>
              <w:rPr>
                <w:rFonts w:hint="eastAsia" w:ascii="宋体" w:hAnsi="宋体"/>
                <w:bCs/>
                <w:szCs w:val="21"/>
              </w:rPr>
            </w:pPr>
            <w:r>
              <w:rPr>
                <w:rFonts w:hint="eastAsia" w:ascii="宋体" w:hAnsi="宋体"/>
                <w:bCs/>
                <w:szCs w:val="21"/>
              </w:rPr>
              <w:t>本项目不接受备选参评方案，不接受有任何选择或具有附加条件的报价，参评文件的报价只允许唯一方案报价。</w:t>
            </w:r>
          </w:p>
        </w:tc>
      </w:tr>
    </w:tbl>
    <w:p>
      <w:pPr>
        <w:spacing w:line="360" w:lineRule="auto"/>
        <w:ind w:firstLine="422" w:firstLineChars="200"/>
        <w:rPr>
          <w:rFonts w:hint="eastAsia" w:ascii="宋体" w:hAnsi="宋体"/>
          <w:szCs w:val="21"/>
        </w:rPr>
      </w:pPr>
      <w:r>
        <w:rPr>
          <w:rFonts w:hint="eastAsia" w:ascii="宋体" w:hAnsi="宋体"/>
          <w:b/>
          <w:szCs w:val="21"/>
        </w:rPr>
        <w:t>参评人必须认真阅读参评须知的内容，以免造成参评失败。</w:t>
      </w:r>
    </w:p>
    <w:p>
      <w:pPr>
        <w:keepNext/>
        <w:keepLines/>
        <w:adjustRightInd w:val="0"/>
        <w:spacing w:line="360" w:lineRule="auto"/>
        <w:jc w:val="center"/>
        <w:textAlignment w:val="baseline"/>
        <w:outlineLvl w:val="1"/>
        <w:rPr>
          <w:rFonts w:hint="eastAsia" w:ascii="黑体" w:hAnsi="黑体" w:eastAsia="黑体" w:cs="黑体"/>
          <w:kern w:val="0"/>
          <w:sz w:val="32"/>
          <w:szCs w:val="32"/>
        </w:rPr>
      </w:pPr>
      <w:r>
        <w:rPr>
          <w:rFonts w:hint="eastAsia" w:ascii="黑体" w:hAnsi="黑体" w:eastAsia="黑体" w:cs="黑体"/>
          <w:kern w:val="0"/>
          <w:sz w:val="32"/>
          <w:szCs w:val="32"/>
        </w:rPr>
        <w:t>第三部分  采购需求</w:t>
      </w:r>
    </w:p>
    <w:p>
      <w:pPr>
        <w:pStyle w:val="2"/>
      </w:pPr>
    </w:p>
    <w:p>
      <w:pPr>
        <w:pStyle w:val="5"/>
        <w:spacing w:before="0" w:after="0" w:line="520" w:lineRule="exact"/>
        <w:rPr>
          <w:rFonts w:ascii="宋体" w:hAnsi="宋体"/>
          <w:sz w:val="28"/>
          <w:szCs w:val="28"/>
        </w:rPr>
      </w:pPr>
      <w:r>
        <w:rPr>
          <w:rFonts w:hint="eastAsia" w:ascii="宋体" w:hAnsi="宋体"/>
          <w:sz w:val="28"/>
          <w:szCs w:val="28"/>
        </w:rPr>
        <w:t>技术要求</w:t>
      </w:r>
    </w:p>
    <w:p>
      <w:pPr>
        <w:spacing w:line="520" w:lineRule="exact"/>
        <w:ind w:firstLine="420" w:firstLineChars="200"/>
        <w:rPr>
          <w:rFonts w:ascii="宋体" w:hAnsi="宋体" w:cs="宋体"/>
          <w:szCs w:val="21"/>
        </w:rPr>
      </w:pPr>
      <w:r>
        <w:rPr>
          <w:rFonts w:hint="eastAsia" w:ascii="宋体" w:hAnsi="宋体" w:cs="宋体"/>
          <w:szCs w:val="21"/>
        </w:rPr>
        <w:t>一、服务内容</w:t>
      </w:r>
    </w:p>
    <w:p>
      <w:pPr>
        <w:tabs>
          <w:tab w:val="left" w:pos="8640"/>
          <w:tab w:val="left" w:pos="8880"/>
        </w:tabs>
        <w:spacing w:line="520" w:lineRule="exact"/>
        <w:ind w:firstLine="472" w:firstLineChars="225"/>
        <w:rPr>
          <w:rFonts w:ascii="宋体" w:hAnsi="宋体" w:cs="宋体"/>
          <w:szCs w:val="21"/>
        </w:rPr>
      </w:pPr>
      <w:r>
        <w:rPr>
          <w:rFonts w:hint="eastAsia" w:ascii="宋体" w:hAnsi="宋体" w:cs="宋体"/>
          <w:szCs w:val="21"/>
        </w:rPr>
        <w:t>参与采购人对总队下辖的支队（含大队）组织开展的财政财务收支、领导干部经济责任、重大政策落实情况跟踪审计、专项审计调查、内部控制审计、建设工程项目审计、信息化项目专项审计、采购专项审计、审计文书整理等审计服务项目，具体审计内容包括但不限于以下内容：</w:t>
      </w:r>
    </w:p>
    <w:p>
      <w:pPr>
        <w:spacing w:line="520" w:lineRule="exact"/>
        <w:ind w:firstLine="472" w:firstLineChars="225"/>
        <w:rPr>
          <w:rFonts w:ascii="宋体" w:hAnsi="宋体" w:cs="宋体"/>
          <w:szCs w:val="21"/>
        </w:rPr>
      </w:pPr>
      <w:r>
        <w:rPr>
          <w:rFonts w:hint="eastAsia" w:ascii="宋体" w:hAnsi="宋体" w:cs="宋体"/>
          <w:szCs w:val="21"/>
        </w:rPr>
        <w:t>1、单位预算管理、预算执行情况审核。</w:t>
      </w:r>
    </w:p>
    <w:p>
      <w:pPr>
        <w:spacing w:line="520" w:lineRule="exact"/>
        <w:ind w:firstLine="472" w:firstLineChars="225"/>
        <w:rPr>
          <w:rFonts w:ascii="宋体" w:hAnsi="宋体" w:cs="宋体"/>
          <w:szCs w:val="21"/>
        </w:rPr>
      </w:pPr>
      <w:r>
        <w:rPr>
          <w:rFonts w:hint="eastAsia" w:ascii="宋体" w:hAnsi="宋体" w:cs="宋体"/>
          <w:szCs w:val="21"/>
        </w:rPr>
        <w:t>2、单位财政财务收支、资金管理、经费管理、内控执行、费用开支、政府采购、固定资产、税费管理情况审核。</w:t>
      </w:r>
    </w:p>
    <w:p>
      <w:pPr>
        <w:spacing w:line="520" w:lineRule="exact"/>
        <w:ind w:firstLine="472" w:firstLineChars="225"/>
        <w:rPr>
          <w:rFonts w:ascii="宋体" w:hAnsi="宋体" w:cs="宋体"/>
          <w:szCs w:val="21"/>
        </w:rPr>
      </w:pPr>
      <w:r>
        <w:rPr>
          <w:rFonts w:hint="eastAsia" w:ascii="宋体" w:hAnsi="宋体" w:cs="宋体"/>
          <w:szCs w:val="21"/>
        </w:rPr>
        <w:t>3、项目建设报建程序合规性和建设管理制度执行情况审核；单位招投标程序等合规性审核；单位政府采购程序、合同等合规性审核。</w:t>
      </w:r>
    </w:p>
    <w:p>
      <w:pPr>
        <w:spacing w:line="520" w:lineRule="exact"/>
        <w:ind w:firstLine="472" w:firstLineChars="225"/>
        <w:rPr>
          <w:rFonts w:ascii="宋体" w:hAnsi="宋体" w:cs="宋体"/>
          <w:szCs w:val="21"/>
        </w:rPr>
      </w:pPr>
      <w:r>
        <w:rPr>
          <w:rFonts w:hint="eastAsia" w:ascii="宋体" w:hAnsi="宋体" w:cs="宋体"/>
          <w:szCs w:val="21"/>
        </w:rPr>
        <w:t>4、项目建设预（概）算执行情况、经费支出情况以及实施过程中发生的重大变更及索赔情况审核。</w:t>
      </w:r>
    </w:p>
    <w:p>
      <w:pPr>
        <w:spacing w:line="520" w:lineRule="exact"/>
        <w:ind w:firstLine="472" w:firstLineChars="225"/>
        <w:rPr>
          <w:rFonts w:ascii="宋体" w:hAnsi="宋体" w:cs="宋体"/>
          <w:szCs w:val="21"/>
        </w:rPr>
      </w:pPr>
      <w:r>
        <w:rPr>
          <w:rFonts w:hint="eastAsia" w:ascii="宋体" w:hAnsi="宋体" w:cs="宋体"/>
          <w:szCs w:val="21"/>
        </w:rPr>
        <w:t>5、项目质量是否验收合格。有无因设计失误、监理履职不到位、施工管理控制不严等造成损失浪费、进度滞后、质量隐患等问题。</w:t>
      </w:r>
    </w:p>
    <w:p>
      <w:pPr>
        <w:spacing w:line="520" w:lineRule="exact"/>
        <w:ind w:firstLine="472" w:firstLineChars="225"/>
        <w:rPr>
          <w:rFonts w:ascii="宋体" w:hAnsi="宋体" w:cs="宋体"/>
          <w:szCs w:val="21"/>
        </w:rPr>
      </w:pPr>
      <w:r>
        <w:rPr>
          <w:rFonts w:hint="eastAsia" w:ascii="宋体" w:hAnsi="宋体" w:cs="宋体"/>
          <w:szCs w:val="21"/>
        </w:rPr>
        <w:t>6、专业业务咨询服务、档案管理是否合法合规等。</w:t>
      </w:r>
    </w:p>
    <w:p>
      <w:pPr>
        <w:spacing w:line="520" w:lineRule="exact"/>
        <w:ind w:firstLine="420" w:firstLineChars="200"/>
        <w:rPr>
          <w:rFonts w:ascii="宋体" w:hAnsi="宋体" w:cs="宋体"/>
          <w:szCs w:val="21"/>
        </w:rPr>
      </w:pPr>
      <w:r>
        <w:rPr>
          <w:rFonts w:hint="eastAsia" w:ascii="宋体" w:hAnsi="宋体" w:cs="宋体"/>
          <w:szCs w:val="21"/>
        </w:rPr>
        <w:t>二、服务要求</w:t>
      </w:r>
    </w:p>
    <w:p>
      <w:pPr>
        <w:spacing w:line="520" w:lineRule="exact"/>
        <w:ind w:firstLine="472" w:firstLineChars="225"/>
        <w:rPr>
          <w:rFonts w:ascii="宋体" w:hAnsi="宋体" w:cs="宋体"/>
          <w:szCs w:val="21"/>
        </w:rPr>
      </w:pPr>
      <w:r>
        <w:rPr>
          <w:rFonts w:hint="eastAsia" w:ascii="宋体" w:hAnsi="宋体" w:cs="宋体"/>
          <w:szCs w:val="21"/>
        </w:rPr>
        <w:t>（一）管理与常规服务要求</w:t>
      </w:r>
    </w:p>
    <w:p>
      <w:pPr>
        <w:spacing w:line="520" w:lineRule="exact"/>
        <w:ind w:firstLine="472" w:firstLineChars="225"/>
        <w:rPr>
          <w:rFonts w:ascii="宋体" w:hAnsi="宋体" w:cs="宋体"/>
          <w:szCs w:val="21"/>
        </w:rPr>
      </w:pPr>
      <w:r>
        <w:rPr>
          <w:rFonts w:hint="eastAsia" w:ascii="宋体" w:hAnsi="宋体" w:cs="宋体"/>
          <w:szCs w:val="21"/>
        </w:rPr>
        <w:t>1、按照采购人工作要求，中标人每次须派遣能够按采购人要求完成相关项目审计工作人员。派遣人员具有2年以上行业工作经验，具备审计、会计、工程等专业背景，参与过行政、事业等预算单位的审计项目，能熟练使用办公软件及审计软件。项目开始前，需经采购人结合项目特点审核派遣人员相关资质，对采购人反馈不能有效完成工作任务人员，中标人应及时予以调换。</w:t>
      </w:r>
    </w:p>
    <w:p>
      <w:pPr>
        <w:spacing w:line="520" w:lineRule="exact"/>
        <w:ind w:firstLine="472" w:firstLineChars="225"/>
        <w:rPr>
          <w:rFonts w:ascii="宋体" w:hAnsi="宋体" w:cs="宋体"/>
          <w:szCs w:val="21"/>
        </w:rPr>
      </w:pPr>
      <w:r>
        <w:rPr>
          <w:rFonts w:hint="eastAsia" w:ascii="宋体" w:hAnsi="宋体" w:cs="宋体"/>
          <w:szCs w:val="21"/>
        </w:rPr>
        <w:t>2、中标人需保证派遣人员相对固定。在派遣人员中，中标人应指定1至2名中级会计师及以上资格者作为业务联络人。业务联络人应参加审计项目，及时了解采购人业务需求，对派遣人员指导培训，合规高效完成审计工作底稿，清晰沟通审计发现问题。</w:t>
      </w:r>
    </w:p>
    <w:p>
      <w:pPr>
        <w:spacing w:line="520" w:lineRule="exact"/>
        <w:ind w:firstLine="472" w:firstLineChars="225"/>
        <w:rPr>
          <w:rFonts w:ascii="宋体" w:hAnsi="宋体" w:cs="宋体"/>
          <w:szCs w:val="21"/>
        </w:rPr>
      </w:pPr>
      <w:r>
        <w:rPr>
          <w:rFonts w:hint="eastAsia" w:ascii="宋体" w:hAnsi="宋体" w:cs="宋体"/>
          <w:szCs w:val="21"/>
        </w:rPr>
        <w:t>3、中标人派遣人员应全面了解和掌握有关财务收支审计、经济责任审计、信息化、基本建设以及采购类项目管理的政策规定。</w:t>
      </w:r>
    </w:p>
    <w:p>
      <w:pPr>
        <w:spacing w:line="520" w:lineRule="exact"/>
        <w:ind w:firstLine="472" w:firstLineChars="225"/>
        <w:rPr>
          <w:rFonts w:ascii="宋体" w:hAnsi="宋体" w:cs="宋体"/>
          <w:szCs w:val="21"/>
        </w:rPr>
      </w:pPr>
      <w:r>
        <w:rPr>
          <w:rFonts w:hint="eastAsia" w:ascii="宋体" w:hAnsi="宋体" w:cs="宋体"/>
          <w:szCs w:val="21"/>
        </w:rPr>
        <w:t>4、按照采购人工作要求，认真完成有关审计工作任务，在规定时间内向采购人出具高质量的审计工作底稿、审计签证单或审计报告、相关专项业务报告，并对审计过程、审计结果、审计结论负责。</w:t>
      </w:r>
    </w:p>
    <w:p>
      <w:pPr>
        <w:spacing w:line="520" w:lineRule="exact"/>
        <w:ind w:firstLine="472" w:firstLineChars="225"/>
        <w:rPr>
          <w:rFonts w:ascii="宋体" w:hAnsi="宋体" w:cs="宋体"/>
          <w:szCs w:val="21"/>
        </w:rPr>
      </w:pPr>
      <w:r>
        <w:rPr>
          <w:rFonts w:hint="eastAsia" w:ascii="宋体" w:hAnsi="宋体" w:cs="宋体"/>
          <w:szCs w:val="21"/>
        </w:rPr>
        <w:t>5、审计期间，中标人要确保审计资料安全完整。审计现场工作结束后，按照采购人要求，及时清理有关资料及电子数据。</w:t>
      </w:r>
    </w:p>
    <w:p>
      <w:pPr>
        <w:pStyle w:val="2"/>
        <w:spacing w:line="520" w:lineRule="exact"/>
        <w:ind w:firstLine="495" w:firstLineChars="236"/>
        <w:rPr>
          <w:rFonts w:ascii="宋体" w:hAnsi="宋体"/>
        </w:rPr>
      </w:pPr>
      <w:r>
        <w:rPr>
          <w:rFonts w:hint="eastAsia" w:ascii="宋体" w:hAnsi="宋体"/>
        </w:rPr>
        <w:t>6、每个审计项目结束后，采购人需对中标人服务质量进行打评估打分，若认定评价不合格，可不予支付该审计项目审计服务费。</w:t>
      </w:r>
    </w:p>
    <w:p>
      <w:pPr>
        <w:pStyle w:val="2"/>
        <w:spacing w:line="520" w:lineRule="exact"/>
        <w:ind w:firstLine="495" w:firstLineChars="236"/>
        <w:rPr>
          <w:rFonts w:ascii="宋体" w:hAnsi="宋体"/>
        </w:rPr>
      </w:pPr>
      <w:r>
        <w:rPr>
          <w:rFonts w:hint="eastAsia" w:ascii="宋体" w:hAnsi="宋体"/>
        </w:rPr>
        <w:t>7、为保证采购人的集中批量审计工作能够同步运行，供应商单位需具备足够的专业审计人员储备库，要求供应商单位在投标文件中提供针对本项目服务的专业审计人员不少于12名，专业审计人员具有2年以上行业工作经验。</w:t>
      </w:r>
    </w:p>
    <w:p>
      <w:pPr>
        <w:spacing w:line="520" w:lineRule="exact"/>
        <w:ind w:firstLine="472" w:firstLineChars="225"/>
        <w:rPr>
          <w:rFonts w:ascii="宋体" w:hAnsi="宋体" w:cs="宋体"/>
          <w:szCs w:val="21"/>
        </w:rPr>
      </w:pPr>
      <w:r>
        <w:rPr>
          <w:rFonts w:hint="eastAsia" w:ascii="宋体" w:hAnsi="宋体" w:cs="宋体"/>
          <w:szCs w:val="21"/>
        </w:rPr>
        <w:t>（二）保密及工作要求</w:t>
      </w:r>
    </w:p>
    <w:p>
      <w:pPr>
        <w:spacing w:line="520" w:lineRule="exact"/>
        <w:ind w:firstLine="472" w:firstLineChars="225"/>
        <w:rPr>
          <w:rFonts w:ascii="宋体" w:hAnsi="宋体" w:cs="宋体"/>
          <w:szCs w:val="21"/>
        </w:rPr>
      </w:pPr>
      <w:r>
        <w:rPr>
          <w:rFonts w:hint="eastAsia" w:ascii="宋体" w:hAnsi="宋体" w:cs="宋体"/>
          <w:szCs w:val="21"/>
        </w:rPr>
        <w:t>1、中标人须同采购人签署保密协议，签订保密承诺书。中标人参与人员不得以任何形式向任何单位或个人披露审计的有关信息，对执业过程中知悉的国家秘密和采购人工作秘密严加保密。</w:t>
      </w:r>
    </w:p>
    <w:p>
      <w:pPr>
        <w:spacing w:line="520" w:lineRule="exact"/>
        <w:ind w:firstLine="472" w:firstLineChars="225"/>
        <w:rPr>
          <w:rFonts w:ascii="宋体" w:hAnsi="宋体" w:cs="宋体"/>
          <w:szCs w:val="21"/>
        </w:rPr>
      </w:pPr>
      <w:r>
        <w:rPr>
          <w:rFonts w:hint="eastAsia" w:ascii="宋体" w:hAnsi="宋体" w:cs="宋体"/>
          <w:szCs w:val="21"/>
        </w:rPr>
        <w:t>2、中标人应按照约定时间完成审计业务。中标人人员在审计过程中遇到重大问题须及时向采购人报告。采购人对重要事项审查和复核过程中如遇疑问，中标人派遣人员应履行解释说明义务。因严重过失或故意提供不实、内容虚假审计结果、审计结论、审计报告的，应承担相应法律责任，采购人将不予支付委托业务费用，终止委托业务资格，并保留向其追究相应法律责任的权力。</w:t>
      </w:r>
    </w:p>
    <w:p>
      <w:pPr>
        <w:spacing w:line="520" w:lineRule="exact"/>
        <w:ind w:firstLine="472" w:firstLineChars="225"/>
        <w:rPr>
          <w:rFonts w:ascii="宋体" w:hAnsi="宋体"/>
          <w:szCs w:val="21"/>
        </w:rPr>
      </w:pPr>
      <w:r>
        <w:rPr>
          <w:rFonts w:hint="eastAsia" w:ascii="宋体" w:hAnsi="宋体" w:cs="宋体"/>
          <w:szCs w:val="21"/>
        </w:rPr>
        <w:t>3、在管理与常规审计服务工作时间内，中标人派遣人员不得从事与本审计工作无关的其他事项。</w:t>
      </w:r>
    </w:p>
    <w:p>
      <w:pPr>
        <w:spacing w:line="520" w:lineRule="exact"/>
        <w:ind w:firstLine="420" w:firstLineChars="200"/>
        <w:rPr>
          <w:rFonts w:ascii="宋体" w:hAnsi="宋体" w:cs="宋体"/>
          <w:szCs w:val="21"/>
        </w:rPr>
      </w:pPr>
      <w:r>
        <w:rPr>
          <w:rFonts w:hint="eastAsia" w:ascii="宋体" w:hAnsi="宋体" w:cs="宋体"/>
          <w:szCs w:val="21"/>
        </w:rPr>
        <w:t>（三）廉政及职业道德要求</w:t>
      </w:r>
    </w:p>
    <w:p>
      <w:pPr>
        <w:spacing w:line="520" w:lineRule="exact"/>
        <w:ind w:firstLine="420" w:firstLineChars="200"/>
        <w:rPr>
          <w:rFonts w:ascii="宋体" w:hAnsi="宋体" w:cs="宋体"/>
          <w:szCs w:val="21"/>
        </w:rPr>
      </w:pPr>
      <w:r>
        <w:rPr>
          <w:rFonts w:hint="eastAsia" w:ascii="宋体" w:hAnsi="宋体" w:cs="宋体"/>
          <w:szCs w:val="21"/>
        </w:rPr>
        <w:t>1、中标人须客观公正依法审计，遵守审计纪律和职业道德。</w:t>
      </w:r>
    </w:p>
    <w:p>
      <w:pPr>
        <w:spacing w:line="520" w:lineRule="exact"/>
        <w:ind w:firstLine="420" w:firstLineChars="200"/>
        <w:rPr>
          <w:rFonts w:ascii="宋体" w:hAnsi="宋体" w:cs="宋体"/>
          <w:szCs w:val="21"/>
        </w:rPr>
      </w:pPr>
      <w:r>
        <w:rPr>
          <w:rFonts w:hint="eastAsia" w:ascii="宋体" w:hAnsi="宋体" w:cs="宋体"/>
          <w:szCs w:val="21"/>
        </w:rPr>
        <w:t>2、中标人与被审计单位或者审计事项有利害关系的，应主动回避。</w:t>
      </w:r>
    </w:p>
    <w:p>
      <w:pPr>
        <w:spacing w:line="520" w:lineRule="exact"/>
        <w:ind w:firstLine="420" w:firstLineChars="200"/>
        <w:rPr>
          <w:rFonts w:ascii="宋体" w:hAnsi="宋体" w:cs="宋体"/>
          <w:szCs w:val="21"/>
        </w:rPr>
      </w:pPr>
      <w:r>
        <w:rPr>
          <w:rFonts w:hint="eastAsia" w:ascii="宋体" w:hAnsi="宋体" w:cs="宋体"/>
          <w:szCs w:val="21"/>
        </w:rPr>
        <w:t>3、中标人派遣人员须具有中华人民共和国国籍，无境外（含港澳台）永久居留权或者长期居留许可，与境外（含港澳台）人员无婚姻关系，不得有违法犯罪记录。</w:t>
      </w:r>
    </w:p>
    <w:p>
      <w:pPr>
        <w:spacing w:line="520" w:lineRule="exact"/>
        <w:ind w:firstLine="420" w:firstLineChars="200"/>
        <w:rPr>
          <w:rFonts w:ascii="宋体" w:hAnsi="宋体" w:cs="宋体"/>
          <w:szCs w:val="21"/>
        </w:rPr>
      </w:pPr>
      <w:r>
        <w:rPr>
          <w:rFonts w:hint="eastAsia" w:ascii="宋体" w:hAnsi="宋体" w:cs="宋体"/>
          <w:szCs w:val="21"/>
        </w:rPr>
        <w:t>4、中标人在执行采购人审计业务时，有下列行为，将终止委托合同，并按规定追究其相应法律责任：</w:t>
      </w:r>
    </w:p>
    <w:p>
      <w:pPr>
        <w:spacing w:line="520" w:lineRule="exact"/>
        <w:ind w:firstLine="420" w:firstLineChars="200"/>
        <w:rPr>
          <w:rFonts w:ascii="宋体" w:hAnsi="宋体" w:cs="宋体"/>
          <w:szCs w:val="21"/>
        </w:rPr>
      </w:pPr>
      <w:r>
        <w:rPr>
          <w:rFonts w:hint="eastAsia" w:ascii="宋体" w:hAnsi="宋体" w:cs="宋体"/>
          <w:szCs w:val="21"/>
        </w:rPr>
        <w:t>（1）违背职业道德、玩忽职守，或者与被审计单位有关人员相互串通、弄虚作假。</w:t>
      </w:r>
    </w:p>
    <w:p>
      <w:pPr>
        <w:spacing w:line="520" w:lineRule="exact"/>
        <w:ind w:firstLine="420" w:firstLineChars="200"/>
        <w:rPr>
          <w:rFonts w:ascii="宋体" w:hAnsi="宋体" w:cs="宋体"/>
          <w:szCs w:val="21"/>
        </w:rPr>
      </w:pPr>
      <w:r>
        <w:rPr>
          <w:rFonts w:hint="eastAsia" w:ascii="宋体" w:hAnsi="宋体" w:cs="宋体"/>
          <w:szCs w:val="21"/>
        </w:rPr>
        <w:t>（2）索取、收受委托合同约定以外的酬金或者其他财物，或者利用执行业务之便，谋取其他不正当的利益。</w:t>
      </w:r>
    </w:p>
    <w:p>
      <w:pPr>
        <w:spacing w:line="520" w:lineRule="exact"/>
        <w:ind w:firstLine="420" w:firstLineChars="200"/>
        <w:rPr>
          <w:rFonts w:ascii="宋体" w:hAnsi="宋体" w:cs="宋体"/>
          <w:szCs w:val="21"/>
        </w:rPr>
      </w:pPr>
      <w:r>
        <w:rPr>
          <w:rFonts w:hint="eastAsia" w:ascii="宋体" w:hAnsi="宋体" w:cs="宋体"/>
          <w:szCs w:val="21"/>
        </w:rPr>
        <w:t>（3）中标人以任何形式将审计任务转包给其他审计机构。</w:t>
      </w:r>
    </w:p>
    <w:p>
      <w:pPr>
        <w:spacing w:line="520" w:lineRule="exact"/>
        <w:ind w:firstLine="420" w:firstLineChars="200"/>
        <w:rPr>
          <w:rFonts w:ascii="宋体" w:hAnsi="宋体" w:cs="宋体"/>
          <w:szCs w:val="21"/>
        </w:rPr>
      </w:pPr>
      <w:r>
        <w:rPr>
          <w:rFonts w:hint="eastAsia" w:ascii="宋体" w:hAnsi="宋体" w:cs="宋体"/>
          <w:szCs w:val="21"/>
        </w:rPr>
        <w:t>（4）违反法律、法规的其他行为。</w:t>
      </w:r>
    </w:p>
    <w:p>
      <w:pPr>
        <w:pStyle w:val="5"/>
        <w:spacing w:before="0" w:after="0" w:line="520" w:lineRule="exact"/>
        <w:rPr>
          <w:rFonts w:ascii="宋体" w:hAnsi="宋体" w:cs="宋体"/>
          <w:sz w:val="28"/>
          <w:szCs w:val="28"/>
        </w:rPr>
      </w:pPr>
      <w:r>
        <w:rPr>
          <w:rFonts w:hint="eastAsia" w:ascii="宋体" w:hAnsi="宋体"/>
          <w:sz w:val="28"/>
          <w:szCs w:val="28"/>
        </w:rPr>
        <w:t>商务要求</w:t>
      </w:r>
    </w:p>
    <w:p>
      <w:pPr>
        <w:spacing w:line="520" w:lineRule="exact"/>
        <w:ind w:firstLine="420" w:firstLineChars="200"/>
        <w:rPr>
          <w:rFonts w:ascii="宋体" w:hAnsi="宋体" w:cs="宋体"/>
          <w:szCs w:val="21"/>
        </w:rPr>
      </w:pPr>
      <w:r>
        <w:rPr>
          <w:rFonts w:hint="eastAsia" w:ascii="宋体" w:hAnsi="宋体" w:cs="宋体"/>
          <w:szCs w:val="21"/>
        </w:rPr>
        <w:t>三、服务期限、范围及付款方式</w:t>
      </w:r>
    </w:p>
    <w:p>
      <w:pPr>
        <w:spacing w:line="520" w:lineRule="exact"/>
        <w:ind w:firstLine="420" w:firstLineChars="200"/>
        <w:rPr>
          <w:rFonts w:ascii="宋体" w:hAnsi="宋体" w:cs="宋体"/>
          <w:szCs w:val="21"/>
        </w:rPr>
      </w:pPr>
      <w:r>
        <w:rPr>
          <w:rFonts w:hint="eastAsia" w:ascii="宋体" w:hAnsi="宋体" w:cs="宋体"/>
          <w:szCs w:val="21"/>
        </w:rPr>
        <w:t>（1）服务期限为</w:t>
      </w:r>
      <w:r>
        <w:rPr>
          <w:rFonts w:hint="eastAsia" w:ascii="宋体" w:hAnsi="宋体" w:cs="宋体"/>
          <w:szCs w:val="21"/>
          <w:lang w:val="en-US" w:eastAsia="zh-CN"/>
        </w:rPr>
        <w:t>1</w:t>
      </w:r>
      <w:r>
        <w:rPr>
          <w:rFonts w:hint="eastAsia" w:ascii="宋体" w:hAnsi="宋体" w:cs="宋体"/>
          <w:szCs w:val="21"/>
        </w:rPr>
        <w:t>年，经总队确认达到约定服务质量的条件下</w:t>
      </w:r>
      <w:r>
        <w:rPr>
          <w:rFonts w:hint="eastAsia" w:ascii="宋体" w:hAnsi="宋体" w:cs="宋体"/>
          <w:szCs w:val="21"/>
          <w:lang w:val="en-US" w:eastAsia="zh-CN"/>
        </w:rPr>
        <w:t>续签1次合同</w:t>
      </w:r>
      <w:r>
        <w:rPr>
          <w:rFonts w:hint="eastAsia" w:ascii="宋体" w:hAnsi="宋体" w:cs="宋体"/>
          <w:szCs w:val="21"/>
        </w:rPr>
        <w:t>；</w:t>
      </w:r>
    </w:p>
    <w:p>
      <w:pPr>
        <w:spacing w:line="520" w:lineRule="exact"/>
        <w:ind w:firstLine="420" w:firstLineChars="200"/>
        <w:rPr>
          <w:rFonts w:ascii="宋体" w:hAnsi="宋体" w:cs="宋体"/>
          <w:szCs w:val="21"/>
        </w:rPr>
      </w:pPr>
      <w:r>
        <w:rPr>
          <w:rFonts w:hint="eastAsia" w:ascii="宋体" w:hAnsi="宋体" w:cs="宋体"/>
          <w:szCs w:val="21"/>
        </w:rPr>
        <w:t>（2）项目审计服务工作范围：</w:t>
      </w:r>
      <w:r>
        <w:rPr>
          <w:rFonts w:hint="eastAsia" w:ascii="宋体" w:hAnsi="宋体" w:cs="宋体"/>
          <w:szCs w:val="21"/>
          <w:lang w:val="en-US" w:eastAsia="zh-CN"/>
        </w:rPr>
        <w:t>广东省消防救援队伍</w:t>
      </w:r>
      <w:r>
        <w:rPr>
          <w:rFonts w:hint="eastAsia" w:ascii="宋体" w:hAnsi="宋体" w:cs="宋体"/>
          <w:szCs w:val="21"/>
        </w:rPr>
        <w:t>；</w:t>
      </w:r>
    </w:p>
    <w:p>
      <w:pPr>
        <w:spacing w:line="520" w:lineRule="exact"/>
        <w:ind w:firstLine="420" w:firstLineChars="200"/>
        <w:rPr>
          <w:rFonts w:ascii="宋体" w:hAnsi="宋体" w:cs="宋体"/>
          <w:szCs w:val="21"/>
        </w:rPr>
      </w:pPr>
      <w:r>
        <w:rPr>
          <w:rFonts w:hint="eastAsia" w:ascii="宋体" w:hAnsi="宋体" w:cs="宋体"/>
          <w:szCs w:val="21"/>
        </w:rPr>
        <w:t>（3）单个项目完成后，经采购人复核确认后支付服务费。服务费累计不超过采购预算。</w:t>
      </w:r>
    </w:p>
    <w:p>
      <w:pPr>
        <w:spacing w:line="520" w:lineRule="exact"/>
        <w:ind w:firstLine="420" w:firstLineChars="200"/>
        <w:rPr>
          <w:rFonts w:ascii="宋体" w:hAnsi="宋体" w:cs="宋体"/>
          <w:szCs w:val="21"/>
        </w:rPr>
      </w:pPr>
      <w:r>
        <w:rPr>
          <w:rFonts w:hint="eastAsia" w:ascii="宋体" w:hAnsi="宋体" w:cs="宋体"/>
          <w:szCs w:val="21"/>
        </w:rPr>
        <w:t>四、财政财务收支项目收费控制价</w:t>
      </w:r>
    </w:p>
    <w:tbl>
      <w:tblPr>
        <w:tblStyle w:val="15"/>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2268"/>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等线 Light"/>
                <w:szCs w:val="21"/>
              </w:rPr>
            </w:pPr>
            <w:r>
              <w:rPr>
                <w:rFonts w:hint="eastAsia" w:ascii="宋体" w:hAnsi="宋体" w:cs="等线 Light"/>
                <w:szCs w:val="21"/>
              </w:rPr>
              <w:t>业务支出分段项目</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等线 Light"/>
                <w:szCs w:val="21"/>
              </w:rPr>
            </w:pPr>
            <w:r>
              <w:rPr>
                <w:rFonts w:hint="eastAsia" w:ascii="宋体" w:hAnsi="宋体" w:cs="等线 Light"/>
                <w:szCs w:val="21"/>
              </w:rPr>
              <w:t>单年度收费</w:t>
            </w:r>
            <w:r>
              <w:rPr>
                <w:rFonts w:hint="eastAsia" w:ascii="宋体" w:hAnsi="宋体" w:cs="宋体"/>
                <w:szCs w:val="21"/>
              </w:rPr>
              <w:t>标准</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等线 Light"/>
                <w:szCs w:val="21"/>
              </w:rPr>
            </w:pPr>
            <w:r>
              <w:rPr>
                <w:rFonts w:hint="eastAsia" w:ascii="宋体" w:hAnsi="宋体" w:cs="等线 Light"/>
                <w:szCs w:val="21"/>
              </w:rPr>
              <w:t>双年度收费</w:t>
            </w:r>
            <w:r>
              <w:rPr>
                <w:rFonts w:hint="eastAsia" w:ascii="宋体" w:hAnsi="宋体" w:cs="宋体"/>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业务支出200万元以下</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4,000.00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业务支出200-500万元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7,000.00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14,000.00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业务支出500-1000万元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10,000.00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20,000.00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业务支出1000-3000万元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14,000.00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28,000.00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业务支出3000-5000万元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18,000.00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业务支出5000-8000万元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21,000.00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42,000.00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业务支出8000-1亿元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24,000.00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48,000.00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业务支出1亿以上</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26,000.00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52,000.00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rPr>
              <w:t>业务支出2亿以上</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28,000.00 </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rPr>
            </w:pPr>
            <w:r>
              <w:rPr>
                <w:rFonts w:hint="eastAsia" w:ascii="宋体" w:hAnsi="宋体" w:cs="等线 Light"/>
                <w:szCs w:val="21"/>
                <w:lang w:bidi="ar"/>
              </w:rPr>
              <w:t xml:space="preserve">56,000.00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353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lang w:bidi="ar"/>
              </w:rPr>
            </w:pPr>
            <w:r>
              <w:rPr>
                <w:rFonts w:hint="eastAsia" w:ascii="宋体" w:hAnsi="宋体" w:cs="等线 Light"/>
                <w:szCs w:val="21"/>
              </w:rPr>
              <w:t>业务支出3亿以上</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lang w:bidi="ar"/>
              </w:rPr>
            </w:pPr>
            <w:r>
              <w:rPr>
                <w:rFonts w:hint="eastAsia" w:ascii="宋体" w:hAnsi="宋体" w:cs="等线 Light"/>
                <w:szCs w:val="21"/>
                <w:lang w:bidi="ar"/>
              </w:rPr>
              <w:t>30,000.00</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等线 Light"/>
                <w:szCs w:val="21"/>
                <w:lang w:bidi="ar"/>
              </w:rPr>
            </w:pPr>
            <w:r>
              <w:rPr>
                <w:rFonts w:hint="eastAsia" w:ascii="宋体" w:hAnsi="宋体" w:cs="等线 Light"/>
                <w:szCs w:val="21"/>
                <w:lang w:bidi="ar"/>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868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420" w:firstLineChars="200"/>
              <w:rPr>
                <w:rFonts w:ascii="宋体" w:hAnsi="宋体" w:cs="等线 Light"/>
                <w:szCs w:val="21"/>
              </w:rPr>
            </w:pPr>
            <w:r>
              <w:rPr>
                <w:rFonts w:hint="eastAsia" w:ascii="宋体" w:hAnsi="宋体" w:cs="等线 Light"/>
                <w:szCs w:val="21"/>
              </w:rPr>
              <w:t>选派参与审计调查核查事项的，根据日服务标准和实际工作服务天数结算选派费用。日服务标准参照省财政厅和省直有关职能部门的付费标准，注册会计师、高级会计师、高级审计师人员1200元/天/人；会计、审计、税务中级职称人员900元/天/人；助理会计师或财经专业本科毕业具有3年及以上会计师事务所工作经验人员600元/天/人。</w:t>
            </w:r>
          </w:p>
          <w:p>
            <w:pPr>
              <w:spacing w:line="0" w:lineRule="atLeast"/>
              <w:ind w:firstLine="420" w:firstLineChars="200"/>
              <w:rPr>
                <w:rFonts w:ascii="宋体" w:hAnsi="宋体" w:cs="等线 Light"/>
                <w:szCs w:val="21"/>
              </w:rPr>
            </w:pPr>
            <w:r>
              <w:rPr>
                <w:rFonts w:hint="eastAsia" w:ascii="宋体" w:hAnsi="宋体" w:cs="等线 Light"/>
                <w:szCs w:val="21"/>
              </w:rPr>
              <w:t>备注：上述标准包含劳务费、广州市内交通费、通讯费用、广州市内误餐费等各项杂费。广州市（主城区）外的交通费、住宿费等由采购人按国家及省政府财务制度规定予以解决。</w:t>
            </w:r>
          </w:p>
        </w:tc>
      </w:tr>
    </w:tbl>
    <w:p>
      <w:pPr>
        <w:spacing w:line="360" w:lineRule="auto"/>
        <w:ind w:firstLine="420" w:firstLineChars="200"/>
        <w:rPr>
          <w:rFonts w:ascii="宋体" w:hAnsi="宋体" w:cs="宋体"/>
          <w:szCs w:val="21"/>
        </w:rPr>
      </w:pPr>
      <w:r>
        <w:rPr>
          <w:rFonts w:hint="eastAsia" w:ascii="宋体" w:hAnsi="宋体" w:cs="宋体"/>
          <w:szCs w:val="21"/>
        </w:rPr>
        <w:t>五、报价方式</w:t>
      </w:r>
    </w:p>
    <w:p>
      <w:pPr>
        <w:spacing w:line="360" w:lineRule="auto"/>
        <w:ind w:firstLine="420" w:firstLineChars="200"/>
        <w:rPr>
          <w:rFonts w:ascii="宋体" w:hAnsi="宋体" w:cs="宋体"/>
          <w:szCs w:val="21"/>
        </w:rPr>
      </w:pPr>
      <w:r>
        <w:rPr>
          <w:rFonts w:hint="eastAsia" w:ascii="宋体" w:hAnsi="宋体" w:cs="宋体"/>
          <w:szCs w:val="21"/>
        </w:rPr>
        <w:t>报价方式为在审计收费标准给出的数据的基础上按折扣率报价。（例如：打9折，报价为折扣率90%；打8.5折，报价为折扣率 85%；打 8 折，报价为折扣率 80%.以此类推）；</w:t>
      </w:r>
    </w:p>
    <w:p>
      <w:pPr>
        <w:pStyle w:val="4"/>
        <w:spacing w:line="360" w:lineRule="auto"/>
        <w:ind w:firstLine="420" w:firstLineChars="200"/>
        <w:rPr>
          <w:rFonts w:hint="eastAsia"/>
        </w:rPr>
      </w:pPr>
      <w:r>
        <w:rPr>
          <w:kern w:val="2"/>
          <w:sz w:val="21"/>
          <w:szCs w:val="21"/>
          <w:lang w:bidi="ar-SA"/>
        </w:rPr>
        <w:t>六、结算方式</w:t>
      </w:r>
    </w:p>
    <w:p>
      <w:pPr>
        <w:pStyle w:val="4"/>
        <w:spacing w:line="360" w:lineRule="auto"/>
        <w:ind w:firstLine="420" w:firstLineChars="200"/>
        <w:jc w:val="left"/>
        <w:rPr>
          <w:rFonts w:ascii="宋体" w:hAnsi="宋体" w:eastAsia="宋体" w:cs="宋体"/>
          <w:kern w:val="2"/>
          <w:sz w:val="21"/>
          <w:szCs w:val="21"/>
          <w:lang w:bidi="ar-SA"/>
        </w:rPr>
      </w:pPr>
      <w:r>
        <w:rPr>
          <w:rFonts w:ascii="宋体" w:hAnsi="宋体" w:eastAsia="宋体" w:cs="宋体"/>
          <w:kern w:val="2"/>
          <w:sz w:val="21"/>
          <w:szCs w:val="21"/>
          <w:lang w:bidi="ar-SA"/>
        </w:rPr>
        <w:t>按项目结算，每个项目的审计服务费=按审计收费标准计算出来的服务费*成交折扣率。</w:t>
      </w:r>
    </w:p>
    <w:p>
      <w:pPr>
        <w:pStyle w:val="4"/>
        <w:spacing w:line="360" w:lineRule="auto"/>
        <w:ind w:firstLine="420" w:firstLineChars="200"/>
        <w:jc w:val="left"/>
        <w:rPr>
          <w:rFonts w:ascii="宋体" w:hAnsi="宋体" w:eastAsia="宋体"/>
          <w:b w:val="0"/>
          <w:bCs w:val="0"/>
          <w:kern w:val="2"/>
          <w:lang w:bidi="ar-SA"/>
        </w:rPr>
      </w:pPr>
      <w:r>
        <w:rPr>
          <w:rFonts w:hint="eastAsia"/>
          <w:kern w:val="2"/>
          <w:sz w:val="21"/>
          <w:szCs w:val="21"/>
          <w:lang w:bidi="ar-SA"/>
        </w:rPr>
        <w:t>七、付款方式</w:t>
      </w:r>
    </w:p>
    <w:p>
      <w:pPr>
        <w:pStyle w:val="4"/>
        <w:spacing w:line="360" w:lineRule="auto"/>
        <w:ind w:firstLine="422" w:firstLineChars="200"/>
        <w:jc w:val="left"/>
        <w:rPr>
          <w:rStyle w:val="17"/>
          <w:rFonts w:hint="eastAsia" w:ascii="Calibri" w:hAnsi="Calibri" w:eastAsia="宋体"/>
          <w:b/>
          <w:bCs/>
        </w:rPr>
      </w:pPr>
      <w:r>
        <w:rPr>
          <w:rStyle w:val="17"/>
          <w:rFonts w:hint="eastAsia" w:ascii="Calibri" w:hAnsi="Calibri" w:eastAsia="宋体"/>
          <w:b/>
          <w:bCs/>
        </w:rPr>
        <w:t>由</w:t>
      </w:r>
      <w:r>
        <w:rPr>
          <w:rStyle w:val="17"/>
          <w:rFonts w:hint="eastAsia" w:ascii="Calibri" w:hAnsi="Calibri"/>
          <w:b/>
          <w:bCs/>
          <w:lang w:eastAsia="zh-CN"/>
        </w:rPr>
        <w:t>采购人</w:t>
      </w:r>
      <w:r>
        <w:rPr>
          <w:rStyle w:val="17"/>
          <w:rFonts w:hint="eastAsia" w:ascii="Calibri" w:hAnsi="Calibri" w:eastAsia="宋体"/>
          <w:b/>
          <w:bCs/>
        </w:rPr>
        <w:t>按下列程序付款：</w:t>
      </w:r>
    </w:p>
    <w:p>
      <w:pPr>
        <w:pStyle w:val="4"/>
        <w:spacing w:line="360" w:lineRule="auto"/>
        <w:ind w:firstLine="422" w:firstLineChars="200"/>
        <w:jc w:val="left"/>
        <w:rPr>
          <w:rStyle w:val="17"/>
          <w:rFonts w:hint="eastAsia" w:ascii="Calibri" w:hAnsi="Calibri" w:eastAsia="宋体"/>
          <w:b/>
          <w:bCs/>
        </w:rPr>
      </w:pPr>
      <w:r>
        <w:rPr>
          <w:rStyle w:val="17"/>
          <w:rFonts w:hint="eastAsia" w:ascii="Calibri" w:hAnsi="Calibri" w:cs="Times New Roman"/>
          <w:b/>
          <w:bCs/>
          <w:lang w:val="en-US" w:eastAsia="zh-CN"/>
        </w:rPr>
        <w:t>1、</w:t>
      </w:r>
      <w:r>
        <w:rPr>
          <w:rStyle w:val="17"/>
          <w:rFonts w:hint="eastAsia" w:ascii="Calibri" w:hAnsi="Calibri"/>
          <w:b/>
          <w:bCs/>
          <w:lang w:eastAsia="zh-CN"/>
        </w:rPr>
        <w:t>中标人</w:t>
      </w:r>
      <w:r>
        <w:rPr>
          <w:rStyle w:val="17"/>
          <w:rFonts w:hint="eastAsia" w:ascii="Calibri" w:hAnsi="Calibri" w:eastAsia="宋体"/>
          <w:b/>
          <w:bCs/>
        </w:rPr>
        <w:t>完成项目全部工作，并经</w:t>
      </w:r>
      <w:r>
        <w:rPr>
          <w:rStyle w:val="17"/>
          <w:rFonts w:hint="eastAsia" w:ascii="Calibri" w:hAnsi="Calibri"/>
          <w:b/>
          <w:bCs/>
          <w:lang w:eastAsia="zh-CN"/>
        </w:rPr>
        <w:t>采购人</w:t>
      </w:r>
      <w:r>
        <w:rPr>
          <w:rStyle w:val="17"/>
          <w:rFonts w:hint="eastAsia" w:ascii="Calibri" w:hAnsi="Calibri" w:eastAsia="宋体"/>
          <w:b/>
          <w:bCs/>
        </w:rPr>
        <w:t>验收确认后，</w:t>
      </w:r>
      <w:r>
        <w:rPr>
          <w:rStyle w:val="17"/>
          <w:rFonts w:hint="eastAsia" w:ascii="Calibri" w:hAnsi="Calibri"/>
          <w:b/>
          <w:bCs/>
          <w:lang w:eastAsia="zh-CN"/>
        </w:rPr>
        <w:t>中标人</w:t>
      </w:r>
      <w:r>
        <w:rPr>
          <w:rStyle w:val="17"/>
          <w:rFonts w:hint="eastAsia" w:ascii="Calibri" w:hAnsi="Calibri" w:eastAsia="宋体"/>
          <w:b/>
          <w:bCs/>
        </w:rPr>
        <w:t>向</w:t>
      </w:r>
      <w:r>
        <w:rPr>
          <w:rStyle w:val="17"/>
          <w:rFonts w:hint="eastAsia" w:ascii="Calibri" w:hAnsi="Calibri"/>
          <w:b/>
          <w:bCs/>
          <w:lang w:eastAsia="zh-CN"/>
        </w:rPr>
        <w:t>采购人</w:t>
      </w:r>
      <w:r>
        <w:rPr>
          <w:rStyle w:val="17"/>
          <w:rFonts w:hint="eastAsia" w:ascii="Calibri" w:hAnsi="Calibri" w:eastAsia="宋体"/>
          <w:b/>
          <w:bCs/>
        </w:rPr>
        <w:t>开具合法有效的全额增值税发票，</w:t>
      </w:r>
      <w:r>
        <w:rPr>
          <w:rStyle w:val="17"/>
          <w:rFonts w:hint="eastAsia" w:ascii="Calibri" w:hAnsi="Calibri"/>
          <w:b/>
          <w:bCs/>
          <w:lang w:eastAsia="zh-CN"/>
        </w:rPr>
        <w:t>采购人</w:t>
      </w:r>
      <w:r>
        <w:rPr>
          <w:rStyle w:val="17"/>
          <w:rFonts w:hint="eastAsia" w:ascii="Calibri" w:hAnsi="Calibri" w:eastAsia="宋体"/>
          <w:b/>
          <w:bCs/>
        </w:rPr>
        <w:t>收到发票后30个工作日内支付合同金额。</w:t>
      </w:r>
    </w:p>
    <w:p>
      <w:pPr>
        <w:pStyle w:val="4"/>
        <w:spacing w:line="360" w:lineRule="auto"/>
        <w:ind w:firstLine="422"/>
        <w:jc w:val="left"/>
        <w:rPr>
          <w:rStyle w:val="17"/>
          <w:rFonts w:ascii="Calibri" w:hAnsi="Calibri" w:cs="Times New Roman"/>
          <w:b/>
          <w:bCs/>
        </w:rPr>
      </w:pPr>
      <w:r>
        <w:rPr>
          <w:rStyle w:val="17"/>
          <w:rFonts w:ascii="Calibri" w:hAnsi="Calibri" w:cs="Times New Roman"/>
          <w:b/>
          <w:bCs/>
        </w:rPr>
        <w:t>2、</w:t>
      </w:r>
      <w:r>
        <w:rPr>
          <w:rStyle w:val="17"/>
          <w:rFonts w:hint="eastAsia" w:ascii="Calibri" w:hAnsi="Calibri" w:cs="Times New Roman"/>
          <w:b/>
          <w:bCs/>
          <w:lang w:eastAsia="zh-CN"/>
        </w:rPr>
        <w:t>中标人</w:t>
      </w:r>
      <w:r>
        <w:rPr>
          <w:rStyle w:val="17"/>
          <w:rFonts w:hint="eastAsia" w:ascii="Calibri" w:hAnsi="Calibri" w:cs="Times New Roman"/>
          <w:b/>
          <w:bCs/>
        </w:rPr>
        <w:t>向</w:t>
      </w:r>
      <w:r>
        <w:rPr>
          <w:rStyle w:val="17"/>
          <w:rFonts w:hint="eastAsia" w:ascii="Calibri" w:hAnsi="Calibri" w:cs="Times New Roman"/>
          <w:b/>
          <w:bCs/>
          <w:lang w:eastAsia="zh-CN"/>
        </w:rPr>
        <w:t>采购人</w:t>
      </w:r>
      <w:r>
        <w:rPr>
          <w:rStyle w:val="17"/>
          <w:rFonts w:hint="eastAsia" w:ascii="Calibri" w:hAnsi="Calibri" w:cs="Times New Roman"/>
          <w:b/>
          <w:bCs/>
        </w:rPr>
        <w:t>提出支付申请的同时应向</w:t>
      </w:r>
      <w:r>
        <w:rPr>
          <w:rStyle w:val="17"/>
          <w:rFonts w:hint="eastAsia" w:ascii="Calibri" w:hAnsi="Calibri" w:cs="Times New Roman"/>
          <w:b/>
          <w:bCs/>
          <w:lang w:eastAsia="zh-CN"/>
        </w:rPr>
        <w:t>采购人</w:t>
      </w:r>
      <w:r>
        <w:rPr>
          <w:rStyle w:val="17"/>
          <w:rFonts w:hint="eastAsia" w:ascii="Calibri" w:hAnsi="Calibri" w:cs="Times New Roman"/>
          <w:b/>
          <w:bCs/>
        </w:rPr>
        <w:t>开具同等金额有效的增值税发票，如</w:t>
      </w:r>
      <w:r>
        <w:rPr>
          <w:rStyle w:val="17"/>
          <w:rFonts w:hint="eastAsia" w:ascii="Calibri" w:hAnsi="Calibri" w:cs="Times New Roman"/>
          <w:b/>
          <w:bCs/>
          <w:lang w:eastAsia="zh-CN"/>
        </w:rPr>
        <w:t>中标人</w:t>
      </w:r>
      <w:r>
        <w:rPr>
          <w:rStyle w:val="17"/>
          <w:rFonts w:hint="eastAsia" w:ascii="Calibri" w:hAnsi="Calibri" w:cs="Times New Roman"/>
          <w:b/>
          <w:bCs/>
        </w:rPr>
        <w:t>未能按时提交合法有效发票，</w:t>
      </w:r>
      <w:r>
        <w:rPr>
          <w:rStyle w:val="17"/>
          <w:rFonts w:hint="eastAsia" w:ascii="Calibri" w:hAnsi="Calibri" w:cs="Times New Roman"/>
          <w:b/>
          <w:bCs/>
          <w:lang w:eastAsia="zh-CN"/>
        </w:rPr>
        <w:t>采购人</w:t>
      </w:r>
      <w:r>
        <w:rPr>
          <w:rStyle w:val="17"/>
          <w:rFonts w:hint="eastAsia" w:ascii="Calibri" w:hAnsi="Calibri" w:cs="Times New Roman"/>
          <w:b/>
          <w:bCs/>
        </w:rPr>
        <w:t>有权拒绝付款</w:t>
      </w:r>
      <w:r>
        <w:rPr>
          <w:rStyle w:val="17"/>
          <w:rFonts w:ascii="Calibri" w:hAnsi="Calibri" w:cs="Times New Roman"/>
          <w:b/>
          <w:bCs/>
        </w:rPr>
        <w:t>，且</w:t>
      </w:r>
      <w:r>
        <w:rPr>
          <w:rStyle w:val="17"/>
          <w:rFonts w:hint="eastAsia" w:ascii="Calibri" w:hAnsi="Calibri" w:cs="Times New Roman"/>
          <w:b/>
          <w:bCs/>
          <w:lang w:eastAsia="zh-CN"/>
        </w:rPr>
        <w:t>中标人</w:t>
      </w:r>
      <w:r>
        <w:rPr>
          <w:rStyle w:val="17"/>
          <w:rFonts w:ascii="Calibri" w:hAnsi="Calibri" w:cs="Times New Roman"/>
          <w:b/>
          <w:bCs/>
        </w:rPr>
        <w:t>仍需按本合同约定履行各项义务</w:t>
      </w:r>
      <w:r>
        <w:rPr>
          <w:rStyle w:val="17"/>
          <w:rFonts w:hint="eastAsia" w:ascii="Calibri" w:hAnsi="Calibri" w:cs="Times New Roman"/>
          <w:b/>
          <w:bCs/>
        </w:rPr>
        <w:t>。</w:t>
      </w:r>
    </w:p>
    <w:p>
      <w:pPr>
        <w:pStyle w:val="4"/>
        <w:spacing w:line="360" w:lineRule="auto"/>
        <w:ind w:firstLine="422"/>
        <w:jc w:val="left"/>
        <w:rPr>
          <w:rStyle w:val="17"/>
          <w:rFonts w:ascii="Calibri" w:hAnsi="Calibri" w:cs="Times New Roman"/>
          <w:b/>
          <w:bCs/>
        </w:rPr>
      </w:pPr>
      <w:r>
        <w:rPr>
          <w:rStyle w:val="17"/>
          <w:rFonts w:ascii="Calibri" w:hAnsi="Calibri" w:cs="Times New Roman"/>
          <w:b/>
          <w:bCs/>
        </w:rPr>
        <w:t>3、因</w:t>
      </w:r>
      <w:r>
        <w:rPr>
          <w:rStyle w:val="17"/>
          <w:rFonts w:hint="eastAsia" w:ascii="Calibri" w:hAnsi="Calibri" w:cs="Times New Roman"/>
          <w:b/>
          <w:bCs/>
          <w:lang w:eastAsia="zh-CN"/>
        </w:rPr>
        <w:t>采购人</w:t>
      </w:r>
      <w:r>
        <w:rPr>
          <w:rStyle w:val="17"/>
          <w:rFonts w:ascii="Calibri" w:hAnsi="Calibri" w:cs="Times New Roman"/>
          <w:b/>
          <w:bCs/>
        </w:rPr>
        <w:t>使用财政资金付款，需执行财政国库集中支付制度及单位内部资金支付管理审批等有关规定。</w:t>
      </w:r>
      <w:r>
        <w:rPr>
          <w:rStyle w:val="17"/>
          <w:rFonts w:hint="eastAsia" w:ascii="Calibri" w:hAnsi="Calibri" w:cs="Times New Roman"/>
          <w:b/>
          <w:bCs/>
          <w:lang w:eastAsia="zh-CN"/>
        </w:rPr>
        <w:t>中标人</w:t>
      </w:r>
      <w:r>
        <w:rPr>
          <w:rStyle w:val="17"/>
          <w:rFonts w:ascii="Calibri" w:hAnsi="Calibri" w:cs="Times New Roman"/>
          <w:b/>
          <w:bCs/>
        </w:rPr>
        <w:t>同意如因财政支付审查、财政支付管理流程、预算下达及单位内部支付审批流程等非</w:t>
      </w:r>
      <w:r>
        <w:rPr>
          <w:rStyle w:val="17"/>
          <w:rFonts w:hint="eastAsia" w:ascii="Calibri" w:hAnsi="Calibri" w:cs="Times New Roman"/>
          <w:b/>
          <w:bCs/>
          <w:lang w:eastAsia="zh-CN"/>
        </w:rPr>
        <w:t>采购人</w:t>
      </w:r>
      <w:r>
        <w:rPr>
          <w:rStyle w:val="17"/>
          <w:rFonts w:ascii="Calibri" w:hAnsi="Calibri" w:cs="Times New Roman"/>
          <w:b/>
          <w:bCs/>
        </w:rPr>
        <w:t>主观原因导致合同价款实际到达</w:t>
      </w:r>
      <w:r>
        <w:rPr>
          <w:rStyle w:val="17"/>
          <w:rFonts w:hint="eastAsia" w:ascii="Calibri" w:hAnsi="Calibri" w:cs="Times New Roman"/>
          <w:b/>
          <w:bCs/>
          <w:lang w:eastAsia="zh-CN"/>
        </w:rPr>
        <w:t>中标人</w:t>
      </w:r>
      <w:r>
        <w:rPr>
          <w:rStyle w:val="17"/>
          <w:rFonts w:ascii="Calibri" w:hAnsi="Calibri" w:cs="Times New Roman"/>
          <w:b/>
          <w:bCs/>
        </w:rPr>
        <w:t>账户时间延迟的，</w:t>
      </w:r>
      <w:r>
        <w:rPr>
          <w:rStyle w:val="17"/>
          <w:rFonts w:hint="eastAsia" w:ascii="Calibri" w:hAnsi="Calibri" w:cs="Times New Roman"/>
          <w:b/>
          <w:bCs/>
          <w:lang w:eastAsia="zh-CN"/>
        </w:rPr>
        <w:t>采购人</w:t>
      </w:r>
      <w:r>
        <w:rPr>
          <w:rStyle w:val="17"/>
          <w:rFonts w:ascii="Calibri" w:hAnsi="Calibri" w:cs="Times New Roman"/>
          <w:b/>
          <w:bCs/>
        </w:rPr>
        <w:t>不承担延迟付款的违约责任，</w:t>
      </w:r>
      <w:r>
        <w:rPr>
          <w:rStyle w:val="17"/>
          <w:rFonts w:hint="eastAsia" w:ascii="Calibri" w:hAnsi="Calibri" w:cs="Times New Roman"/>
          <w:b/>
          <w:bCs/>
          <w:lang w:eastAsia="zh-CN"/>
        </w:rPr>
        <w:t>中标人</w:t>
      </w:r>
      <w:r>
        <w:rPr>
          <w:rStyle w:val="17"/>
          <w:rFonts w:ascii="Calibri" w:hAnsi="Calibri" w:cs="Times New Roman"/>
          <w:b/>
          <w:bCs/>
        </w:rPr>
        <w:t>不得以此为由迟延履行或不履行合同义务。</w:t>
      </w:r>
    </w:p>
    <w:p>
      <w:pPr>
        <w:adjustRightInd w:val="0"/>
        <w:snapToGrid w:val="0"/>
        <w:spacing w:line="360" w:lineRule="auto"/>
        <w:ind w:firstLine="0" w:firstLineChars="0"/>
        <w:rPr>
          <w:rFonts w:ascii="宋体" w:hAnsi="宋体" w:cs="仿宋_GB2312"/>
          <w:szCs w:val="21"/>
        </w:rPr>
      </w:pPr>
    </w:p>
    <w:p>
      <w:pPr>
        <w:adjustRightInd w:val="0"/>
        <w:snapToGrid w:val="0"/>
        <w:spacing w:line="360" w:lineRule="auto"/>
        <w:rPr>
          <w:rFonts w:ascii="宋体" w:hAnsi="宋体" w:cs="仿宋_GB2312"/>
          <w:szCs w:val="21"/>
        </w:rPr>
      </w:pPr>
    </w:p>
    <w:p>
      <w:pPr>
        <w:adjustRightInd w:val="0"/>
        <w:snapToGrid w:val="0"/>
        <w:spacing w:line="360" w:lineRule="auto"/>
        <w:ind w:firstLine="420" w:firstLineChars="200"/>
        <w:jc w:val="center"/>
        <w:rPr>
          <w:rFonts w:hint="eastAsia" w:ascii="宋体" w:hAnsi="宋体"/>
          <w:b/>
          <w:sz w:val="32"/>
          <w:szCs w:val="32"/>
        </w:rPr>
      </w:pPr>
      <w:r>
        <w:rPr>
          <w:rFonts w:ascii="宋体" w:hAnsi="宋体" w:cs="仿宋_GB2312"/>
          <w:szCs w:val="21"/>
        </w:rPr>
        <w:br w:type="page"/>
      </w:r>
      <w:r>
        <w:rPr>
          <w:rFonts w:hint="eastAsia" w:ascii="黑体" w:hAnsi="黑体" w:eastAsia="黑体" w:cs="黑体"/>
          <w:kern w:val="0"/>
          <w:sz w:val="32"/>
          <w:szCs w:val="32"/>
        </w:rPr>
        <w:t>第四部分  评审办法</w:t>
      </w:r>
    </w:p>
    <w:p>
      <w:pPr>
        <w:pStyle w:val="2"/>
        <w:rPr>
          <w:rFonts w:hint="eastAsia"/>
        </w:rPr>
      </w:pPr>
    </w:p>
    <w:p>
      <w:pPr>
        <w:widowControl/>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一、评审与定评</w:t>
      </w:r>
    </w:p>
    <w:p>
      <w:pPr>
        <w:widowControl/>
        <w:numPr>
          <w:ilvl w:val="0"/>
          <w:numId w:val="4"/>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当通过资格、符合性审查的</w:t>
      </w:r>
      <w:r>
        <w:rPr>
          <w:rFonts w:hint="eastAsia" w:ascii="宋体" w:hAnsi="宋体" w:cs="宋体"/>
          <w:kern w:val="28"/>
          <w:szCs w:val="21"/>
        </w:rPr>
        <w:t>参评</w:t>
      </w:r>
      <w:r>
        <w:rPr>
          <w:rFonts w:hint="eastAsia" w:ascii="宋体" w:hAnsi="宋体" w:cs="宋体"/>
          <w:kern w:val="0"/>
          <w:szCs w:val="21"/>
        </w:rPr>
        <w:t>人不少于三家时，按照评审程序的规定和依据评分标准、计算方法，各评委单独封闭对每个</w:t>
      </w:r>
      <w:r>
        <w:rPr>
          <w:rFonts w:hint="eastAsia" w:ascii="宋体" w:hAnsi="宋体" w:cs="宋体"/>
          <w:kern w:val="28"/>
          <w:szCs w:val="21"/>
        </w:rPr>
        <w:t>参评</w:t>
      </w:r>
      <w:r>
        <w:rPr>
          <w:rFonts w:hint="eastAsia" w:ascii="宋体" w:hAnsi="宋体" w:cs="宋体"/>
          <w:kern w:val="0"/>
          <w:szCs w:val="21"/>
        </w:rPr>
        <w:t>人进行评审和比较。</w:t>
      </w:r>
    </w:p>
    <w:p>
      <w:pPr>
        <w:widowControl/>
        <w:numPr>
          <w:ilvl w:val="0"/>
          <w:numId w:val="4"/>
        </w:numPr>
        <w:tabs>
          <w:tab w:val="left" w:pos="720"/>
        </w:tabs>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成交人资格的确定，由评审小组推荐，并由采购人确认。</w:t>
      </w:r>
    </w:p>
    <w:p>
      <w:pPr>
        <w:widowControl/>
        <w:numPr>
          <w:ilvl w:val="0"/>
          <w:numId w:val="4"/>
        </w:numPr>
        <w:tabs>
          <w:tab w:val="left" w:pos="720"/>
        </w:tabs>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比较与评价。评审小组</w:t>
      </w:r>
      <w:r>
        <w:rPr>
          <w:rFonts w:hint="eastAsia" w:ascii="宋体" w:hAnsi="宋体"/>
          <w:color w:val="000000"/>
          <w:szCs w:val="21"/>
        </w:rPr>
        <w:t>按遴选文件中规定的评审方法和标准，对资格审查和符合性审查合格的</w:t>
      </w:r>
      <w:r>
        <w:rPr>
          <w:rFonts w:hint="eastAsia" w:ascii="宋体" w:hAnsi="宋体" w:cs="宋体"/>
          <w:color w:val="000000"/>
          <w:kern w:val="28"/>
          <w:szCs w:val="21"/>
        </w:rPr>
        <w:t>参评</w:t>
      </w:r>
      <w:r>
        <w:rPr>
          <w:rFonts w:hint="eastAsia" w:ascii="宋体" w:hAnsi="宋体"/>
          <w:color w:val="000000"/>
          <w:szCs w:val="21"/>
        </w:rPr>
        <w:t>文件进行商务和技术评估，综合比较与评价。资格及符合性、价格、技术、商务部分分值分配如下</w:t>
      </w:r>
      <w:r>
        <w:rPr>
          <w:rFonts w:hint="eastAsia" w:ascii="宋体" w:hAnsi="宋体" w:cs="宋体"/>
          <w:color w:val="000000"/>
          <w:kern w:val="0"/>
          <w:szCs w:val="21"/>
        </w:rPr>
        <w:t>：</w:t>
      </w:r>
    </w:p>
    <w:tbl>
      <w:tblPr>
        <w:tblStyle w:val="15"/>
        <w:tblW w:w="7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660"/>
        <w:gridCol w:w="1660"/>
        <w:gridCol w:w="1585"/>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shd w:val="clear" w:color="auto" w:fill="EAEAEA"/>
            <w:noWrap w:val="0"/>
            <w:vAlign w:val="center"/>
          </w:tcPr>
          <w:p>
            <w:pPr>
              <w:autoSpaceDE w:val="0"/>
              <w:autoSpaceDN w:val="0"/>
              <w:adjustRightInd w:val="0"/>
              <w:jc w:val="center"/>
              <w:rPr>
                <w:rFonts w:hint="eastAsia" w:ascii="宋体" w:hAnsi="宋体" w:cs="宋体"/>
                <w:b/>
                <w:color w:val="000000"/>
                <w:kern w:val="0"/>
                <w:szCs w:val="21"/>
              </w:rPr>
            </w:pPr>
            <w:r>
              <w:rPr>
                <w:rFonts w:hint="eastAsia" w:ascii="宋体" w:hAnsi="宋体" w:cs="宋体"/>
                <w:b/>
                <w:color w:val="000000"/>
                <w:kern w:val="0"/>
                <w:szCs w:val="21"/>
              </w:rPr>
              <w:t>评分项目</w:t>
            </w:r>
          </w:p>
        </w:tc>
        <w:tc>
          <w:tcPr>
            <w:tcW w:w="1660" w:type="dxa"/>
            <w:shd w:val="clear" w:color="auto" w:fill="EAEAEA"/>
            <w:noWrap w:val="0"/>
            <w:vAlign w:val="center"/>
          </w:tcPr>
          <w:p>
            <w:pPr>
              <w:autoSpaceDE w:val="0"/>
              <w:autoSpaceDN w:val="0"/>
              <w:adjustRightInd w:val="0"/>
              <w:jc w:val="center"/>
              <w:rPr>
                <w:rFonts w:hint="eastAsia" w:ascii="宋体" w:hAnsi="宋体" w:cs="宋体"/>
                <w:b/>
                <w:color w:val="000000"/>
                <w:kern w:val="0"/>
                <w:szCs w:val="21"/>
              </w:rPr>
            </w:pPr>
            <w:r>
              <w:rPr>
                <w:rFonts w:hint="eastAsia" w:ascii="宋体" w:hAnsi="宋体" w:cs="宋体"/>
                <w:b/>
                <w:color w:val="000000"/>
                <w:kern w:val="0"/>
                <w:szCs w:val="21"/>
              </w:rPr>
              <w:t>价格评分</w:t>
            </w:r>
          </w:p>
        </w:tc>
        <w:tc>
          <w:tcPr>
            <w:tcW w:w="1660" w:type="dxa"/>
            <w:shd w:val="clear" w:color="auto" w:fill="EAEAEA"/>
            <w:noWrap w:val="0"/>
            <w:vAlign w:val="center"/>
          </w:tcPr>
          <w:p>
            <w:pPr>
              <w:autoSpaceDE w:val="0"/>
              <w:autoSpaceDN w:val="0"/>
              <w:adjustRightInd w:val="0"/>
              <w:jc w:val="center"/>
              <w:rPr>
                <w:rFonts w:hint="eastAsia" w:ascii="宋体" w:hAnsi="宋体" w:cs="宋体"/>
                <w:b/>
                <w:color w:val="000000"/>
                <w:kern w:val="0"/>
                <w:szCs w:val="21"/>
              </w:rPr>
            </w:pPr>
            <w:r>
              <w:rPr>
                <w:rFonts w:hint="eastAsia" w:ascii="宋体" w:hAnsi="宋体" w:cs="宋体"/>
                <w:b/>
                <w:color w:val="000000"/>
                <w:kern w:val="0"/>
                <w:szCs w:val="21"/>
              </w:rPr>
              <w:t>技术评分</w:t>
            </w:r>
          </w:p>
        </w:tc>
        <w:tc>
          <w:tcPr>
            <w:tcW w:w="1585" w:type="dxa"/>
            <w:shd w:val="clear" w:color="auto" w:fill="EAEAEA"/>
            <w:noWrap w:val="0"/>
            <w:vAlign w:val="center"/>
          </w:tcPr>
          <w:p>
            <w:pPr>
              <w:autoSpaceDE w:val="0"/>
              <w:autoSpaceDN w:val="0"/>
              <w:adjustRightInd w:val="0"/>
              <w:ind w:left="1" w:leftChars="-51" w:hanging="108" w:hangingChars="51"/>
              <w:jc w:val="center"/>
              <w:rPr>
                <w:rFonts w:hint="eastAsia" w:ascii="宋体" w:hAnsi="宋体" w:cs="宋体"/>
                <w:b/>
                <w:color w:val="000000"/>
                <w:kern w:val="0"/>
                <w:szCs w:val="21"/>
              </w:rPr>
            </w:pPr>
            <w:r>
              <w:rPr>
                <w:rFonts w:hint="eastAsia" w:ascii="宋体" w:hAnsi="宋体" w:cs="宋体"/>
                <w:b/>
                <w:color w:val="000000"/>
                <w:kern w:val="0"/>
                <w:szCs w:val="21"/>
              </w:rPr>
              <w:t>商务评分</w:t>
            </w:r>
          </w:p>
        </w:tc>
        <w:tc>
          <w:tcPr>
            <w:tcW w:w="1359" w:type="dxa"/>
            <w:shd w:val="clear" w:color="auto" w:fill="EAEAEA"/>
            <w:noWrap w:val="0"/>
            <w:vAlign w:val="center"/>
          </w:tcPr>
          <w:p>
            <w:pPr>
              <w:autoSpaceDE w:val="0"/>
              <w:autoSpaceDN w:val="0"/>
              <w:adjustRightInd w:val="0"/>
              <w:ind w:left="1" w:leftChars="-51" w:hanging="108" w:hangingChars="51"/>
              <w:jc w:val="center"/>
              <w:rPr>
                <w:rFonts w:hint="eastAsia" w:ascii="宋体" w:hAnsi="宋体" w:cs="宋体"/>
                <w:b/>
                <w:color w:val="000000"/>
                <w:kern w:val="0"/>
                <w:szCs w:val="21"/>
              </w:rPr>
            </w:pPr>
            <w:r>
              <w:rPr>
                <w:rFonts w:hint="eastAsia" w:ascii="宋体" w:hAnsi="宋体" w:cs="宋体"/>
                <w:b/>
                <w:color w:val="000000"/>
                <w:kern w:val="0"/>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分值</w:t>
            </w:r>
          </w:p>
        </w:tc>
        <w:tc>
          <w:tcPr>
            <w:tcW w:w="1660" w:type="dxa"/>
            <w:noWrap w:val="0"/>
            <w:vAlign w:val="center"/>
          </w:tcPr>
          <w:p>
            <w:pPr>
              <w:autoSpaceDE w:val="0"/>
              <w:autoSpaceDN w:val="0"/>
              <w:adjustRightInd w:val="0"/>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0分</w:t>
            </w:r>
          </w:p>
        </w:tc>
        <w:tc>
          <w:tcPr>
            <w:tcW w:w="1660"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0</w:t>
            </w:r>
            <w:r>
              <w:rPr>
                <w:rFonts w:hint="eastAsia" w:ascii="宋体" w:hAnsi="宋体" w:cs="宋体"/>
                <w:color w:val="000000"/>
                <w:kern w:val="0"/>
                <w:szCs w:val="21"/>
              </w:rPr>
              <w:t>分</w:t>
            </w:r>
          </w:p>
        </w:tc>
        <w:tc>
          <w:tcPr>
            <w:tcW w:w="1585" w:type="dxa"/>
            <w:noWrap w:val="0"/>
            <w:vAlign w:val="center"/>
          </w:tcPr>
          <w:p>
            <w:pPr>
              <w:autoSpaceDE w:val="0"/>
              <w:autoSpaceDN w:val="0"/>
              <w:adjustRightInd w:val="0"/>
              <w:jc w:val="center"/>
              <w:rPr>
                <w:rFonts w:hint="eastAsia" w:ascii="宋体" w:hAnsi="宋体" w:cs="宋体"/>
                <w:color w:val="000000"/>
                <w:kern w:val="0"/>
                <w:szCs w:val="21"/>
              </w:rPr>
            </w:pPr>
            <w:r>
              <w:rPr>
                <w:rFonts w:ascii="宋体" w:hAnsi="宋体" w:cs="宋体"/>
                <w:color w:val="000000"/>
                <w:kern w:val="0"/>
                <w:szCs w:val="21"/>
              </w:rPr>
              <w:t>40</w:t>
            </w:r>
            <w:r>
              <w:rPr>
                <w:rFonts w:hint="eastAsia" w:ascii="宋体" w:hAnsi="宋体" w:cs="宋体"/>
                <w:color w:val="000000"/>
                <w:kern w:val="0"/>
                <w:szCs w:val="21"/>
              </w:rPr>
              <w:t>分</w:t>
            </w:r>
          </w:p>
        </w:tc>
        <w:tc>
          <w:tcPr>
            <w:tcW w:w="1359" w:type="dxa"/>
            <w:noWrap w:val="0"/>
            <w:vAlign w:val="center"/>
          </w:tcPr>
          <w:p>
            <w:pPr>
              <w:autoSpaceDE w:val="0"/>
              <w:autoSpaceDN w:val="0"/>
              <w:adjustRightInd w:val="0"/>
              <w:ind w:leftChars="-51" w:hanging="107" w:hangingChars="51"/>
              <w:jc w:val="center"/>
              <w:rPr>
                <w:rFonts w:hint="eastAsia" w:ascii="宋体" w:hAnsi="宋体" w:cs="宋体"/>
                <w:color w:val="000000"/>
                <w:kern w:val="0"/>
                <w:szCs w:val="21"/>
              </w:rPr>
            </w:pPr>
            <w:r>
              <w:rPr>
                <w:rFonts w:hint="eastAsia" w:ascii="宋体" w:hAnsi="宋体" w:cs="宋体"/>
                <w:color w:val="000000"/>
                <w:kern w:val="0"/>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权重</w:t>
            </w:r>
          </w:p>
        </w:tc>
        <w:tc>
          <w:tcPr>
            <w:tcW w:w="1660" w:type="dxa"/>
            <w:noWrap w:val="0"/>
            <w:vAlign w:val="center"/>
          </w:tcPr>
          <w:p>
            <w:pPr>
              <w:autoSpaceDE w:val="0"/>
              <w:autoSpaceDN w:val="0"/>
              <w:adjustRightInd w:val="0"/>
              <w:jc w:val="cente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w:t>
            </w:r>
          </w:p>
        </w:tc>
        <w:tc>
          <w:tcPr>
            <w:tcW w:w="1660"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0</w:t>
            </w:r>
            <w:r>
              <w:rPr>
                <w:rFonts w:hint="eastAsia" w:ascii="宋体" w:hAnsi="宋体" w:cs="宋体"/>
                <w:color w:val="000000"/>
                <w:kern w:val="0"/>
                <w:szCs w:val="21"/>
              </w:rPr>
              <w:t>%</w:t>
            </w:r>
          </w:p>
        </w:tc>
        <w:tc>
          <w:tcPr>
            <w:tcW w:w="1585" w:type="dxa"/>
            <w:noWrap w:val="0"/>
            <w:vAlign w:val="center"/>
          </w:tcPr>
          <w:p>
            <w:pPr>
              <w:autoSpaceDE w:val="0"/>
              <w:autoSpaceDN w:val="0"/>
              <w:adjustRightInd w:val="0"/>
              <w:jc w:val="center"/>
              <w:rPr>
                <w:rFonts w:hint="eastAsia"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0</w:t>
            </w:r>
            <w:r>
              <w:rPr>
                <w:rFonts w:hint="eastAsia" w:ascii="宋体" w:hAnsi="宋体" w:cs="宋体"/>
                <w:color w:val="000000"/>
                <w:kern w:val="0"/>
                <w:szCs w:val="21"/>
              </w:rPr>
              <w:t>%</w:t>
            </w:r>
          </w:p>
        </w:tc>
        <w:tc>
          <w:tcPr>
            <w:tcW w:w="1359" w:type="dxa"/>
            <w:noWrap w:val="0"/>
            <w:vAlign w:val="center"/>
          </w:tcPr>
          <w:p>
            <w:pPr>
              <w:autoSpaceDE w:val="0"/>
              <w:autoSpaceDN w:val="0"/>
              <w:adjustRightInd w:val="0"/>
              <w:jc w:val="center"/>
              <w:rPr>
                <w:rFonts w:hint="eastAsia" w:ascii="宋体" w:hAnsi="宋体" w:cs="宋体"/>
                <w:color w:val="000000"/>
                <w:kern w:val="0"/>
                <w:szCs w:val="21"/>
              </w:rPr>
            </w:pPr>
            <w:bookmarkStart w:id="4" w:name="_Toc225564544"/>
            <w:bookmarkStart w:id="5" w:name="_Toc215655096"/>
            <w:r>
              <w:rPr>
                <w:rFonts w:hint="eastAsia" w:ascii="宋体" w:hAnsi="宋体" w:cs="宋体"/>
                <w:color w:val="000000"/>
                <w:kern w:val="0"/>
                <w:szCs w:val="21"/>
              </w:rPr>
              <w:t>100</w:t>
            </w:r>
            <w:bookmarkEnd w:id="4"/>
            <w:bookmarkEnd w:id="5"/>
            <w:r>
              <w:rPr>
                <w:rFonts w:hint="eastAsia" w:ascii="宋体" w:hAnsi="宋体" w:cs="宋体"/>
                <w:color w:val="000000"/>
                <w:kern w:val="0"/>
                <w:szCs w:val="21"/>
              </w:rPr>
              <w:t>%</w:t>
            </w:r>
          </w:p>
        </w:tc>
      </w:tr>
    </w:tbl>
    <w:p>
      <w:pPr>
        <w:widowControl/>
        <w:numPr>
          <w:ilvl w:val="0"/>
          <w:numId w:val="4"/>
        </w:numPr>
        <w:tabs>
          <w:tab w:val="left" w:pos="720"/>
        </w:tabs>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价格评分</w:t>
      </w:r>
    </w:p>
    <w:p>
      <w:pPr>
        <w:widowControl/>
        <w:numPr>
          <w:ilvl w:val="0"/>
          <w:numId w:val="5"/>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由评审小组对所有参评文件的价格部分的响应进行审核和分析。</w:t>
      </w:r>
    </w:p>
    <w:p>
      <w:pPr>
        <w:widowControl/>
        <w:numPr>
          <w:ilvl w:val="0"/>
          <w:numId w:val="5"/>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基准价格分：以有效参评人中报价最低的参评报价为基准价，定其基准价格分为满分。</w:t>
      </w:r>
    </w:p>
    <w:p>
      <w:pPr>
        <w:widowControl/>
        <w:numPr>
          <w:ilvl w:val="0"/>
          <w:numId w:val="5"/>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参评人的价格得分</w:t>
      </w:r>
      <w:r>
        <w:rPr>
          <w:rFonts w:hint="eastAsia" w:ascii="宋体" w:hAnsi="宋体"/>
        </w:rPr>
        <w:t>=（评标基准价格/评标价格）×100×</w:t>
      </w:r>
      <w:r>
        <w:rPr>
          <w:rFonts w:hint="eastAsia" w:ascii="宋体" w:hAnsi="宋体" w:cs="宋体"/>
          <w:color w:val="000000"/>
          <w:kern w:val="0"/>
          <w:szCs w:val="21"/>
        </w:rPr>
        <w:t>权重</w:t>
      </w:r>
      <w:r>
        <w:rPr>
          <w:rFonts w:hint="eastAsia" w:ascii="宋体" w:hAnsi="宋体" w:cs="宋体"/>
          <w:kern w:val="0"/>
          <w:szCs w:val="21"/>
        </w:rPr>
        <w:t>（精确到小数点后两位）。由此算出每个参评人的“价格得分”。</w:t>
      </w:r>
    </w:p>
    <w:p>
      <w:pPr>
        <w:widowControl/>
        <w:numPr>
          <w:ilvl w:val="0"/>
          <w:numId w:val="5"/>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评委检查每个参评人的价格评分计算情况，确认“价格得分”。</w:t>
      </w:r>
    </w:p>
    <w:p>
      <w:pPr>
        <w:widowControl/>
        <w:numPr>
          <w:ilvl w:val="0"/>
          <w:numId w:val="4"/>
        </w:numPr>
        <w:tabs>
          <w:tab w:val="left" w:pos="720"/>
        </w:tabs>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技术评分</w:t>
      </w:r>
    </w:p>
    <w:p>
      <w:pPr>
        <w:widowControl/>
        <w:numPr>
          <w:ilvl w:val="0"/>
          <w:numId w:val="6"/>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由评审小组对所有</w:t>
      </w:r>
      <w:r>
        <w:rPr>
          <w:rFonts w:hint="eastAsia" w:ascii="宋体" w:hAnsi="宋体" w:cs="宋体"/>
          <w:kern w:val="28"/>
          <w:szCs w:val="21"/>
        </w:rPr>
        <w:t>参评</w:t>
      </w:r>
      <w:r>
        <w:rPr>
          <w:rFonts w:hint="eastAsia" w:ascii="宋体" w:hAnsi="宋体" w:cs="宋体"/>
          <w:kern w:val="0"/>
          <w:szCs w:val="21"/>
        </w:rPr>
        <w:t>文件的技术部分的响应进行审核和分析；</w:t>
      </w:r>
    </w:p>
    <w:p>
      <w:pPr>
        <w:widowControl/>
        <w:numPr>
          <w:ilvl w:val="0"/>
          <w:numId w:val="6"/>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评委独立进行评分，填写“技术评分表”；</w:t>
      </w:r>
    </w:p>
    <w:p>
      <w:pPr>
        <w:widowControl/>
        <w:numPr>
          <w:ilvl w:val="0"/>
          <w:numId w:val="6"/>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评分标准：按“技术评分表”中的分值进行评分；</w:t>
      </w:r>
    </w:p>
    <w:p>
      <w:pPr>
        <w:widowControl/>
        <w:numPr>
          <w:ilvl w:val="0"/>
          <w:numId w:val="6"/>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将每一个评委的评分汇集，取算术平均值（精确到小数点后两位）为该</w:t>
      </w:r>
      <w:r>
        <w:rPr>
          <w:rFonts w:hint="eastAsia" w:ascii="宋体" w:hAnsi="宋体" w:cs="宋体"/>
          <w:kern w:val="28"/>
          <w:szCs w:val="21"/>
        </w:rPr>
        <w:t>参评</w:t>
      </w:r>
      <w:r>
        <w:rPr>
          <w:rFonts w:hint="eastAsia" w:ascii="宋体" w:hAnsi="宋体" w:cs="宋体"/>
          <w:kern w:val="0"/>
          <w:szCs w:val="21"/>
        </w:rPr>
        <w:t>人的技术得分。</w:t>
      </w:r>
    </w:p>
    <w:p>
      <w:pPr>
        <w:widowControl/>
        <w:numPr>
          <w:ilvl w:val="0"/>
          <w:numId w:val="4"/>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商务评分</w:t>
      </w:r>
    </w:p>
    <w:p>
      <w:pPr>
        <w:widowControl/>
        <w:numPr>
          <w:ilvl w:val="0"/>
          <w:numId w:val="7"/>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由评审小组对所有参评文件的商务部分的响应进行审核和分析；</w:t>
      </w:r>
    </w:p>
    <w:p>
      <w:pPr>
        <w:widowControl/>
        <w:numPr>
          <w:ilvl w:val="0"/>
          <w:numId w:val="7"/>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评委独立进行评分，填写“商务评分表”；</w:t>
      </w:r>
    </w:p>
    <w:p>
      <w:pPr>
        <w:widowControl/>
        <w:numPr>
          <w:ilvl w:val="0"/>
          <w:numId w:val="7"/>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评分标准：按“商务评分表”中的分值进行评分；</w:t>
      </w:r>
    </w:p>
    <w:p>
      <w:pPr>
        <w:widowControl/>
        <w:numPr>
          <w:ilvl w:val="0"/>
          <w:numId w:val="7"/>
        </w:numPr>
        <w:tabs>
          <w:tab w:val="left" w:pos="720"/>
        </w:tabs>
        <w:snapToGrid w:val="0"/>
        <w:spacing w:line="360" w:lineRule="auto"/>
        <w:jc w:val="left"/>
        <w:rPr>
          <w:rFonts w:hint="eastAsia" w:ascii="宋体" w:hAnsi="宋体" w:cs="宋体"/>
          <w:kern w:val="0"/>
          <w:szCs w:val="21"/>
        </w:rPr>
      </w:pPr>
      <w:r>
        <w:rPr>
          <w:rFonts w:hint="eastAsia" w:ascii="宋体" w:hAnsi="宋体" w:cs="宋体"/>
          <w:kern w:val="0"/>
          <w:szCs w:val="21"/>
        </w:rPr>
        <w:t>将每一个评委的评分汇集，取算术平均值（精确到小数点后两位）为该参评人的商务得分。</w:t>
      </w:r>
    </w:p>
    <w:p>
      <w:pPr>
        <w:widowControl/>
        <w:spacing w:line="360" w:lineRule="auto"/>
        <w:ind w:firstLine="422" w:firstLineChars="200"/>
        <w:jc w:val="left"/>
        <w:rPr>
          <w:rFonts w:hint="eastAsia" w:ascii="宋体" w:hAnsi="宋体" w:cs="宋体"/>
          <w:b/>
          <w:bCs/>
          <w:kern w:val="0"/>
          <w:szCs w:val="21"/>
        </w:rPr>
      </w:pPr>
      <w:r>
        <w:rPr>
          <w:rFonts w:hint="eastAsia" w:ascii="宋体" w:hAnsi="宋体" w:cs="宋体"/>
          <w:b/>
          <w:bCs/>
          <w:kern w:val="0"/>
          <w:szCs w:val="21"/>
        </w:rPr>
        <w:t>二、</w:t>
      </w:r>
      <w:bookmarkStart w:id="6" w:name="_Toc484827211"/>
      <w:r>
        <w:rPr>
          <w:rFonts w:hint="eastAsia" w:ascii="宋体" w:hAnsi="宋体" w:cs="宋体"/>
          <w:b/>
          <w:bCs/>
          <w:kern w:val="0"/>
          <w:szCs w:val="21"/>
        </w:rPr>
        <w:t>综合得分的计算</w:t>
      </w:r>
      <w:bookmarkEnd w:id="6"/>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本项目的评审方法采用综合评分法，综合评分法评审步骤：先进行资格、符合性审查，再进行价格、技术及商务的详细评审。只有通过资格、符合性审查的</w:t>
      </w:r>
      <w:r>
        <w:rPr>
          <w:rFonts w:hint="eastAsia" w:ascii="宋体" w:hAnsi="宋体" w:cs="宋体"/>
          <w:kern w:val="28"/>
          <w:szCs w:val="21"/>
        </w:rPr>
        <w:t>参评</w:t>
      </w:r>
      <w:r>
        <w:rPr>
          <w:rFonts w:hint="eastAsia" w:ascii="宋体" w:hAnsi="宋体" w:cs="宋体"/>
          <w:kern w:val="0"/>
          <w:szCs w:val="21"/>
        </w:rPr>
        <w:t>人才能进入详细的评审。</w:t>
      </w:r>
    </w:p>
    <w:p>
      <w:pPr>
        <w:widowControl/>
        <w:spacing w:line="360" w:lineRule="auto"/>
        <w:ind w:firstLine="420" w:firstLineChars="200"/>
        <w:jc w:val="left"/>
        <w:rPr>
          <w:rFonts w:hint="eastAsia" w:ascii="宋体" w:hAnsi="宋体" w:cs="Arial"/>
          <w:szCs w:val="21"/>
        </w:rPr>
      </w:pPr>
      <w:r>
        <w:rPr>
          <w:rFonts w:hint="eastAsia" w:ascii="宋体" w:hAnsi="宋体" w:cs="Arial"/>
          <w:color w:val="000000"/>
          <w:szCs w:val="21"/>
        </w:rPr>
        <w:t>综合得分（精确到小数点后两位）=</w:t>
      </w:r>
      <w:bookmarkStart w:id="7" w:name="ScoreFormula"/>
      <w:r>
        <w:rPr>
          <w:rFonts w:hint="eastAsia" w:ascii="宋体" w:hAnsi="宋体" w:cs="Arial"/>
          <w:color w:val="000000"/>
          <w:szCs w:val="21"/>
        </w:rPr>
        <w:t>价格得分+技术得分+商务得分</w:t>
      </w:r>
      <w:bookmarkEnd w:id="7"/>
      <w:r>
        <w:rPr>
          <w:rFonts w:hint="eastAsia" w:ascii="宋体" w:hAnsi="宋体" w:cs="Arial"/>
          <w:color w:val="000000"/>
          <w:szCs w:val="21"/>
        </w:rPr>
        <w:t>。</w:t>
      </w:r>
      <w:r>
        <w:rPr>
          <w:rFonts w:hint="eastAsia" w:ascii="宋体" w:hAnsi="宋体"/>
          <w:bCs/>
          <w:szCs w:val="21"/>
        </w:rPr>
        <w:t>综合得分相同的，按下列顺序比较确定：（1）投标报价（由低到高）；（2）技术评分（由高到低）；如以上都相同的，名次由评审小组会抽签确定。排名第一的投标人为第一</w:t>
      </w:r>
      <w:r>
        <w:t>成交候选人</w:t>
      </w:r>
      <w:r>
        <w:rPr>
          <w:rFonts w:hint="eastAsia" w:ascii="宋体" w:hAnsi="宋体"/>
          <w:bCs/>
          <w:szCs w:val="21"/>
        </w:rPr>
        <w:t>，排名第二的投标人为第二</w:t>
      </w:r>
      <w:r>
        <w:t>成交候选人</w:t>
      </w:r>
      <w:r>
        <w:rPr>
          <w:rFonts w:hint="eastAsia" w:ascii="宋体" w:hAnsi="宋体"/>
          <w:bCs/>
          <w:szCs w:val="21"/>
        </w:rPr>
        <w:t>，排名第三的投标人为第三</w:t>
      </w:r>
      <w:r>
        <w:t>成交候选人</w:t>
      </w:r>
      <w:r>
        <w:rPr>
          <w:rFonts w:hint="eastAsia" w:ascii="宋体" w:hAnsi="宋体"/>
          <w:bCs/>
          <w:szCs w:val="21"/>
        </w:rPr>
        <w:t>。法律法规有明确规定的，以法律法规规定为准。</w:t>
      </w:r>
    </w:p>
    <w:p>
      <w:pPr>
        <w:widowControl/>
        <w:spacing w:line="360" w:lineRule="auto"/>
        <w:ind w:firstLine="422" w:firstLineChars="200"/>
        <w:jc w:val="left"/>
        <w:rPr>
          <w:rFonts w:hint="eastAsia" w:ascii="宋体" w:hAnsi="宋体" w:cs="宋体"/>
          <w:b/>
          <w:bCs/>
          <w:kern w:val="0"/>
          <w:szCs w:val="21"/>
        </w:rPr>
      </w:pPr>
      <w:r>
        <w:rPr>
          <w:rFonts w:hint="eastAsia" w:ascii="宋体" w:hAnsi="宋体" w:cs="宋体"/>
          <w:b/>
          <w:bCs/>
          <w:kern w:val="0"/>
          <w:szCs w:val="21"/>
        </w:rPr>
        <w:t>三、确定成交人</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采购人将根据评审结果，确定成交人，同时向成交人发出书面《成交通知书》。</w:t>
      </w:r>
    </w:p>
    <w:p>
      <w:pPr>
        <w:adjustRightInd w:val="0"/>
        <w:snapToGrid w:val="0"/>
        <w:spacing w:line="360" w:lineRule="auto"/>
        <w:ind w:firstLine="422" w:firstLineChars="200"/>
        <w:rPr>
          <w:rFonts w:hint="eastAsia" w:ascii="宋体" w:hAnsi="宋体" w:cs="Arial"/>
          <w:b/>
          <w:szCs w:val="21"/>
        </w:rPr>
      </w:pPr>
      <w:r>
        <w:rPr>
          <w:rFonts w:hint="eastAsia" w:ascii="宋体" w:hAnsi="宋体" w:cs="Arial"/>
          <w:b/>
          <w:szCs w:val="21"/>
        </w:rPr>
        <w:t>注：本评审办法入围</w:t>
      </w:r>
      <w:r>
        <w:rPr>
          <w:rFonts w:hint="eastAsia" w:ascii="宋体" w:hAnsi="宋体" w:cs="宋体"/>
          <w:b/>
          <w:kern w:val="28"/>
          <w:szCs w:val="21"/>
        </w:rPr>
        <w:t>参评</w:t>
      </w:r>
      <w:r>
        <w:rPr>
          <w:rFonts w:hint="eastAsia" w:ascii="宋体" w:hAnsi="宋体" w:cs="Arial"/>
          <w:b/>
          <w:szCs w:val="21"/>
        </w:rPr>
        <w:t>人指所有通过资格、符合性审查的</w:t>
      </w:r>
      <w:r>
        <w:rPr>
          <w:rFonts w:hint="eastAsia" w:ascii="宋体" w:hAnsi="宋体" w:cs="宋体"/>
          <w:b/>
          <w:kern w:val="28"/>
          <w:szCs w:val="21"/>
        </w:rPr>
        <w:t>参评</w:t>
      </w:r>
      <w:r>
        <w:rPr>
          <w:rFonts w:hint="eastAsia" w:ascii="宋体" w:hAnsi="宋体" w:cs="Arial"/>
          <w:b/>
          <w:szCs w:val="21"/>
        </w:rPr>
        <w:t>人。</w:t>
      </w:r>
    </w:p>
    <w:p>
      <w:pPr>
        <w:spacing w:line="400" w:lineRule="exact"/>
        <w:jc w:val="center"/>
        <w:rPr>
          <w:rFonts w:hint="eastAsia" w:ascii="宋体" w:hAnsi="宋体"/>
          <w:b/>
          <w:bCs/>
          <w:sz w:val="28"/>
        </w:rPr>
      </w:pPr>
      <w:r>
        <w:rPr>
          <w:rFonts w:ascii="宋体" w:hAnsi="宋体" w:cs="宋体"/>
          <w:kern w:val="0"/>
          <w:sz w:val="24"/>
        </w:rPr>
        <w:br w:type="page"/>
      </w:r>
      <w:r>
        <w:rPr>
          <w:rFonts w:ascii="宋体" w:hAnsi="宋体"/>
          <w:b/>
          <w:bCs/>
          <w:sz w:val="28"/>
        </w:rPr>
        <w:t>资格性审查</w:t>
      </w:r>
      <w:r>
        <w:rPr>
          <w:rFonts w:hint="eastAsia" w:ascii="宋体" w:hAnsi="宋体"/>
          <w:b/>
          <w:bCs/>
          <w:sz w:val="28"/>
        </w:rPr>
        <w:t>表</w:t>
      </w:r>
    </w:p>
    <w:p>
      <w:pPr>
        <w:pStyle w:val="2"/>
      </w:pPr>
    </w:p>
    <w:p>
      <w:pPr>
        <w:spacing w:line="400" w:lineRule="exact"/>
        <w:rPr>
          <w:rFonts w:hint="eastAsia" w:ascii="宋体" w:hAnsi="宋体" w:cs="宋体"/>
          <w:b/>
          <w:bCs/>
          <w:sz w:val="22"/>
          <w:szCs w:val="22"/>
        </w:rPr>
      </w:pPr>
      <w:r>
        <w:rPr>
          <w:rFonts w:hint="eastAsia" w:ascii="宋体" w:hAnsi="宋体" w:cs="宋体"/>
          <w:b/>
          <w:bCs/>
          <w:sz w:val="22"/>
          <w:szCs w:val="22"/>
        </w:rPr>
        <w:t>项目名称：广东省消防救援总队审计服务采购项目</w:t>
      </w:r>
    </w:p>
    <w:tbl>
      <w:tblPr>
        <w:tblStyle w:val="15"/>
        <w:tblW w:w="5382" w:type="pct"/>
        <w:tblInd w:w="-624" w:type="dxa"/>
        <w:tblLayout w:type="autofit"/>
        <w:tblCellMar>
          <w:top w:w="0" w:type="dxa"/>
          <w:left w:w="0" w:type="dxa"/>
          <w:bottom w:w="0" w:type="dxa"/>
          <w:right w:w="0" w:type="dxa"/>
        </w:tblCellMar>
      </w:tblPr>
      <w:tblGrid>
        <w:gridCol w:w="4930"/>
        <w:gridCol w:w="1008"/>
        <w:gridCol w:w="1008"/>
        <w:gridCol w:w="1008"/>
        <w:gridCol w:w="1008"/>
      </w:tblGrid>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要求</w:t>
            </w:r>
          </w:p>
        </w:tc>
        <w:tc>
          <w:tcPr>
            <w:tcW w:w="562" w:type="pct"/>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供应商 1</w:t>
            </w:r>
          </w:p>
        </w:tc>
        <w:tc>
          <w:tcPr>
            <w:tcW w:w="562" w:type="pct"/>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供应商 2</w:t>
            </w:r>
          </w:p>
        </w:tc>
        <w:tc>
          <w:tcPr>
            <w:tcW w:w="562" w:type="pct"/>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供应商 3</w:t>
            </w:r>
          </w:p>
        </w:tc>
        <w:tc>
          <w:tcPr>
            <w:tcW w:w="562" w:type="pct"/>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hint="eastAsia" w:ascii="宋体" w:hAnsi="宋体" w:cs="宋体"/>
                <w:szCs w:val="21"/>
              </w:rPr>
              <w:t>供应商4</w:t>
            </w: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center"/>
          </w:tcPr>
          <w:p>
            <w:pPr>
              <w:pStyle w:val="18"/>
              <w:spacing w:before="122" w:line="276" w:lineRule="auto"/>
              <w:ind w:left="142" w:right="37" w:firstLine="31"/>
              <w:rPr>
                <w:rFonts w:ascii="宋体" w:hAnsi="宋体" w:cs="宋体"/>
                <w:szCs w:val="21"/>
              </w:rPr>
            </w:pPr>
            <w:r>
              <w:rPr>
                <w:rFonts w:ascii="Arial" w:hAnsi="Arial" w:eastAsia="Arial" w:cs="Arial"/>
                <w:szCs w:val="21"/>
              </w:rPr>
              <w:t>1.</w:t>
            </w:r>
            <w:r>
              <w:rPr>
                <w:rFonts w:hint="eastAsia" w:ascii="宋体" w:hAnsi="宋体" w:cs="宋体"/>
                <w:szCs w:val="21"/>
              </w:rPr>
              <w:t>参评</w:t>
            </w:r>
            <w:r>
              <w:rPr>
                <w:rFonts w:ascii="宋体" w:hAnsi="宋体" w:cs="宋体"/>
                <w:szCs w:val="21"/>
              </w:rPr>
              <w:t>供应商应具备《中华人民共和国政府采</w:t>
            </w:r>
            <w:r>
              <w:rPr>
                <w:rFonts w:ascii="宋体" w:hAnsi="宋体" w:cs="宋体"/>
                <w:w w:val="99"/>
                <w:szCs w:val="21"/>
              </w:rPr>
              <w:t xml:space="preserve"> </w:t>
            </w:r>
            <w:r>
              <w:rPr>
                <w:rFonts w:ascii="宋体" w:hAnsi="宋体" w:cs="宋体"/>
                <w:spacing w:val="-4"/>
                <w:szCs w:val="21"/>
              </w:rPr>
              <w:t>购法》第二十二条规定的条件，提供下列材料：</w:t>
            </w:r>
            <w:r>
              <w:rPr>
                <w:rFonts w:ascii="宋体" w:hAnsi="宋体" w:cs="宋体"/>
                <w:w w:val="99"/>
                <w:szCs w:val="21"/>
              </w:rPr>
              <w:t xml:space="preserve"> </w:t>
            </w:r>
            <w:r>
              <w:rPr>
                <w:rFonts w:ascii="宋体" w:hAnsi="宋体" w:cs="宋体"/>
                <w:szCs w:val="21"/>
              </w:rPr>
              <w:t>具有独立承担民事责任的能力：是在中华人民</w:t>
            </w:r>
            <w:r>
              <w:rPr>
                <w:rFonts w:ascii="宋体" w:hAnsi="宋体" w:cs="宋体"/>
                <w:w w:val="99"/>
                <w:szCs w:val="21"/>
              </w:rPr>
              <w:t xml:space="preserve"> </w:t>
            </w:r>
            <w:r>
              <w:rPr>
                <w:rFonts w:ascii="宋体" w:hAnsi="宋体" w:cs="宋体"/>
                <w:szCs w:val="21"/>
              </w:rPr>
              <w:t>共和国境内注册的法人或其他组织或自然人，</w:t>
            </w:r>
            <w:r>
              <w:rPr>
                <w:rFonts w:ascii="宋体" w:hAnsi="宋体" w:cs="宋体"/>
                <w:w w:val="99"/>
                <w:szCs w:val="21"/>
              </w:rPr>
              <w:t xml:space="preserve"> </w:t>
            </w:r>
            <w:r>
              <w:rPr>
                <w:rFonts w:ascii="宋体" w:hAnsi="宋体" w:cs="宋体"/>
                <w:szCs w:val="21"/>
              </w:rPr>
              <w:t>投标时提交有效的营业执照（或事业法人登记</w:t>
            </w:r>
            <w:r>
              <w:rPr>
                <w:rFonts w:ascii="宋体" w:hAnsi="宋体" w:cs="宋体"/>
                <w:w w:val="99"/>
                <w:szCs w:val="21"/>
              </w:rPr>
              <w:t xml:space="preserve"> </w:t>
            </w:r>
            <w:r>
              <w:rPr>
                <w:rFonts w:ascii="宋体" w:hAnsi="宋体" w:cs="宋体"/>
                <w:szCs w:val="21"/>
              </w:rPr>
              <w:t>证或社会团体登记证或民办非企业单位登记证</w:t>
            </w:r>
            <w:r>
              <w:rPr>
                <w:rFonts w:ascii="宋体" w:hAnsi="宋体" w:cs="宋体"/>
                <w:w w:val="99"/>
                <w:szCs w:val="21"/>
              </w:rPr>
              <w:t xml:space="preserve"> </w:t>
            </w:r>
            <w:r>
              <w:rPr>
                <w:rFonts w:ascii="宋体" w:hAnsi="宋体" w:cs="宋体"/>
                <w:szCs w:val="21"/>
              </w:rPr>
              <w:t>或身份证等相关证明）副本复印件。（如国家</w:t>
            </w:r>
            <w:r>
              <w:rPr>
                <w:rFonts w:ascii="宋体" w:hAnsi="宋体" w:cs="宋体"/>
                <w:w w:val="99"/>
                <w:szCs w:val="21"/>
              </w:rPr>
              <w:t xml:space="preserve"> </w:t>
            </w:r>
            <w:r>
              <w:rPr>
                <w:rFonts w:ascii="宋体" w:hAnsi="宋体" w:cs="宋体"/>
                <w:szCs w:val="21"/>
              </w:rPr>
              <w:t>另有规定的，则从其规定。如供应商为分支机构，须取得具有法人资格的总公司（总所）出</w:t>
            </w:r>
            <w:r>
              <w:rPr>
                <w:rFonts w:ascii="宋体" w:hAnsi="宋体" w:cs="宋体"/>
                <w:w w:val="99"/>
                <w:szCs w:val="21"/>
              </w:rPr>
              <w:t xml:space="preserve"> </w:t>
            </w:r>
            <w:r>
              <w:rPr>
                <w:rFonts w:ascii="宋体" w:hAnsi="宋体" w:cs="宋体"/>
                <w:spacing w:val="-4"/>
                <w:szCs w:val="21"/>
              </w:rPr>
              <w:t>具给分支机构的授权书，并提供总公司（总所）</w:t>
            </w:r>
            <w:r>
              <w:rPr>
                <w:rFonts w:ascii="宋体" w:hAnsi="宋体" w:cs="宋体"/>
                <w:w w:val="99"/>
                <w:szCs w:val="21"/>
              </w:rPr>
              <w:t xml:space="preserve"> </w:t>
            </w:r>
            <w:r>
              <w:rPr>
                <w:rFonts w:ascii="宋体" w:hAnsi="宋体" w:cs="宋体"/>
                <w:spacing w:val="-4"/>
                <w:szCs w:val="21"/>
              </w:rPr>
              <w:t>和分支机构的营业执照（执业许可证）复印件；</w:t>
            </w:r>
            <w:r>
              <w:rPr>
                <w:rFonts w:ascii="宋体" w:hAnsi="宋体" w:cs="宋体"/>
                <w:w w:val="99"/>
                <w:szCs w:val="21"/>
              </w:rPr>
              <w:t xml:space="preserve"> </w:t>
            </w:r>
            <w:r>
              <w:rPr>
                <w:rFonts w:ascii="宋体" w:hAnsi="宋体" w:cs="宋体"/>
                <w:szCs w:val="21"/>
              </w:rPr>
              <w:t>已由总公司（总所）授权的，总公司（总所）</w:t>
            </w:r>
            <w:r>
              <w:rPr>
                <w:rFonts w:ascii="宋体" w:hAnsi="宋体" w:cs="宋体"/>
                <w:w w:val="99"/>
                <w:szCs w:val="21"/>
              </w:rPr>
              <w:t xml:space="preserve"> </w:t>
            </w:r>
            <w:r>
              <w:rPr>
                <w:rFonts w:ascii="宋体" w:hAnsi="宋体" w:cs="宋体"/>
                <w:szCs w:val="21"/>
              </w:rPr>
              <w:t>取得的相关资质证书对分支机构有效，法律法</w:t>
            </w:r>
            <w:r>
              <w:rPr>
                <w:rFonts w:ascii="宋体" w:hAnsi="宋体" w:cs="宋体"/>
                <w:w w:val="99"/>
                <w:szCs w:val="21"/>
              </w:rPr>
              <w:t xml:space="preserve"> </w:t>
            </w:r>
            <w:r>
              <w:rPr>
                <w:rFonts w:ascii="宋体" w:hAnsi="宋体" w:cs="宋体"/>
                <w:szCs w:val="21"/>
              </w:rPr>
              <w:t>规或者行业另有规定的除外）</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2"/>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3"/>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3"/>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ascii="宋体" w:hAnsi="宋体" w:cs="宋体"/>
                <w:spacing w:val="-4"/>
                <w:szCs w:val="21"/>
              </w:rPr>
              <w:t>2.具有良好的商业信誉和健全的财务会计制 度：提供 202</w:t>
            </w:r>
            <w:r>
              <w:rPr>
                <w:rFonts w:hint="eastAsia" w:ascii="宋体" w:hAnsi="宋体" w:cs="宋体"/>
                <w:spacing w:val="-4"/>
                <w:szCs w:val="21"/>
                <w:lang w:val="en-US" w:eastAsia="zh-CN"/>
              </w:rPr>
              <w:t>1</w:t>
            </w:r>
            <w:r>
              <w:rPr>
                <w:rFonts w:ascii="宋体" w:hAnsi="宋体" w:cs="宋体"/>
                <w:spacing w:val="-4"/>
                <w:szCs w:val="21"/>
              </w:rPr>
              <w:t>年度或 202</w:t>
            </w:r>
            <w:r>
              <w:rPr>
                <w:rFonts w:hint="eastAsia" w:ascii="宋体" w:hAnsi="宋体" w:cs="宋体"/>
                <w:spacing w:val="-4"/>
                <w:szCs w:val="21"/>
                <w:lang w:val="en-US" w:eastAsia="zh-CN"/>
              </w:rPr>
              <w:t>2</w:t>
            </w:r>
            <w:r>
              <w:rPr>
                <w:rFonts w:ascii="宋体" w:hAnsi="宋体" w:cs="宋体"/>
                <w:spacing w:val="-4"/>
                <w:szCs w:val="21"/>
              </w:rPr>
              <w:t xml:space="preserve"> 年度财务状况报告 或基本开户行出具的资信证明，或最近一期财 务报表（适用在上一年度或本财务年度成立的 法人或其他组织），或人民银行出具的个人信 用报告（适用于自然人）。</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ascii="宋体" w:hAnsi="宋体" w:cs="宋体"/>
                <w:spacing w:val="-4"/>
                <w:szCs w:val="21"/>
              </w:rPr>
              <w:t>3.有依法缴纳税收和社会保障资金的良好记 录：提供投标截止日前 6 个月内任意 1 个月依 法缴纳税收和社会保障资金的相关材料。如依 法免税或不需要缴纳社会保障资金的，提供相 应证明材料。</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ascii="宋体" w:hAnsi="宋体" w:cs="宋体"/>
                <w:spacing w:val="-4"/>
                <w:szCs w:val="21"/>
              </w:rPr>
              <w:t>4.具有履行合同所必须的设备和专业技术能 力：按</w:t>
            </w:r>
            <w:r>
              <w:rPr>
                <w:rFonts w:hint="eastAsia" w:ascii="宋体" w:hAnsi="宋体" w:cs="宋体"/>
                <w:spacing w:val="-4"/>
                <w:szCs w:val="21"/>
              </w:rPr>
              <w:t>参评</w:t>
            </w:r>
            <w:r>
              <w:rPr>
                <w:rFonts w:ascii="宋体" w:hAnsi="宋体" w:cs="宋体"/>
                <w:spacing w:val="-4"/>
                <w:szCs w:val="21"/>
              </w:rPr>
              <w:t>文件格式填报设备及专业技术能力 情况或提供《供应商资格声明函》。</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ascii="宋体" w:hAnsi="宋体" w:cs="宋体"/>
                <w:spacing w:val="-4"/>
                <w:szCs w:val="21"/>
              </w:rPr>
              <w:t xml:space="preserve">5.参加采购活动前三年内，在经营活动中没有 重大违法记录：提供《供应商资格声明函》。 </w:t>
            </w:r>
            <w:r>
              <w:rPr>
                <w:rFonts w:hint="eastAsia" w:ascii="宋体" w:hAnsi="宋体" w:cs="宋体"/>
                <w:spacing w:val="-4"/>
                <w:szCs w:val="21"/>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ascii="宋体" w:hAnsi="宋体" w:cs="宋体"/>
                <w:spacing w:val="-4"/>
                <w:szCs w:val="21"/>
              </w:rPr>
              <w:t>6.信用记录：供应商未被列入“信用中国”网站(www.creditchina.gov.cn)“记录失信被执行人或</w:t>
            </w:r>
            <w:r>
              <w:rPr>
                <w:rFonts w:hint="eastAsia" w:ascii="宋体" w:hAnsi="宋体" w:cs="宋体"/>
                <w:spacing w:val="-4"/>
                <w:szCs w:val="21"/>
              </w:rPr>
              <w:t>重大税收违法失信主体</w:t>
            </w:r>
            <w:r>
              <w:rPr>
                <w:rFonts w:ascii="宋体" w:hAnsi="宋体" w:cs="宋体"/>
                <w:spacing w:val="-4"/>
                <w:szCs w:val="21"/>
              </w:rPr>
              <w:t>或政府采购严重违法失信行为”记录名单；不处于中国政府采购网(www.ccgp.gov.cn)“政府采购严重违法失信行为信息记录”中的禁止参加政府采购活动期间。（以</w:t>
            </w:r>
            <w:r>
              <w:rPr>
                <w:rFonts w:hint="eastAsia" w:ascii="宋体" w:hAnsi="宋体" w:cs="宋体"/>
                <w:spacing w:val="-4"/>
                <w:szCs w:val="21"/>
              </w:rPr>
              <w:t>采购</w:t>
            </w:r>
            <w:r>
              <w:rPr>
                <w:rFonts w:ascii="宋体" w:hAnsi="宋体" w:cs="宋体"/>
                <w:spacing w:val="-4"/>
                <w:szCs w:val="21"/>
              </w:rPr>
              <w:t>人于投标截止时间当天在“信用中国”网站（</w:t>
            </w:r>
            <w:r>
              <w:fldChar w:fldCharType="begin"/>
            </w:r>
            <w:r>
              <w:instrText xml:space="preserve"> HYPERLINK "http://www.creditchina.gov.cn/" \h </w:instrText>
            </w:r>
            <w:r>
              <w:fldChar w:fldCharType="separate"/>
            </w:r>
            <w:r>
              <w:rPr>
                <w:rFonts w:ascii="宋体" w:hAnsi="宋体" w:cs="宋体"/>
                <w:spacing w:val="-4"/>
                <w:szCs w:val="21"/>
              </w:rPr>
              <w:t>www.creditchina.gov.cn</w:t>
            </w:r>
            <w:r>
              <w:rPr>
                <w:rFonts w:ascii="宋体" w:hAnsi="宋体" w:cs="宋体"/>
                <w:spacing w:val="-4"/>
                <w:szCs w:val="21"/>
              </w:rPr>
              <w:fldChar w:fldCharType="end"/>
            </w:r>
            <w:r>
              <w:rPr>
                <w:rFonts w:ascii="宋体" w:hAnsi="宋体" w:cs="宋体"/>
                <w:spacing w:val="-4"/>
                <w:szCs w:val="21"/>
              </w:rPr>
              <w:t>）及中国政府采购网（</w:t>
            </w:r>
            <w:r>
              <w:fldChar w:fldCharType="begin"/>
            </w:r>
            <w:r>
              <w:instrText xml:space="preserve"> HYPERLINK "http://www.ccgp.gov.cn/" \h </w:instrText>
            </w:r>
            <w:r>
              <w:fldChar w:fldCharType="separate"/>
            </w:r>
            <w:r>
              <w:rPr>
                <w:rFonts w:ascii="宋体" w:hAnsi="宋体" w:cs="宋体"/>
                <w:spacing w:val="-4"/>
                <w:szCs w:val="21"/>
              </w:rPr>
              <w:t>http://www.ccgp.gov.cn/</w:t>
            </w:r>
            <w:r>
              <w:rPr>
                <w:rFonts w:ascii="宋体" w:hAnsi="宋体" w:cs="宋体"/>
                <w:spacing w:val="-4"/>
                <w:szCs w:val="21"/>
              </w:rPr>
              <w:fldChar w:fldCharType="end"/>
            </w:r>
            <w:r>
              <w:rPr>
                <w:rFonts w:ascii="宋体" w:hAnsi="宋体" w:cs="宋体"/>
                <w:spacing w:val="-4"/>
                <w:szCs w:val="21"/>
              </w:rPr>
              <w:t>）查询结果为准，如相关失信记录已失效，供应商需提供相关证明资料）。</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ascii="宋体" w:hAnsi="宋体" w:cs="宋体"/>
                <w:spacing w:val="-4"/>
                <w:szCs w:val="21"/>
              </w:rPr>
              <w:t>7.供应商必须符合法律、行政法规规定的其他 条件：单位负责人为同一人或者存在直接控股、 管理关系的不同供应商，不得同时参加本采购</w:t>
            </w:r>
            <w:r>
              <w:rPr>
                <w:rFonts w:hint="eastAsia" w:ascii="宋体" w:hAnsi="宋体" w:cs="宋体"/>
                <w:spacing w:val="-4"/>
                <w:szCs w:val="21"/>
              </w:rPr>
              <w:t>项目评选。为本项目提供整体设计、 规范编制或者项目管理、监理、检测等服务的 供应商，不得再参与本项目评选。（提供《供应商资格声明函》。</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ascii="宋体" w:hAnsi="宋体" w:cs="宋体"/>
                <w:spacing w:val="-4"/>
                <w:szCs w:val="21"/>
              </w:rPr>
              <w:t>8.供应商已按评选公告及评选文件的规定获取 了遴选采购文件。（提供《供应商资格声明函》）</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firstLine="202" w:firstLineChars="100"/>
              <w:jc w:val="left"/>
              <w:rPr>
                <w:rFonts w:ascii="宋体" w:hAnsi="宋体" w:cs="宋体"/>
                <w:szCs w:val="21"/>
              </w:rPr>
            </w:pPr>
            <w:r>
              <w:rPr>
                <w:rFonts w:ascii="宋体" w:hAnsi="宋体" w:cs="宋体"/>
                <w:spacing w:val="-4"/>
                <w:szCs w:val="21"/>
              </w:rPr>
              <w:t>9.本项目不接受联合体投标。</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r>
              <w:rPr>
                <w:rFonts w:ascii="宋体" w:hAnsi="宋体" w:cs="宋体"/>
                <w:szCs w:val="21"/>
              </w:rPr>
              <w:t>不通过原因</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2750"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r>
              <w:rPr>
                <w:rFonts w:ascii="宋体" w:hAnsi="宋体" w:cs="宋体"/>
                <w:szCs w:val="21"/>
              </w:rPr>
              <w:t>结论</w:t>
            </w: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562" w:type="pct"/>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bl>
    <w:p>
      <w:pPr>
        <w:spacing w:before="7"/>
        <w:jc w:val="center"/>
        <w:rPr>
          <w:rFonts w:hint="eastAsia"/>
          <w:b/>
          <w:bCs/>
          <w:sz w:val="24"/>
          <w:szCs w:val="22"/>
        </w:rPr>
      </w:pPr>
      <w:r>
        <w:rPr>
          <w:rFonts w:ascii="Times New Roman" w:hAnsi="Times New Roman" w:eastAsia="Times New Roman"/>
          <w:sz w:val="29"/>
          <w:szCs w:val="29"/>
        </w:rPr>
        <w:br w:type="page"/>
      </w:r>
      <w:r>
        <w:rPr>
          <w:b/>
          <w:bCs/>
          <w:sz w:val="32"/>
          <w:szCs w:val="28"/>
        </w:rPr>
        <w:t>符合性审查</w:t>
      </w:r>
      <w:r>
        <w:rPr>
          <w:rFonts w:hint="eastAsia"/>
          <w:b/>
          <w:bCs/>
          <w:sz w:val="32"/>
          <w:szCs w:val="28"/>
        </w:rPr>
        <w:t>表</w:t>
      </w:r>
    </w:p>
    <w:p>
      <w:pPr>
        <w:pStyle w:val="2"/>
        <w:rPr>
          <w:rFonts w:hint="eastAsia"/>
        </w:rPr>
      </w:pPr>
    </w:p>
    <w:p>
      <w:pPr>
        <w:pStyle w:val="2"/>
        <w:rPr>
          <w:b/>
          <w:bCs/>
          <w:sz w:val="22"/>
          <w:szCs w:val="24"/>
        </w:rPr>
      </w:pPr>
      <w:r>
        <w:rPr>
          <w:rFonts w:hint="eastAsia" w:ascii="宋体" w:hAnsi="宋体"/>
          <w:b/>
          <w:bCs/>
          <w:sz w:val="22"/>
          <w:szCs w:val="24"/>
        </w:rPr>
        <w:t>项目名称：广东省消防救援总队审计服务采购项目</w:t>
      </w:r>
    </w:p>
    <w:tbl>
      <w:tblPr>
        <w:tblStyle w:val="15"/>
        <w:tblW w:w="9182" w:type="dxa"/>
        <w:tblInd w:w="-978" w:type="dxa"/>
        <w:tblLayout w:type="fixed"/>
        <w:tblCellMar>
          <w:top w:w="0" w:type="dxa"/>
          <w:left w:w="0" w:type="dxa"/>
          <w:bottom w:w="0" w:type="dxa"/>
          <w:right w:w="0" w:type="dxa"/>
        </w:tblCellMar>
      </w:tblPr>
      <w:tblGrid>
        <w:gridCol w:w="4582"/>
        <w:gridCol w:w="1150"/>
        <w:gridCol w:w="1150"/>
        <w:gridCol w:w="1150"/>
        <w:gridCol w:w="1150"/>
      </w:tblGrid>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要求</w:t>
            </w:r>
          </w:p>
        </w:tc>
        <w:tc>
          <w:tcPr>
            <w:tcW w:w="1150" w:type="dxa"/>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供应商 1</w:t>
            </w:r>
          </w:p>
        </w:tc>
        <w:tc>
          <w:tcPr>
            <w:tcW w:w="1150" w:type="dxa"/>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供应商 2</w:t>
            </w:r>
          </w:p>
        </w:tc>
        <w:tc>
          <w:tcPr>
            <w:tcW w:w="1150" w:type="dxa"/>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ascii="宋体" w:hAnsi="宋体" w:cs="宋体"/>
                <w:szCs w:val="21"/>
              </w:rPr>
            </w:pPr>
            <w:r>
              <w:rPr>
                <w:rFonts w:ascii="宋体" w:hAnsi="宋体" w:cs="宋体"/>
                <w:szCs w:val="21"/>
              </w:rPr>
              <w:t>供应商 3</w:t>
            </w:r>
          </w:p>
        </w:tc>
        <w:tc>
          <w:tcPr>
            <w:tcW w:w="1150" w:type="dxa"/>
            <w:tcBorders>
              <w:top w:val="single" w:color="111111" w:sz="6" w:space="0"/>
              <w:left w:val="single" w:color="111111" w:sz="6" w:space="0"/>
              <w:bottom w:val="single" w:color="111111" w:sz="6" w:space="0"/>
              <w:right w:val="single" w:color="111111" w:sz="6" w:space="0"/>
            </w:tcBorders>
            <w:shd w:val="clear" w:color="auto" w:fill="D7D7D7"/>
            <w:noWrap w:val="0"/>
            <w:vAlign w:val="center"/>
          </w:tcPr>
          <w:p>
            <w:pPr>
              <w:pStyle w:val="18"/>
              <w:spacing w:before="133" w:line="276" w:lineRule="auto"/>
              <w:ind w:right="2"/>
              <w:jc w:val="center"/>
              <w:rPr>
                <w:rFonts w:hint="eastAsia" w:ascii="宋体" w:hAnsi="宋体" w:cs="宋体"/>
                <w:szCs w:val="21"/>
              </w:rPr>
            </w:pPr>
            <w:r>
              <w:rPr>
                <w:rFonts w:ascii="宋体" w:hAnsi="宋体" w:cs="宋体"/>
                <w:szCs w:val="21"/>
              </w:rPr>
              <w:t xml:space="preserve">供应商 </w:t>
            </w:r>
            <w:r>
              <w:rPr>
                <w:rFonts w:hint="eastAsia" w:ascii="宋体" w:hAnsi="宋体" w:cs="宋体"/>
                <w:szCs w:val="21"/>
              </w:rPr>
              <w:t>4</w:t>
            </w: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center"/>
          </w:tcPr>
          <w:p>
            <w:pPr>
              <w:pStyle w:val="18"/>
              <w:spacing w:before="122" w:line="276" w:lineRule="auto"/>
              <w:ind w:left="142" w:right="37" w:firstLine="31"/>
              <w:rPr>
                <w:rFonts w:ascii="宋体" w:hAnsi="宋体" w:cs="宋体"/>
                <w:szCs w:val="21"/>
              </w:rPr>
            </w:pPr>
            <w:r>
              <w:rPr>
                <w:rFonts w:ascii="宋体" w:hAnsi="宋体" w:cs="宋体"/>
                <w:spacing w:val="-4"/>
                <w:szCs w:val="21"/>
              </w:rPr>
              <w:t>1.</w:t>
            </w:r>
            <w:r>
              <w:rPr>
                <w:rFonts w:hint="eastAsia" w:ascii="宋体" w:hAnsi="宋体" w:cs="宋体"/>
                <w:spacing w:val="-4"/>
                <w:szCs w:val="21"/>
              </w:rPr>
              <w:t>参评</w:t>
            </w:r>
            <w:r>
              <w:rPr>
                <w:rFonts w:ascii="宋体" w:hAnsi="宋体" w:cs="宋体"/>
                <w:spacing w:val="-4"/>
                <w:szCs w:val="21"/>
              </w:rPr>
              <w:t>函：已按规定格式编制及盖章、签署，投 标有效期满足遴选采购文件要求。</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2"/>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3"/>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3"/>
              <w:jc w:val="center"/>
              <w:rPr>
                <w:rFonts w:ascii="宋体" w:hAnsi="宋体" w:cs="宋体"/>
                <w:szCs w:val="21"/>
              </w:rP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2.法定代表人证明书及授权委托书（如适用）：已经盖章、签署，有效期涵盖参评有效期。</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3.参评文件内容、签署、盖章：参评文件内容完整，无重大错漏，并已按遴选采购文件要求盖章、签署。</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4.满足遴选采购文件实质性要求：已满足遴选采购文件实质性要求（含带★号的条款和指标）。</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5.参评方案：如遴选采购文件不接受备选方案时，供应商提供的参评方案及报价方案固定；如遴选采购文件接受备选方案的，提交多于一个方案时已明确主选方案。</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c>
          <w:tcPr>
            <w:tcW w:w="4582" w:type="dxa"/>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6.参评保证金（如适用）：已按遴选采购文件要求交纳足额参评保证金，符合遴选采购文件规定。</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7.参评报价：1.参评报价（含单项报价，如有要求）确定且未超过遴选采购文件中相应的预算金额或者最高限价。 2.参评报价中对参评标的的主体、关键内容无漏项、缺项。 3.如有，对评选小组按照遴选采购文件规定修正后的参评报价，供应商按规定书面确认。 4.如评选小组认为供应商的报价明显低于其他通过符合性审查供应商的报价，有可能影响项目质量或者不能诚信履约的，将要求其在评审现场合理的时间内提供书面说明，必要时提交相关证明材料。供应商能证明其报价合理性。</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c>
          <w:tcPr>
            <w:tcW w:w="4582" w:type="dxa"/>
            <w:tcBorders>
              <w:top w:val="single" w:color="111111" w:sz="6" w:space="0"/>
              <w:left w:val="single" w:color="111111" w:sz="6" w:space="0"/>
              <w:bottom w:val="single" w:color="111111" w:sz="6" w:space="0"/>
              <w:right w:val="single" w:color="111111" w:sz="6" w:space="0"/>
            </w:tcBorders>
            <w:noWrap w:val="0"/>
            <w:vAlign w:val="top"/>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8.附加条件：参评文件未含有采购人不能接受的附加条件。</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center"/>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9.串通参评：未出现遴选采购文件所列的视为串通参评的情形。</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center"/>
          </w:tcPr>
          <w:p>
            <w:pPr>
              <w:pStyle w:val="18"/>
              <w:spacing w:before="122" w:line="276" w:lineRule="auto"/>
              <w:ind w:left="142" w:right="37" w:firstLine="31"/>
              <w:rPr>
                <w:rFonts w:ascii="宋体" w:hAnsi="宋体" w:cs="宋体"/>
                <w:spacing w:val="-4"/>
                <w:szCs w:val="21"/>
              </w:rPr>
            </w:pPr>
            <w:r>
              <w:rPr>
                <w:rFonts w:hint="eastAsia" w:ascii="宋体" w:hAnsi="宋体" w:cs="宋体"/>
                <w:spacing w:val="-4"/>
                <w:szCs w:val="21"/>
              </w:rPr>
              <w:t>10.无效情形：1.未发现存在遴选采购文件中规定的其它无效条款情形。 2.未发现存在法律、法规、规章规定的参评无效情形。</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jc w:val="cente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jc w:val="cente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jc w:val="cente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jc w:val="center"/>
            </w:pPr>
          </w:p>
        </w:tc>
      </w:tr>
      <w:tr>
        <w:tblPrEx>
          <w:tblCellMar>
            <w:top w:w="0" w:type="dxa"/>
            <w:left w:w="0" w:type="dxa"/>
            <w:bottom w:w="0" w:type="dxa"/>
            <w:right w:w="0" w:type="dxa"/>
          </w:tblCellMar>
        </w:tblPrEx>
        <w:tc>
          <w:tcPr>
            <w:tcW w:w="4582"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r>
              <w:rPr>
                <w:rFonts w:ascii="宋体" w:hAnsi="宋体" w:cs="宋体"/>
                <w:szCs w:val="21"/>
              </w:rPr>
              <w:t>结论</w:t>
            </w: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c>
          <w:tcPr>
            <w:tcW w:w="1150" w:type="dxa"/>
            <w:tcBorders>
              <w:top w:val="single" w:color="111111" w:sz="6" w:space="0"/>
              <w:left w:val="single" w:color="111111" w:sz="6" w:space="0"/>
              <w:bottom w:val="single" w:color="111111" w:sz="6" w:space="0"/>
              <w:right w:val="single" w:color="111111" w:sz="6" w:space="0"/>
            </w:tcBorders>
            <w:noWrap w:val="0"/>
            <w:vAlign w:val="center"/>
          </w:tcPr>
          <w:p>
            <w:pPr>
              <w:pStyle w:val="18"/>
              <w:spacing w:line="276" w:lineRule="auto"/>
              <w:ind w:right="1"/>
              <w:jc w:val="center"/>
              <w:rPr>
                <w:rFonts w:ascii="宋体" w:hAnsi="宋体" w:cs="宋体"/>
                <w:szCs w:val="21"/>
              </w:rPr>
            </w:pPr>
          </w:p>
        </w:tc>
      </w:tr>
    </w:tbl>
    <w:p/>
    <w:p>
      <w:pPr>
        <w:pStyle w:val="3"/>
        <w:ind w:left="0" w:leftChars="0"/>
        <w:rPr>
          <w:rFonts w:hint="eastAsia" w:ascii="宋体" w:hAnsi="宋体" w:cs="宋体"/>
          <w:szCs w:val="21"/>
        </w:rPr>
      </w:pPr>
    </w:p>
    <w:p>
      <w:pPr>
        <w:spacing w:line="400" w:lineRule="exact"/>
        <w:ind w:firstLine="630" w:firstLineChars="300"/>
        <w:rPr>
          <w:rFonts w:hint="eastAsia"/>
        </w:rPr>
      </w:pPr>
      <w:r>
        <w:rPr>
          <w:rFonts w:hint="eastAsia" w:ascii="宋体" w:hAnsi="宋体"/>
          <w:szCs w:val="21"/>
        </w:rPr>
        <w:t>1、只有通过资格、符合性评审的参评人才能进入详细的评审，即为</w:t>
      </w:r>
      <w:r>
        <w:rPr>
          <w:rFonts w:hint="eastAsia" w:ascii="宋体" w:hAnsi="宋体"/>
          <w:bCs/>
          <w:szCs w:val="21"/>
        </w:rPr>
        <w:t>入围参评人</w:t>
      </w:r>
      <w:r>
        <w:rPr>
          <w:rFonts w:hint="eastAsia" w:ascii="宋体" w:hAnsi="宋体"/>
          <w:szCs w:val="21"/>
        </w:rPr>
        <w:t>；</w:t>
      </w:r>
    </w:p>
    <w:p>
      <w:pPr>
        <w:tabs>
          <w:tab w:val="left" w:pos="540"/>
        </w:tabs>
        <w:spacing w:line="400" w:lineRule="exact"/>
        <w:ind w:firstLine="630" w:firstLineChars="300"/>
        <w:rPr>
          <w:rFonts w:ascii="宋体" w:hAnsi="宋体"/>
          <w:szCs w:val="21"/>
        </w:rPr>
      </w:pPr>
      <w:r>
        <w:rPr>
          <w:rFonts w:hint="eastAsia" w:ascii="宋体" w:hAnsi="宋体"/>
          <w:szCs w:val="21"/>
        </w:rPr>
        <w:t>2、每一项目符合的打“√</w:t>
      </w:r>
      <w:r>
        <w:rPr>
          <w:rFonts w:ascii="宋体" w:hAnsi="宋体"/>
          <w:szCs w:val="21"/>
        </w:rPr>
        <w:t>”</w:t>
      </w:r>
      <w:r>
        <w:rPr>
          <w:rFonts w:hint="eastAsia" w:ascii="宋体" w:hAnsi="宋体"/>
          <w:szCs w:val="21"/>
        </w:rPr>
        <w:t>，不符合的打“×”；出现一个“×”的结论为不同意</w:t>
      </w:r>
      <w:r>
        <w:rPr>
          <w:rFonts w:ascii="宋体" w:hAnsi="宋体"/>
          <w:szCs w:val="21"/>
        </w:rPr>
        <w:t>进入下一阶段评议</w:t>
      </w:r>
      <w:r>
        <w:rPr>
          <w:rFonts w:hint="eastAsia" w:ascii="宋体" w:hAnsi="宋体"/>
          <w:szCs w:val="21"/>
        </w:rPr>
        <w:t>；</w:t>
      </w:r>
    </w:p>
    <w:p>
      <w:pPr>
        <w:tabs>
          <w:tab w:val="left" w:pos="540"/>
        </w:tabs>
        <w:spacing w:line="400" w:lineRule="exact"/>
        <w:ind w:left="420" w:leftChars="200" w:firstLine="210" w:firstLineChars="100"/>
        <w:rPr>
          <w:rFonts w:ascii="宋体" w:hAnsi="宋体"/>
          <w:szCs w:val="21"/>
        </w:rPr>
      </w:pPr>
      <w:r>
        <w:rPr>
          <w:rFonts w:hint="eastAsia" w:ascii="宋体" w:hAnsi="宋体"/>
          <w:szCs w:val="21"/>
        </w:rPr>
        <w:t>3、表中全部条件满足为通过，</w:t>
      </w:r>
      <w:r>
        <w:rPr>
          <w:rFonts w:ascii="宋体" w:hAnsi="宋体"/>
          <w:szCs w:val="21"/>
        </w:rPr>
        <w:t>同意进入下一阶段评议；</w:t>
      </w:r>
    </w:p>
    <w:p>
      <w:pPr>
        <w:tabs>
          <w:tab w:val="left" w:pos="540"/>
        </w:tabs>
        <w:spacing w:line="400" w:lineRule="exact"/>
        <w:ind w:left="420" w:leftChars="200" w:firstLine="210" w:firstLineChars="100"/>
        <w:rPr>
          <w:rFonts w:hint="eastAsia" w:ascii="宋体" w:hAnsi="宋体"/>
          <w:szCs w:val="21"/>
        </w:rPr>
      </w:pPr>
      <w:r>
        <w:rPr>
          <w:rFonts w:hint="eastAsia" w:ascii="宋体" w:hAnsi="宋体"/>
          <w:szCs w:val="21"/>
        </w:rPr>
        <w:t>4、是否同意进入下一阶段评议一栏中应写 “通过”或“不通过”；</w:t>
      </w:r>
    </w:p>
    <w:p>
      <w:pPr>
        <w:tabs>
          <w:tab w:val="left" w:pos="540"/>
        </w:tabs>
        <w:spacing w:line="400" w:lineRule="exact"/>
        <w:ind w:left="420" w:leftChars="200" w:firstLine="210" w:firstLineChars="100"/>
        <w:rPr>
          <w:rFonts w:hint="eastAsia" w:ascii="宋体" w:hAnsi="宋体" w:cs="宋体"/>
          <w:kern w:val="0"/>
          <w:sz w:val="24"/>
        </w:rPr>
      </w:pPr>
      <w:r>
        <w:rPr>
          <w:rFonts w:hint="eastAsia" w:ascii="宋体" w:hAnsi="宋体"/>
          <w:szCs w:val="21"/>
        </w:rPr>
        <w:t>5、结论汇总意见采取少数服从多数原则，即超过半数评委的结论为“通过”，则该</w:t>
      </w:r>
      <w:r>
        <w:rPr>
          <w:rFonts w:hint="eastAsia" w:ascii="宋体" w:hAnsi="宋体" w:cs="宋体"/>
          <w:szCs w:val="21"/>
        </w:rPr>
        <w:t>参评</w:t>
      </w:r>
      <w:r>
        <w:rPr>
          <w:rFonts w:hint="eastAsia" w:ascii="宋体" w:hAnsi="宋体"/>
          <w:szCs w:val="21"/>
        </w:rPr>
        <w:t>人通过</w:t>
      </w:r>
      <w:r>
        <w:rPr>
          <w:rFonts w:ascii="宋体" w:hAnsi="宋体"/>
          <w:szCs w:val="21"/>
        </w:rPr>
        <w:t>资格审查及符合性检查</w:t>
      </w:r>
      <w:r>
        <w:rPr>
          <w:rFonts w:hint="eastAsia" w:ascii="宋体" w:hAnsi="宋体"/>
          <w:szCs w:val="21"/>
        </w:rPr>
        <w:t>，否则不通过。</w:t>
      </w:r>
    </w:p>
    <w:p>
      <w:pPr>
        <w:keepNext/>
        <w:keepLines/>
        <w:widowControl w:val="0"/>
        <w:tabs>
          <w:tab w:val="left" w:pos="945"/>
        </w:tabs>
        <w:spacing w:line="360" w:lineRule="auto"/>
        <w:jc w:val="center"/>
        <w:outlineLvl w:val="2"/>
        <w:rPr>
          <w:rFonts w:ascii="宋体" w:hAnsi="宋体"/>
          <w:b/>
          <w:bCs/>
          <w:kern w:val="2"/>
          <w:sz w:val="24"/>
          <w:szCs w:val="24"/>
          <w:lang w:val="zh-CN"/>
        </w:rPr>
      </w:pPr>
      <w:r>
        <w:rPr>
          <w:rFonts w:ascii="宋体" w:hAnsi="宋体" w:cs="宋体"/>
          <w:kern w:val="0"/>
          <w:sz w:val="24"/>
        </w:rPr>
        <w:br w:type="page"/>
      </w:r>
      <w:r>
        <w:rPr>
          <w:rFonts w:hint="eastAsia" w:ascii="宋体" w:hAnsi="宋体"/>
          <w:b/>
          <w:bCs/>
          <w:kern w:val="2"/>
          <w:sz w:val="24"/>
          <w:szCs w:val="24"/>
          <w:lang w:val="zh-CN"/>
        </w:rPr>
        <w:t>技术评审表</w:t>
      </w:r>
    </w:p>
    <w:tbl>
      <w:tblPr>
        <w:tblStyle w:val="1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85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评审因素</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分值</w:t>
            </w:r>
          </w:p>
        </w:tc>
        <w:tc>
          <w:tcPr>
            <w:tcW w:w="6667"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服务承诺</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1</w:t>
            </w:r>
            <w:r>
              <w:rPr>
                <w:rFonts w:hint="eastAsia" w:ascii="宋体" w:hAnsi="宋体"/>
                <w:kern w:val="2"/>
                <w:szCs w:val="21"/>
              </w:rPr>
              <w:t>5分</w:t>
            </w:r>
          </w:p>
        </w:tc>
        <w:tc>
          <w:tcPr>
            <w:tcW w:w="6667" w:type="dxa"/>
            <w:noWrap w:val="0"/>
            <w:vAlign w:val="center"/>
          </w:tcPr>
          <w:p>
            <w:pPr>
              <w:adjustRightInd w:val="0"/>
              <w:rPr>
                <w:rFonts w:ascii="宋体" w:hAnsi="宋体"/>
                <w:kern w:val="2"/>
                <w:szCs w:val="21"/>
              </w:rPr>
            </w:pPr>
            <w:r>
              <w:rPr>
                <w:rFonts w:hint="eastAsia" w:ascii="宋体" w:hAnsi="宋体"/>
                <w:kern w:val="2"/>
                <w:szCs w:val="21"/>
              </w:rPr>
              <w:t>1、执业人员到岗承诺及保障措施，在服务期内承诺实际参与人员与投标文件中拟派人员相符且有相应的保障措施：</w:t>
            </w:r>
          </w:p>
          <w:p>
            <w:pPr>
              <w:adjustRightInd w:val="0"/>
              <w:rPr>
                <w:rFonts w:ascii="宋体" w:hAnsi="宋体"/>
                <w:kern w:val="2"/>
                <w:szCs w:val="21"/>
              </w:rPr>
            </w:pPr>
            <w:r>
              <w:rPr>
                <w:rFonts w:hint="eastAsia" w:ascii="宋体" w:hAnsi="宋体"/>
                <w:kern w:val="2"/>
                <w:szCs w:val="21"/>
              </w:rPr>
              <w:t>①供应商针对本项目执业人员到岗承诺及保障措施合理完善得3分；</w:t>
            </w:r>
          </w:p>
          <w:p>
            <w:pPr>
              <w:adjustRightInd w:val="0"/>
              <w:rPr>
                <w:rFonts w:ascii="宋体" w:hAnsi="宋体"/>
                <w:kern w:val="2"/>
                <w:szCs w:val="21"/>
              </w:rPr>
            </w:pPr>
            <w:r>
              <w:rPr>
                <w:rFonts w:hint="eastAsia" w:ascii="宋体" w:hAnsi="宋体"/>
                <w:kern w:val="2"/>
                <w:szCs w:val="21"/>
              </w:rPr>
              <w:t>②供应商针对本项目执业人员到岗承诺及保障措施较合理较完善得2分；</w:t>
            </w:r>
          </w:p>
          <w:p>
            <w:pPr>
              <w:adjustRightInd w:val="0"/>
              <w:rPr>
                <w:rFonts w:ascii="宋体" w:hAnsi="宋体"/>
                <w:kern w:val="2"/>
                <w:szCs w:val="21"/>
              </w:rPr>
            </w:pPr>
            <w:r>
              <w:rPr>
                <w:rFonts w:hint="eastAsia" w:ascii="宋体" w:hAnsi="宋体"/>
                <w:kern w:val="2"/>
                <w:szCs w:val="21"/>
              </w:rPr>
              <w:t>③供应商针对本项目执业人员到岗承诺及保障措施不合理不完善得1分；</w:t>
            </w:r>
          </w:p>
          <w:p>
            <w:pPr>
              <w:adjustRightInd w:val="0"/>
              <w:rPr>
                <w:rFonts w:ascii="宋体" w:hAnsi="宋体"/>
                <w:kern w:val="2"/>
                <w:szCs w:val="21"/>
              </w:rPr>
            </w:pPr>
            <w:r>
              <w:rPr>
                <w:rFonts w:hint="eastAsia" w:ascii="宋体" w:hAnsi="宋体"/>
                <w:kern w:val="2"/>
                <w:szCs w:val="21"/>
              </w:rPr>
              <w:t>未提供不得分。</w:t>
            </w:r>
          </w:p>
          <w:p>
            <w:pPr>
              <w:adjustRightInd w:val="0"/>
              <w:rPr>
                <w:rFonts w:ascii="宋体" w:hAnsi="宋体"/>
                <w:kern w:val="2"/>
                <w:szCs w:val="21"/>
              </w:rPr>
            </w:pPr>
            <w:r>
              <w:rPr>
                <w:rFonts w:hint="eastAsia" w:ascii="宋体" w:hAnsi="宋体"/>
                <w:kern w:val="2"/>
                <w:szCs w:val="21"/>
              </w:rPr>
              <w:t>2、投标时限承诺及保障措施：</w:t>
            </w:r>
          </w:p>
          <w:p>
            <w:pPr>
              <w:adjustRightInd w:val="0"/>
              <w:rPr>
                <w:rFonts w:ascii="宋体" w:hAnsi="宋体"/>
                <w:kern w:val="2"/>
                <w:szCs w:val="21"/>
              </w:rPr>
            </w:pPr>
            <w:r>
              <w:rPr>
                <w:rFonts w:hint="eastAsia" w:ascii="宋体" w:hAnsi="宋体"/>
                <w:kern w:val="2"/>
                <w:szCs w:val="21"/>
              </w:rPr>
              <w:t>①供应商在本项目实施过程中承诺接到采购人通知后2小时内到场的，并给出相应解决方案执行性强，且有完善的保障措施得5分；</w:t>
            </w:r>
          </w:p>
          <w:p>
            <w:pPr>
              <w:adjustRightInd w:val="0"/>
              <w:rPr>
                <w:rFonts w:ascii="宋体" w:hAnsi="宋体"/>
                <w:kern w:val="2"/>
                <w:szCs w:val="21"/>
              </w:rPr>
            </w:pPr>
            <w:r>
              <w:rPr>
                <w:rFonts w:hint="eastAsia" w:ascii="宋体" w:hAnsi="宋体"/>
                <w:kern w:val="2"/>
                <w:szCs w:val="21"/>
              </w:rPr>
              <w:t>②供应商在本项目实施过程中承诺接到 采购人通知后2-8小时（不含8小时）到场，给出相应解决方案执行性较强，且有较完善的保障措施得3分；</w:t>
            </w:r>
          </w:p>
          <w:p>
            <w:pPr>
              <w:adjustRightInd w:val="0"/>
              <w:rPr>
                <w:rFonts w:ascii="宋体" w:hAnsi="宋体"/>
                <w:kern w:val="2"/>
                <w:szCs w:val="21"/>
              </w:rPr>
            </w:pPr>
            <w:r>
              <w:rPr>
                <w:rFonts w:hint="eastAsia" w:ascii="宋体" w:hAnsi="宋体"/>
                <w:kern w:val="2"/>
                <w:szCs w:val="21"/>
              </w:rPr>
              <w:t>③供应商在本项目实施过程中承诺接到采购人通知后8-24小时到场，并给出相应解决方案执行性较差，保障措施不完善得1分；</w:t>
            </w:r>
          </w:p>
          <w:p>
            <w:pPr>
              <w:adjustRightInd w:val="0"/>
              <w:rPr>
                <w:rFonts w:ascii="宋体" w:hAnsi="宋体"/>
                <w:kern w:val="2"/>
                <w:szCs w:val="21"/>
              </w:rPr>
            </w:pPr>
            <w:r>
              <w:rPr>
                <w:rFonts w:hint="eastAsia" w:ascii="宋体" w:hAnsi="宋体"/>
                <w:kern w:val="2"/>
                <w:szCs w:val="21"/>
              </w:rPr>
              <w:t>未提供不得分。</w:t>
            </w:r>
          </w:p>
          <w:p>
            <w:pPr>
              <w:adjustRightInd w:val="0"/>
              <w:rPr>
                <w:rFonts w:ascii="宋体" w:hAnsi="宋体"/>
                <w:kern w:val="2"/>
                <w:szCs w:val="21"/>
              </w:rPr>
            </w:pPr>
            <w:r>
              <w:rPr>
                <w:rFonts w:hint="eastAsia" w:ascii="宋体" w:hAnsi="宋体"/>
                <w:kern w:val="2"/>
                <w:szCs w:val="21"/>
              </w:rPr>
              <w:t>3、执业质量承诺：承诺执业质量符合采购人要求：</w:t>
            </w:r>
          </w:p>
          <w:p>
            <w:pPr>
              <w:adjustRightInd w:val="0"/>
              <w:rPr>
                <w:rFonts w:ascii="宋体" w:hAnsi="宋体"/>
                <w:kern w:val="2"/>
                <w:szCs w:val="21"/>
              </w:rPr>
            </w:pPr>
            <w:r>
              <w:rPr>
                <w:rFonts w:hint="eastAsia" w:ascii="宋体" w:hAnsi="宋体"/>
                <w:kern w:val="2"/>
                <w:szCs w:val="21"/>
              </w:rPr>
              <w:t>①供应商针对本项目执业质量承诺严格按照规范标准且完善得4分；</w:t>
            </w:r>
          </w:p>
          <w:p>
            <w:pPr>
              <w:adjustRightInd w:val="0"/>
              <w:rPr>
                <w:rFonts w:ascii="宋体" w:hAnsi="宋体"/>
                <w:kern w:val="2"/>
                <w:szCs w:val="21"/>
              </w:rPr>
            </w:pPr>
            <w:r>
              <w:rPr>
                <w:rFonts w:hint="eastAsia" w:ascii="宋体" w:hAnsi="宋体"/>
                <w:kern w:val="2"/>
                <w:szCs w:val="21"/>
              </w:rPr>
              <w:t>②供应商针对本项目执业质量承诺比较符合规范标准较完善得2分；</w:t>
            </w:r>
          </w:p>
          <w:p>
            <w:pPr>
              <w:adjustRightInd w:val="0"/>
              <w:rPr>
                <w:rFonts w:ascii="宋体" w:hAnsi="宋体"/>
                <w:kern w:val="2"/>
                <w:szCs w:val="21"/>
              </w:rPr>
            </w:pPr>
            <w:r>
              <w:rPr>
                <w:rFonts w:hint="eastAsia" w:ascii="宋体" w:hAnsi="宋体"/>
                <w:kern w:val="2"/>
                <w:szCs w:val="21"/>
              </w:rPr>
              <w:t>未提供不得分。</w:t>
            </w:r>
          </w:p>
          <w:p>
            <w:pPr>
              <w:adjustRightInd w:val="0"/>
              <w:rPr>
                <w:rFonts w:ascii="宋体" w:hAnsi="宋体"/>
                <w:kern w:val="2"/>
                <w:szCs w:val="21"/>
              </w:rPr>
            </w:pPr>
            <w:r>
              <w:rPr>
                <w:rFonts w:hint="eastAsia" w:ascii="宋体" w:hAnsi="宋体"/>
                <w:kern w:val="2"/>
                <w:szCs w:val="21"/>
              </w:rPr>
              <w:t>4、服从采购人管理承诺：承诺服务期内在任务分配、项目完成时间等方面服从采购人安排与管理。</w:t>
            </w:r>
          </w:p>
          <w:p>
            <w:pPr>
              <w:adjustRightInd w:val="0"/>
              <w:rPr>
                <w:rFonts w:ascii="宋体" w:hAnsi="宋体"/>
                <w:kern w:val="2"/>
                <w:szCs w:val="21"/>
              </w:rPr>
            </w:pPr>
            <w:r>
              <w:rPr>
                <w:rFonts w:hint="eastAsia" w:ascii="宋体" w:hAnsi="宋体"/>
                <w:kern w:val="2"/>
                <w:szCs w:val="21"/>
              </w:rPr>
              <w:t>①供应商针对本项目服从采购人管理承诺合理完善得3分；</w:t>
            </w:r>
          </w:p>
          <w:p>
            <w:pPr>
              <w:adjustRightInd w:val="0"/>
              <w:rPr>
                <w:rFonts w:ascii="宋体" w:hAnsi="宋体"/>
                <w:kern w:val="2"/>
                <w:szCs w:val="21"/>
              </w:rPr>
            </w:pPr>
            <w:r>
              <w:rPr>
                <w:rFonts w:hint="eastAsia" w:ascii="宋体" w:hAnsi="宋体"/>
                <w:kern w:val="2"/>
                <w:szCs w:val="21"/>
              </w:rPr>
              <w:t>②供应商针对本项目服从采购人管理承诺较合理较完善得1分；</w:t>
            </w:r>
          </w:p>
          <w:p>
            <w:pPr>
              <w:adjustRightInd w:val="0"/>
              <w:rPr>
                <w:rFonts w:ascii="宋体" w:hAnsi="宋体"/>
                <w:kern w:val="2"/>
                <w:szCs w:val="21"/>
              </w:rPr>
            </w:pPr>
            <w:r>
              <w:rPr>
                <w:rFonts w:hint="eastAsia" w:ascii="宋体" w:hAnsi="宋体"/>
                <w:kern w:val="2"/>
                <w:szCs w:val="21"/>
              </w:rPr>
              <w:t>未提供不得分。</w:t>
            </w:r>
          </w:p>
          <w:p>
            <w:pPr>
              <w:adjustRightInd w:val="0"/>
              <w:rPr>
                <w:rFonts w:ascii="宋体" w:hAnsi="宋体"/>
                <w:kern w:val="2"/>
                <w:szCs w:val="21"/>
              </w:rPr>
            </w:pPr>
            <w:r>
              <w:rPr>
                <w:rFonts w:hint="eastAsia" w:ascii="宋体" w:hAnsi="宋体"/>
                <w:kern w:val="2"/>
                <w:szCs w:val="21"/>
              </w:rPr>
              <w:t>以上</w:t>
            </w:r>
            <w:r>
              <w:rPr>
                <w:rFonts w:ascii="宋体" w:hAnsi="宋体"/>
                <w:kern w:val="2"/>
                <w:szCs w:val="21"/>
              </w:rPr>
              <w:t>承诺均需</w:t>
            </w:r>
            <w:r>
              <w:rPr>
                <w:rFonts w:hint="eastAsia" w:ascii="宋体" w:hAnsi="宋体"/>
                <w:kern w:val="2"/>
                <w:szCs w:val="21"/>
              </w:rPr>
              <w:t>在投标文件中提供承诺书作为证明</w:t>
            </w:r>
            <w:r>
              <w:rPr>
                <w:rFonts w:ascii="宋体" w:hAnsi="宋体"/>
                <w:kern w:val="2"/>
                <w:szCs w:val="21"/>
              </w:rPr>
              <w:t>材料</w:t>
            </w:r>
            <w:r>
              <w:rPr>
                <w:rFonts w:hint="eastAsia" w:ascii="宋体" w:hAnsi="宋体"/>
                <w:kern w:val="2"/>
                <w:szCs w:val="21"/>
              </w:rPr>
              <w:t>，</w:t>
            </w:r>
            <w:r>
              <w:rPr>
                <w:rFonts w:ascii="宋体" w:hAnsi="宋体"/>
                <w:kern w:val="2"/>
                <w:szCs w:val="21"/>
              </w:rPr>
              <w:t>格式自拟</w:t>
            </w:r>
            <w:r>
              <w:rPr>
                <w:rFonts w:hint="eastAsia" w:ascii="宋体" w:hAnsi="宋体"/>
                <w:kern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adjustRightInd w:val="0"/>
              <w:spacing w:before="93" w:beforeLines="30" w:after="93" w:afterLines="30"/>
              <w:jc w:val="center"/>
              <w:rPr>
                <w:rFonts w:ascii="宋体" w:hAnsi="宋体"/>
                <w:kern w:val="2"/>
                <w:szCs w:val="21"/>
              </w:rPr>
            </w:pPr>
            <w:r>
              <w:rPr>
                <w:rFonts w:hint="eastAsia" w:ascii="宋体" w:hAnsi="宋体"/>
                <w:kern w:val="2"/>
                <w:szCs w:val="21"/>
              </w:rPr>
              <w:t>审计服务方案</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15</w:t>
            </w:r>
            <w:r>
              <w:rPr>
                <w:rFonts w:hint="eastAsia" w:ascii="宋体" w:hAnsi="宋体"/>
                <w:kern w:val="2"/>
                <w:szCs w:val="21"/>
              </w:rPr>
              <w:t>分</w:t>
            </w:r>
          </w:p>
        </w:tc>
        <w:tc>
          <w:tcPr>
            <w:tcW w:w="6667" w:type="dxa"/>
            <w:noWrap w:val="0"/>
            <w:vAlign w:val="center"/>
          </w:tcPr>
          <w:p>
            <w:pPr>
              <w:adjustRightInd w:val="0"/>
              <w:rPr>
                <w:rFonts w:ascii="宋体" w:hAnsi="宋体"/>
                <w:kern w:val="2"/>
                <w:szCs w:val="21"/>
              </w:rPr>
            </w:pPr>
            <w:r>
              <w:rPr>
                <w:rFonts w:hint="eastAsia" w:ascii="宋体" w:hAnsi="宋体"/>
                <w:kern w:val="2"/>
                <w:szCs w:val="21"/>
              </w:rPr>
              <w:t>1、服务理念：服务优质、质量效率强3分；服务理念质量效率较强得</w:t>
            </w:r>
            <w:r>
              <w:rPr>
                <w:rFonts w:ascii="宋体" w:hAnsi="宋体"/>
                <w:kern w:val="2"/>
                <w:szCs w:val="21"/>
              </w:rPr>
              <w:t>2</w:t>
            </w:r>
            <w:r>
              <w:rPr>
                <w:rFonts w:hint="eastAsia" w:ascii="宋体" w:hAnsi="宋体"/>
                <w:kern w:val="2"/>
                <w:szCs w:val="21"/>
              </w:rPr>
              <w:t>分；服务差，质量效率一般得</w:t>
            </w:r>
            <w:r>
              <w:rPr>
                <w:rFonts w:ascii="宋体" w:hAnsi="宋体"/>
                <w:kern w:val="2"/>
                <w:szCs w:val="21"/>
              </w:rPr>
              <w:t>1</w:t>
            </w:r>
            <w:r>
              <w:rPr>
                <w:rFonts w:hint="eastAsia" w:ascii="宋体" w:hAnsi="宋体"/>
                <w:kern w:val="2"/>
                <w:szCs w:val="21"/>
              </w:rPr>
              <w:t>分，不提供不得分。</w:t>
            </w:r>
          </w:p>
          <w:p>
            <w:pPr>
              <w:adjustRightInd w:val="0"/>
              <w:rPr>
                <w:rFonts w:ascii="宋体" w:hAnsi="宋体"/>
                <w:kern w:val="2"/>
                <w:szCs w:val="21"/>
              </w:rPr>
            </w:pPr>
            <w:r>
              <w:rPr>
                <w:rFonts w:hint="eastAsia" w:ascii="宋体" w:hAnsi="宋体"/>
                <w:kern w:val="2"/>
                <w:szCs w:val="21"/>
              </w:rPr>
              <w:t>2、工作进度计划措施及编制审核工作流程：措施可行性强，工作流程可靠性高得</w:t>
            </w:r>
            <w:r>
              <w:rPr>
                <w:rFonts w:ascii="宋体" w:hAnsi="宋体"/>
                <w:kern w:val="2"/>
                <w:szCs w:val="21"/>
              </w:rPr>
              <w:t>3</w:t>
            </w:r>
            <w:r>
              <w:rPr>
                <w:rFonts w:hint="eastAsia" w:ascii="宋体" w:hAnsi="宋体"/>
                <w:kern w:val="2"/>
                <w:szCs w:val="21"/>
              </w:rPr>
              <w:t>分；措施可行性较强，工作流程可靠性较高得</w:t>
            </w:r>
            <w:r>
              <w:rPr>
                <w:rFonts w:ascii="宋体" w:hAnsi="宋体"/>
                <w:kern w:val="2"/>
                <w:szCs w:val="21"/>
              </w:rPr>
              <w:t>2</w:t>
            </w:r>
            <w:r>
              <w:rPr>
                <w:rFonts w:hint="eastAsia" w:ascii="宋体" w:hAnsi="宋体"/>
                <w:kern w:val="2"/>
                <w:szCs w:val="21"/>
              </w:rPr>
              <w:t>分；措施可行性差，工作流程可靠性一般得</w:t>
            </w:r>
            <w:r>
              <w:rPr>
                <w:rFonts w:ascii="宋体" w:hAnsi="宋体"/>
                <w:kern w:val="2"/>
                <w:szCs w:val="21"/>
              </w:rPr>
              <w:t>1</w:t>
            </w:r>
            <w:r>
              <w:rPr>
                <w:rFonts w:hint="eastAsia" w:ascii="宋体" w:hAnsi="宋体"/>
                <w:kern w:val="2"/>
                <w:szCs w:val="21"/>
              </w:rPr>
              <w:t>分；不提供不得分。</w:t>
            </w:r>
          </w:p>
          <w:p>
            <w:pPr>
              <w:adjustRightInd w:val="0"/>
              <w:rPr>
                <w:rFonts w:ascii="宋体" w:hAnsi="宋体"/>
                <w:kern w:val="2"/>
                <w:szCs w:val="21"/>
              </w:rPr>
            </w:pPr>
            <w:r>
              <w:rPr>
                <w:rFonts w:hint="eastAsia" w:ascii="宋体" w:hAnsi="宋体"/>
                <w:kern w:val="2"/>
                <w:szCs w:val="21"/>
              </w:rPr>
              <w:t>3、针对采购人特点应采取的内部控制制度：制度完善可行性高得</w:t>
            </w:r>
            <w:r>
              <w:rPr>
                <w:rFonts w:ascii="宋体" w:hAnsi="宋体"/>
                <w:kern w:val="2"/>
                <w:szCs w:val="21"/>
              </w:rPr>
              <w:t>3</w:t>
            </w:r>
            <w:r>
              <w:rPr>
                <w:rFonts w:hint="eastAsia" w:ascii="宋体" w:hAnsi="宋体"/>
                <w:kern w:val="2"/>
                <w:szCs w:val="21"/>
              </w:rPr>
              <w:t>分；制度较完善可行性较高得</w:t>
            </w:r>
            <w:r>
              <w:rPr>
                <w:rFonts w:ascii="宋体" w:hAnsi="宋体"/>
                <w:kern w:val="2"/>
                <w:szCs w:val="21"/>
              </w:rPr>
              <w:t>2</w:t>
            </w:r>
            <w:r>
              <w:rPr>
                <w:rFonts w:hint="eastAsia" w:ascii="宋体" w:hAnsi="宋体"/>
                <w:kern w:val="2"/>
                <w:szCs w:val="21"/>
              </w:rPr>
              <w:t>分；制度不完善可行性一般得1分；不提供不得分。</w:t>
            </w:r>
          </w:p>
          <w:p>
            <w:pPr>
              <w:adjustRightInd w:val="0"/>
              <w:rPr>
                <w:rFonts w:ascii="宋体" w:hAnsi="宋体"/>
                <w:kern w:val="2"/>
                <w:szCs w:val="21"/>
              </w:rPr>
            </w:pPr>
            <w:r>
              <w:rPr>
                <w:rFonts w:hint="eastAsia" w:ascii="宋体" w:hAnsi="宋体"/>
                <w:kern w:val="2"/>
                <w:szCs w:val="21"/>
              </w:rPr>
              <w:t>4、具有针对性的服务措施：针对性强、措施全面得</w:t>
            </w:r>
            <w:r>
              <w:rPr>
                <w:rFonts w:ascii="宋体" w:hAnsi="宋体"/>
                <w:kern w:val="2"/>
                <w:szCs w:val="21"/>
              </w:rPr>
              <w:t>3</w:t>
            </w:r>
            <w:r>
              <w:rPr>
                <w:rFonts w:hint="eastAsia" w:ascii="宋体" w:hAnsi="宋体"/>
                <w:kern w:val="2"/>
                <w:szCs w:val="21"/>
              </w:rPr>
              <w:t>分；针对性较强、措施较全面得</w:t>
            </w:r>
            <w:r>
              <w:rPr>
                <w:rFonts w:ascii="宋体" w:hAnsi="宋体"/>
                <w:kern w:val="2"/>
                <w:szCs w:val="21"/>
              </w:rPr>
              <w:t>2</w:t>
            </w:r>
            <w:r>
              <w:rPr>
                <w:rFonts w:hint="eastAsia" w:ascii="宋体" w:hAnsi="宋体"/>
                <w:kern w:val="2"/>
                <w:szCs w:val="21"/>
              </w:rPr>
              <w:t>分；针对性一般、措施不全面得</w:t>
            </w:r>
            <w:r>
              <w:rPr>
                <w:rFonts w:ascii="宋体" w:hAnsi="宋体"/>
                <w:kern w:val="2"/>
                <w:szCs w:val="21"/>
              </w:rPr>
              <w:t>1</w:t>
            </w:r>
            <w:r>
              <w:rPr>
                <w:rFonts w:hint="eastAsia" w:ascii="宋体" w:hAnsi="宋体"/>
                <w:kern w:val="2"/>
                <w:szCs w:val="21"/>
              </w:rPr>
              <w:t>分；不提供不得分；。</w:t>
            </w:r>
          </w:p>
          <w:p>
            <w:pPr>
              <w:adjustRightInd w:val="0"/>
              <w:rPr>
                <w:rFonts w:ascii="宋体" w:hAnsi="宋体"/>
                <w:kern w:val="2"/>
                <w:szCs w:val="21"/>
              </w:rPr>
            </w:pPr>
            <w:r>
              <w:rPr>
                <w:rFonts w:hint="eastAsia" w:ascii="宋体" w:hAnsi="宋体"/>
                <w:kern w:val="2"/>
                <w:szCs w:val="21"/>
              </w:rPr>
              <w:t>5、应急方案处理：方案可行性高得</w:t>
            </w:r>
            <w:r>
              <w:rPr>
                <w:rFonts w:ascii="宋体" w:hAnsi="宋体"/>
                <w:kern w:val="2"/>
                <w:szCs w:val="21"/>
              </w:rPr>
              <w:t>3</w:t>
            </w:r>
            <w:r>
              <w:rPr>
                <w:rFonts w:hint="eastAsia" w:ascii="宋体" w:hAnsi="宋体"/>
                <w:kern w:val="2"/>
                <w:szCs w:val="21"/>
              </w:rPr>
              <w:t>分；方案可行性较高得</w:t>
            </w:r>
            <w:r>
              <w:rPr>
                <w:rFonts w:ascii="宋体" w:hAnsi="宋体"/>
                <w:kern w:val="2"/>
                <w:szCs w:val="21"/>
              </w:rPr>
              <w:t>2</w:t>
            </w:r>
            <w:r>
              <w:rPr>
                <w:rFonts w:hint="eastAsia" w:ascii="宋体" w:hAnsi="宋体"/>
                <w:kern w:val="2"/>
                <w:szCs w:val="21"/>
              </w:rPr>
              <w:t>分；方案可行性一般得</w:t>
            </w:r>
            <w:r>
              <w:rPr>
                <w:rFonts w:ascii="宋体" w:hAnsi="宋体"/>
                <w:kern w:val="2"/>
                <w:szCs w:val="21"/>
              </w:rPr>
              <w:t>1</w:t>
            </w:r>
            <w:r>
              <w:rPr>
                <w:rFonts w:hint="eastAsia" w:ascii="宋体" w:hAnsi="宋体"/>
                <w:kern w:val="2"/>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审核程序</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5</w:t>
            </w:r>
            <w:r>
              <w:rPr>
                <w:rFonts w:hint="eastAsia" w:ascii="宋体" w:hAnsi="宋体"/>
                <w:kern w:val="2"/>
                <w:szCs w:val="21"/>
              </w:rPr>
              <w:t>分</w:t>
            </w:r>
          </w:p>
        </w:tc>
        <w:tc>
          <w:tcPr>
            <w:tcW w:w="6667" w:type="dxa"/>
            <w:noWrap w:val="0"/>
            <w:vAlign w:val="top"/>
          </w:tcPr>
          <w:p>
            <w:pPr>
              <w:adjustRightInd w:val="0"/>
              <w:spacing w:before="93" w:beforeLines="30" w:after="93" w:afterLines="30"/>
              <w:rPr>
                <w:rFonts w:ascii="宋体" w:hAnsi="宋体"/>
                <w:kern w:val="2"/>
                <w:szCs w:val="21"/>
              </w:rPr>
            </w:pPr>
            <w:r>
              <w:rPr>
                <w:rFonts w:hint="eastAsia" w:ascii="宋体" w:hAnsi="宋体"/>
                <w:kern w:val="2"/>
                <w:szCs w:val="21"/>
              </w:rPr>
              <w:t>根据审核程序的完善性、严谨性、合理性、清晰度等，由评审专家根据方案情况进行打分：完整性高、合理性强、清晰度高得</w:t>
            </w:r>
            <w:r>
              <w:rPr>
                <w:rFonts w:ascii="宋体" w:hAnsi="宋体"/>
                <w:kern w:val="2"/>
                <w:szCs w:val="21"/>
              </w:rPr>
              <w:t>5</w:t>
            </w:r>
            <w:r>
              <w:rPr>
                <w:rFonts w:hint="eastAsia" w:ascii="宋体" w:hAnsi="宋体"/>
                <w:kern w:val="2"/>
                <w:szCs w:val="21"/>
              </w:rPr>
              <w:t>分；完整性较高、合理性较强、清晰度较高得</w:t>
            </w:r>
            <w:r>
              <w:rPr>
                <w:rFonts w:ascii="宋体" w:hAnsi="宋体"/>
                <w:kern w:val="2"/>
                <w:szCs w:val="21"/>
              </w:rPr>
              <w:t>3</w:t>
            </w:r>
            <w:r>
              <w:rPr>
                <w:rFonts w:hint="eastAsia" w:ascii="宋体" w:hAnsi="宋体"/>
                <w:kern w:val="2"/>
                <w:szCs w:val="21"/>
              </w:rPr>
              <w:t>分；完整性差、合理性一般、清晰度一般得</w:t>
            </w:r>
            <w:r>
              <w:rPr>
                <w:rFonts w:ascii="宋体" w:hAnsi="宋体"/>
                <w:kern w:val="2"/>
                <w:szCs w:val="21"/>
              </w:rPr>
              <w:t>1</w:t>
            </w:r>
            <w:r>
              <w:rPr>
                <w:rFonts w:hint="eastAsia" w:ascii="宋体" w:hAnsi="宋体"/>
                <w:kern w:val="2"/>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adjustRightInd w:val="0"/>
              <w:spacing w:before="93" w:beforeLines="30" w:after="93" w:afterLines="30"/>
              <w:jc w:val="center"/>
              <w:rPr>
                <w:rFonts w:ascii="宋体" w:hAnsi="宋体"/>
                <w:kern w:val="2"/>
                <w:szCs w:val="21"/>
              </w:rPr>
            </w:pPr>
            <w:r>
              <w:rPr>
                <w:rFonts w:hint="eastAsia" w:ascii="宋体" w:hAnsi="宋体"/>
                <w:kern w:val="2"/>
                <w:szCs w:val="21"/>
              </w:rPr>
              <w:t>三级复核制度</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5</w:t>
            </w:r>
            <w:r>
              <w:rPr>
                <w:rFonts w:hint="eastAsia" w:ascii="宋体" w:hAnsi="宋体"/>
                <w:kern w:val="2"/>
                <w:szCs w:val="21"/>
              </w:rPr>
              <w:t>分</w:t>
            </w:r>
          </w:p>
        </w:tc>
        <w:tc>
          <w:tcPr>
            <w:tcW w:w="6667" w:type="dxa"/>
            <w:noWrap w:val="0"/>
            <w:vAlign w:val="top"/>
          </w:tcPr>
          <w:p>
            <w:pPr>
              <w:adjustRightInd w:val="0"/>
              <w:spacing w:before="93" w:beforeLines="30" w:after="93" w:afterLines="30"/>
              <w:rPr>
                <w:rFonts w:ascii="宋体" w:hAnsi="宋体"/>
                <w:kern w:val="2"/>
                <w:szCs w:val="21"/>
              </w:rPr>
            </w:pPr>
            <w:r>
              <w:rPr>
                <w:rFonts w:hint="eastAsia" w:ascii="宋体" w:hAnsi="宋体"/>
                <w:kern w:val="2"/>
                <w:szCs w:val="21"/>
              </w:rPr>
              <w:t>根据三级复核制度机制的科学性、合理性等，由评审专家根据方案情况进行打分：科学性高、合理性强得</w:t>
            </w:r>
            <w:r>
              <w:rPr>
                <w:rFonts w:ascii="宋体" w:hAnsi="宋体"/>
                <w:kern w:val="2"/>
                <w:szCs w:val="21"/>
              </w:rPr>
              <w:t>5</w:t>
            </w:r>
            <w:r>
              <w:rPr>
                <w:rFonts w:hint="eastAsia" w:ascii="宋体" w:hAnsi="宋体"/>
                <w:kern w:val="2"/>
                <w:szCs w:val="21"/>
              </w:rPr>
              <w:t>分；科学性较高、合理性较强得</w:t>
            </w:r>
            <w:r>
              <w:rPr>
                <w:rFonts w:ascii="宋体" w:hAnsi="宋体"/>
                <w:kern w:val="2"/>
                <w:szCs w:val="21"/>
              </w:rPr>
              <w:t>3</w:t>
            </w:r>
            <w:r>
              <w:rPr>
                <w:rFonts w:hint="eastAsia" w:ascii="宋体" w:hAnsi="宋体"/>
                <w:kern w:val="2"/>
                <w:szCs w:val="21"/>
              </w:rPr>
              <w:t>分；科学性差、合理性一般得</w:t>
            </w:r>
            <w:r>
              <w:rPr>
                <w:rFonts w:ascii="宋体" w:hAnsi="宋体"/>
                <w:kern w:val="2"/>
                <w:szCs w:val="21"/>
              </w:rPr>
              <w:t>1</w:t>
            </w:r>
            <w:r>
              <w:rPr>
                <w:rFonts w:hint="eastAsia" w:ascii="宋体" w:hAnsi="宋体"/>
                <w:kern w:val="2"/>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质量保证措施</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5</w:t>
            </w:r>
            <w:r>
              <w:rPr>
                <w:rFonts w:hint="eastAsia" w:ascii="宋体" w:hAnsi="宋体"/>
                <w:kern w:val="2"/>
                <w:szCs w:val="21"/>
              </w:rPr>
              <w:t>分</w:t>
            </w:r>
          </w:p>
        </w:tc>
        <w:tc>
          <w:tcPr>
            <w:tcW w:w="6667" w:type="dxa"/>
            <w:noWrap w:val="0"/>
            <w:vAlign w:val="top"/>
          </w:tcPr>
          <w:p>
            <w:pPr>
              <w:adjustRightInd w:val="0"/>
              <w:spacing w:before="93" w:beforeLines="30" w:after="93" w:afterLines="30"/>
              <w:rPr>
                <w:rFonts w:ascii="宋体" w:hAnsi="宋体"/>
                <w:kern w:val="2"/>
                <w:szCs w:val="21"/>
              </w:rPr>
            </w:pPr>
            <w:r>
              <w:rPr>
                <w:rFonts w:hint="eastAsia" w:ascii="宋体" w:hAnsi="宋体"/>
                <w:kern w:val="2"/>
                <w:szCs w:val="21"/>
              </w:rPr>
              <w:t>根据质量保证措施的科学性、合理性、完整性等，由评审专家根据方案情况进行打分：科学性高、合理性强、完整性高得</w:t>
            </w:r>
            <w:r>
              <w:rPr>
                <w:rFonts w:ascii="宋体" w:hAnsi="宋体"/>
                <w:kern w:val="2"/>
                <w:szCs w:val="21"/>
              </w:rPr>
              <w:t>5</w:t>
            </w:r>
            <w:r>
              <w:rPr>
                <w:rFonts w:hint="eastAsia" w:ascii="宋体" w:hAnsi="宋体"/>
                <w:kern w:val="2"/>
                <w:szCs w:val="21"/>
              </w:rPr>
              <w:t>分；科学性较高、合理性较强、完整性较高得</w:t>
            </w:r>
            <w:r>
              <w:rPr>
                <w:rFonts w:ascii="宋体" w:hAnsi="宋体"/>
                <w:kern w:val="2"/>
                <w:szCs w:val="21"/>
              </w:rPr>
              <w:t>3</w:t>
            </w:r>
            <w:r>
              <w:rPr>
                <w:rFonts w:hint="eastAsia" w:ascii="宋体" w:hAnsi="宋体"/>
                <w:kern w:val="2"/>
                <w:szCs w:val="21"/>
              </w:rPr>
              <w:t>分；一般或不提供不得分。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获得有关政府部门的奖项</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3分</w:t>
            </w:r>
          </w:p>
        </w:tc>
        <w:tc>
          <w:tcPr>
            <w:tcW w:w="6667" w:type="dxa"/>
            <w:noWrap w:val="0"/>
            <w:vAlign w:val="top"/>
          </w:tcPr>
          <w:p>
            <w:pPr>
              <w:widowControl w:val="0"/>
              <w:rPr>
                <w:rFonts w:ascii="宋体" w:hAnsi="宋体"/>
                <w:kern w:val="2"/>
                <w:szCs w:val="21"/>
              </w:rPr>
            </w:pPr>
            <w:r>
              <w:rPr>
                <w:rFonts w:hint="eastAsia" w:ascii="宋体" w:hAnsi="宋体"/>
                <w:kern w:val="2"/>
                <w:szCs w:val="21"/>
              </w:rPr>
              <w:t>提供一份得 1 分，最高得 3分。提供相关证书扫描件。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项目人员配备</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12</w:t>
            </w:r>
            <w:r>
              <w:rPr>
                <w:rFonts w:hint="eastAsia" w:ascii="宋体" w:hAnsi="宋体"/>
                <w:kern w:val="2"/>
                <w:szCs w:val="21"/>
              </w:rPr>
              <w:t>分</w:t>
            </w:r>
          </w:p>
        </w:tc>
        <w:tc>
          <w:tcPr>
            <w:tcW w:w="6667" w:type="dxa"/>
            <w:noWrap w:val="0"/>
            <w:vAlign w:val="center"/>
          </w:tcPr>
          <w:p>
            <w:pPr>
              <w:adjustRightInd w:val="0"/>
              <w:spacing w:before="93" w:beforeLines="30" w:after="93" w:afterLines="30"/>
              <w:rPr>
                <w:rFonts w:ascii="宋体" w:hAnsi="宋体"/>
                <w:kern w:val="2"/>
                <w:szCs w:val="21"/>
              </w:rPr>
            </w:pPr>
            <w:r>
              <w:rPr>
                <w:rFonts w:hint="eastAsia" w:ascii="宋体" w:hAnsi="宋体"/>
                <w:kern w:val="2"/>
                <w:szCs w:val="21"/>
              </w:rPr>
              <w:t>除拟派负责人外：</w:t>
            </w:r>
          </w:p>
          <w:p>
            <w:pPr>
              <w:adjustRightInd w:val="0"/>
              <w:spacing w:before="93" w:beforeLines="30" w:after="93" w:afterLines="30"/>
              <w:rPr>
                <w:rFonts w:ascii="宋体" w:hAnsi="宋体"/>
                <w:kern w:val="2"/>
                <w:szCs w:val="21"/>
              </w:rPr>
            </w:pPr>
            <w:r>
              <w:rPr>
                <w:rFonts w:hint="eastAsia" w:ascii="宋体" w:hAnsi="宋体"/>
                <w:kern w:val="2"/>
                <w:szCs w:val="21"/>
              </w:rPr>
              <w:t>1.其他项目成员具有注册会计师证书或高级会计师证书，每人得3分，最多得9分；</w:t>
            </w:r>
          </w:p>
          <w:p>
            <w:pPr>
              <w:adjustRightInd w:val="0"/>
              <w:spacing w:before="93" w:beforeLines="30" w:after="93" w:afterLines="30"/>
              <w:rPr>
                <w:rFonts w:ascii="宋体" w:hAnsi="宋体"/>
                <w:kern w:val="2"/>
                <w:szCs w:val="21"/>
              </w:rPr>
            </w:pPr>
            <w:r>
              <w:rPr>
                <w:rFonts w:hint="eastAsia" w:ascii="宋体" w:hAnsi="宋体"/>
                <w:kern w:val="2"/>
                <w:szCs w:val="21"/>
              </w:rPr>
              <w:t>2.其他项目成员具有审计或会计专业中级及以上职称，每人得1分，最多得3分。</w:t>
            </w:r>
          </w:p>
          <w:p>
            <w:pPr>
              <w:adjustRightInd w:val="0"/>
              <w:spacing w:before="93" w:beforeLines="30" w:after="93" w:afterLines="30"/>
              <w:rPr>
                <w:rFonts w:ascii="宋体" w:hAnsi="宋体"/>
                <w:kern w:val="2"/>
                <w:szCs w:val="21"/>
              </w:rPr>
            </w:pPr>
            <w:r>
              <w:rPr>
                <w:rFonts w:hint="eastAsia" w:ascii="宋体" w:hAnsi="宋体"/>
                <w:kern w:val="2"/>
                <w:szCs w:val="21"/>
              </w:rPr>
              <w:t>注:（1）提供注册证书、资格证书或职称证书并加盖公章；</w:t>
            </w:r>
          </w:p>
          <w:p>
            <w:pPr>
              <w:adjustRightInd w:val="0"/>
              <w:spacing w:before="93" w:beforeLines="30" w:after="93" w:afterLines="30"/>
              <w:rPr>
                <w:rFonts w:ascii="宋体" w:hAnsi="宋体"/>
                <w:kern w:val="2"/>
                <w:szCs w:val="21"/>
              </w:rPr>
            </w:pPr>
            <w:r>
              <w:rPr>
                <w:rFonts w:hint="eastAsia" w:ascii="宋体" w:hAnsi="宋体"/>
                <w:kern w:val="2"/>
                <w:szCs w:val="21"/>
              </w:rPr>
              <w:t>（2）提供项目投标截止时间前，六个月内任意一个月供应商为其缴纳的社保缴纳证明材料。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合计</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60</w:t>
            </w:r>
            <w:r>
              <w:rPr>
                <w:rFonts w:hint="eastAsia" w:ascii="宋体" w:hAnsi="宋体"/>
                <w:kern w:val="2"/>
                <w:szCs w:val="21"/>
              </w:rPr>
              <w:t>分</w:t>
            </w:r>
          </w:p>
        </w:tc>
        <w:tc>
          <w:tcPr>
            <w:tcW w:w="6667" w:type="dxa"/>
            <w:noWrap w:val="0"/>
            <w:vAlign w:val="center"/>
          </w:tcPr>
          <w:p>
            <w:pPr>
              <w:widowControl w:val="0"/>
              <w:autoSpaceDE w:val="0"/>
              <w:autoSpaceDN w:val="0"/>
              <w:spacing w:line="360" w:lineRule="auto"/>
              <w:jc w:val="center"/>
              <w:rPr>
                <w:rFonts w:ascii="宋体" w:hAnsi="宋体"/>
                <w:kern w:val="2"/>
                <w:szCs w:val="21"/>
              </w:rPr>
            </w:pPr>
          </w:p>
        </w:tc>
      </w:tr>
    </w:tbl>
    <w:p>
      <w:pPr>
        <w:widowControl w:val="0"/>
        <w:spacing w:line="360" w:lineRule="auto"/>
        <w:jc w:val="both"/>
        <w:rPr>
          <w:rFonts w:ascii="宋体" w:hAnsi="宋体"/>
          <w:kern w:val="2"/>
          <w:sz w:val="24"/>
          <w:szCs w:val="24"/>
        </w:rPr>
      </w:pPr>
      <w:r>
        <w:rPr>
          <w:rFonts w:hint="eastAsia" w:ascii="宋体" w:hAnsi="宋体"/>
          <w:kern w:val="2"/>
          <w:sz w:val="24"/>
          <w:szCs w:val="24"/>
        </w:rPr>
        <w:t>备注：</w:t>
      </w:r>
    </w:p>
    <w:p>
      <w:pPr>
        <w:widowControl w:val="0"/>
        <w:spacing w:line="360" w:lineRule="auto"/>
        <w:jc w:val="both"/>
        <w:rPr>
          <w:rFonts w:ascii="宋体" w:hAnsi="宋体"/>
          <w:bCs/>
          <w:kern w:val="2"/>
          <w:sz w:val="24"/>
          <w:szCs w:val="24"/>
        </w:rPr>
      </w:pPr>
      <w:r>
        <w:rPr>
          <w:rFonts w:hint="eastAsia" w:ascii="宋体" w:hAnsi="宋体"/>
          <w:kern w:val="2"/>
          <w:sz w:val="24"/>
          <w:szCs w:val="24"/>
        </w:rPr>
        <w:t>1.</w:t>
      </w:r>
      <w:r>
        <w:rPr>
          <w:rFonts w:hint="eastAsia" w:ascii="宋体" w:hAnsi="宋体"/>
          <w:bCs/>
          <w:kern w:val="2"/>
          <w:sz w:val="24"/>
          <w:szCs w:val="24"/>
        </w:rPr>
        <w:t>供应商应根据评审项目或内容提交相关的证明材料。</w:t>
      </w:r>
    </w:p>
    <w:p>
      <w:pPr>
        <w:widowControl w:val="0"/>
        <w:spacing w:line="360" w:lineRule="auto"/>
        <w:jc w:val="both"/>
        <w:rPr>
          <w:rFonts w:ascii="Calibri" w:hAnsi="Calibri"/>
          <w:kern w:val="2"/>
          <w:sz w:val="24"/>
          <w:szCs w:val="24"/>
        </w:rPr>
      </w:pPr>
      <w:r>
        <w:rPr>
          <w:rFonts w:hint="eastAsia" w:ascii="宋体" w:hAnsi="宋体" w:cs="宋体"/>
          <w:bCs/>
          <w:kern w:val="2"/>
          <w:sz w:val="24"/>
          <w:szCs w:val="24"/>
        </w:rPr>
        <w:t>2.</w:t>
      </w:r>
      <w:r>
        <w:rPr>
          <w:rFonts w:hint="eastAsia" w:ascii="宋体" w:hAnsi="宋体"/>
          <w:bCs/>
          <w:kern w:val="2"/>
          <w:sz w:val="24"/>
          <w:szCs w:val="24"/>
        </w:rPr>
        <w:t>供应商</w:t>
      </w:r>
      <w:r>
        <w:rPr>
          <w:rFonts w:hint="eastAsia" w:ascii="宋体" w:hAnsi="宋体"/>
          <w:kern w:val="2"/>
          <w:sz w:val="24"/>
          <w:szCs w:val="24"/>
        </w:rPr>
        <w:t>未提供各项评审的相关内容证明文件或证明文件模糊不清</w:t>
      </w:r>
      <w:r>
        <w:rPr>
          <w:rFonts w:hint="eastAsia" w:ascii="宋体" w:hAnsi="宋体" w:cs="宋体"/>
          <w:bCs/>
          <w:kern w:val="2"/>
          <w:sz w:val="24"/>
          <w:szCs w:val="24"/>
        </w:rPr>
        <w:t>（有有效期的，须在有效期内）</w:t>
      </w:r>
      <w:r>
        <w:rPr>
          <w:rFonts w:hint="eastAsia" w:ascii="宋体" w:hAnsi="宋体"/>
          <w:kern w:val="2"/>
          <w:sz w:val="24"/>
          <w:szCs w:val="24"/>
        </w:rPr>
        <w:t>，以致评委无法做出准确评判时，该项得分为0分。</w:t>
      </w:r>
    </w:p>
    <w:p>
      <w:pPr>
        <w:keepNext/>
        <w:keepLines/>
        <w:widowControl w:val="0"/>
        <w:tabs>
          <w:tab w:val="left" w:pos="945"/>
        </w:tabs>
        <w:spacing w:line="360" w:lineRule="auto"/>
        <w:jc w:val="center"/>
        <w:outlineLvl w:val="2"/>
        <w:rPr>
          <w:rFonts w:hint="eastAsia" w:ascii="宋体" w:hAnsi="宋体"/>
          <w:b/>
          <w:bCs/>
          <w:kern w:val="2"/>
          <w:sz w:val="24"/>
          <w:szCs w:val="24"/>
          <w:lang w:val="zh-CN"/>
        </w:rPr>
      </w:pPr>
    </w:p>
    <w:p>
      <w:pPr>
        <w:keepNext/>
        <w:keepLines/>
        <w:widowControl w:val="0"/>
        <w:tabs>
          <w:tab w:val="left" w:pos="945"/>
        </w:tabs>
        <w:spacing w:line="360" w:lineRule="auto"/>
        <w:jc w:val="center"/>
        <w:outlineLvl w:val="2"/>
        <w:rPr>
          <w:rFonts w:ascii="宋体" w:hAnsi="宋体"/>
          <w:b/>
          <w:bCs/>
          <w:kern w:val="2"/>
          <w:sz w:val="24"/>
          <w:szCs w:val="24"/>
          <w:lang w:val="zh-CN"/>
        </w:rPr>
      </w:pPr>
      <w:r>
        <w:rPr>
          <w:rFonts w:hint="eastAsia" w:ascii="宋体" w:hAnsi="宋体"/>
          <w:b/>
          <w:bCs/>
          <w:kern w:val="2"/>
          <w:sz w:val="24"/>
          <w:szCs w:val="24"/>
          <w:lang w:val="zh-CN"/>
        </w:rPr>
        <w:t>商务评审表</w:t>
      </w:r>
    </w:p>
    <w:tbl>
      <w:tblPr>
        <w:tblStyle w:val="1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851"/>
        <w:gridCol w:w="6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评审因素</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分值</w:t>
            </w:r>
          </w:p>
        </w:tc>
        <w:tc>
          <w:tcPr>
            <w:tcW w:w="6647"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类似业绩</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30</w:t>
            </w:r>
            <w:r>
              <w:rPr>
                <w:rFonts w:hint="eastAsia" w:ascii="宋体" w:hAnsi="宋体"/>
                <w:kern w:val="2"/>
                <w:szCs w:val="21"/>
              </w:rPr>
              <w:t>分</w:t>
            </w:r>
          </w:p>
        </w:tc>
        <w:tc>
          <w:tcPr>
            <w:tcW w:w="6647" w:type="dxa"/>
            <w:noWrap w:val="0"/>
            <w:vAlign w:val="center"/>
          </w:tcPr>
          <w:p>
            <w:pPr>
              <w:adjustRightInd w:val="0"/>
              <w:spacing w:before="93" w:beforeLines="30" w:after="93" w:afterLines="30"/>
              <w:jc w:val="both"/>
              <w:rPr>
                <w:rFonts w:ascii="宋体" w:hAnsi="宋体"/>
                <w:kern w:val="2"/>
                <w:szCs w:val="21"/>
              </w:rPr>
            </w:pPr>
            <w:r>
              <w:rPr>
                <w:rFonts w:hint="eastAsia" w:ascii="宋体" w:hAnsi="宋体"/>
                <w:kern w:val="2"/>
                <w:szCs w:val="21"/>
              </w:rPr>
              <w:t>供应商 201</w:t>
            </w:r>
            <w:r>
              <w:rPr>
                <w:rFonts w:hint="eastAsia" w:ascii="宋体" w:hAnsi="宋体"/>
                <w:kern w:val="2"/>
                <w:szCs w:val="21"/>
                <w:lang w:val="en-US" w:eastAsia="zh-CN"/>
              </w:rPr>
              <w:t>8</w:t>
            </w:r>
            <w:r>
              <w:rPr>
                <w:rFonts w:hint="eastAsia" w:ascii="宋体" w:hAnsi="宋体"/>
                <w:kern w:val="2"/>
                <w:szCs w:val="21"/>
              </w:rPr>
              <w:t xml:space="preserve"> 年1月1日以来（以成果资料完成时间为准）完成过审计、专项审计业绩，每提供一项业绩得</w:t>
            </w:r>
            <w:r>
              <w:rPr>
                <w:rFonts w:ascii="宋体" w:hAnsi="宋体"/>
                <w:kern w:val="2"/>
                <w:szCs w:val="21"/>
              </w:rPr>
              <w:t>5</w:t>
            </w:r>
            <w:r>
              <w:rPr>
                <w:rFonts w:hint="eastAsia" w:ascii="宋体" w:hAnsi="宋体"/>
                <w:kern w:val="2"/>
                <w:szCs w:val="21"/>
              </w:rPr>
              <w:t>分，最多得</w:t>
            </w:r>
            <w:r>
              <w:rPr>
                <w:rFonts w:ascii="宋体" w:hAnsi="宋体"/>
                <w:kern w:val="2"/>
                <w:szCs w:val="21"/>
              </w:rPr>
              <w:t>30</w:t>
            </w:r>
            <w:r>
              <w:rPr>
                <w:rFonts w:hint="eastAsia" w:ascii="宋体" w:hAnsi="宋体"/>
                <w:kern w:val="2"/>
                <w:szCs w:val="21"/>
              </w:rPr>
              <w:t>分。</w:t>
            </w:r>
          </w:p>
          <w:p>
            <w:pPr>
              <w:adjustRightInd w:val="0"/>
              <w:snapToGrid w:val="0"/>
              <w:spacing w:line="360" w:lineRule="auto"/>
              <w:rPr>
                <w:rFonts w:ascii="宋体" w:hAnsi="宋体"/>
                <w:kern w:val="2"/>
                <w:szCs w:val="21"/>
              </w:rPr>
            </w:pPr>
            <w:r>
              <w:rPr>
                <w:rFonts w:hint="eastAsia" w:ascii="宋体" w:hAnsi="宋体"/>
                <w:kern w:val="2"/>
                <w:szCs w:val="21"/>
              </w:rPr>
              <w:t>（注：提供业绩合同及相关资料关键页的复印件，加盖单位公章。)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noWrap w:val="0"/>
            <w:vAlign w:val="center"/>
          </w:tcPr>
          <w:p>
            <w:pPr>
              <w:widowControl w:val="0"/>
              <w:autoSpaceDE w:val="0"/>
              <w:autoSpaceDN w:val="0"/>
              <w:spacing w:line="360" w:lineRule="auto"/>
              <w:jc w:val="center"/>
              <w:rPr>
                <w:rFonts w:ascii="宋体" w:hAnsi="宋体"/>
                <w:kern w:val="2"/>
                <w:szCs w:val="21"/>
              </w:rPr>
            </w:pPr>
            <w:r>
              <w:rPr>
                <w:rFonts w:hint="eastAsia" w:ascii="宋体" w:hAnsi="宋体"/>
                <w:kern w:val="2"/>
                <w:szCs w:val="21"/>
              </w:rPr>
              <w:t>合计</w:t>
            </w:r>
          </w:p>
        </w:tc>
        <w:tc>
          <w:tcPr>
            <w:tcW w:w="851" w:type="dxa"/>
            <w:noWrap w:val="0"/>
            <w:vAlign w:val="center"/>
          </w:tcPr>
          <w:p>
            <w:pPr>
              <w:widowControl w:val="0"/>
              <w:autoSpaceDE w:val="0"/>
              <w:autoSpaceDN w:val="0"/>
              <w:spacing w:line="360" w:lineRule="auto"/>
              <w:jc w:val="center"/>
              <w:rPr>
                <w:rFonts w:ascii="宋体" w:hAnsi="宋体"/>
                <w:kern w:val="2"/>
                <w:szCs w:val="21"/>
              </w:rPr>
            </w:pPr>
            <w:r>
              <w:rPr>
                <w:rFonts w:ascii="宋体" w:hAnsi="宋体"/>
                <w:kern w:val="2"/>
                <w:szCs w:val="21"/>
              </w:rPr>
              <w:t>30</w:t>
            </w:r>
            <w:r>
              <w:rPr>
                <w:rFonts w:hint="eastAsia" w:ascii="宋体" w:hAnsi="宋体"/>
                <w:kern w:val="2"/>
                <w:szCs w:val="21"/>
              </w:rPr>
              <w:t>分</w:t>
            </w:r>
          </w:p>
        </w:tc>
        <w:tc>
          <w:tcPr>
            <w:tcW w:w="6647" w:type="dxa"/>
            <w:noWrap w:val="0"/>
            <w:vAlign w:val="center"/>
          </w:tcPr>
          <w:p>
            <w:pPr>
              <w:widowControl w:val="0"/>
              <w:autoSpaceDE w:val="0"/>
              <w:autoSpaceDN w:val="0"/>
              <w:spacing w:line="360" w:lineRule="auto"/>
              <w:jc w:val="center"/>
              <w:rPr>
                <w:rFonts w:ascii="宋体" w:hAnsi="宋体"/>
                <w:kern w:val="2"/>
                <w:szCs w:val="21"/>
              </w:rPr>
            </w:pPr>
          </w:p>
        </w:tc>
      </w:tr>
    </w:tbl>
    <w:p>
      <w:pPr>
        <w:widowControl w:val="0"/>
        <w:spacing w:line="360" w:lineRule="auto"/>
        <w:jc w:val="both"/>
        <w:rPr>
          <w:rFonts w:ascii="宋体" w:hAnsi="宋体"/>
          <w:kern w:val="2"/>
          <w:sz w:val="24"/>
          <w:szCs w:val="24"/>
        </w:rPr>
      </w:pPr>
      <w:r>
        <w:rPr>
          <w:rFonts w:hint="eastAsia" w:ascii="宋体" w:hAnsi="宋体"/>
          <w:kern w:val="2"/>
          <w:sz w:val="24"/>
          <w:szCs w:val="24"/>
        </w:rPr>
        <w:t>备注：</w:t>
      </w:r>
    </w:p>
    <w:p>
      <w:pPr>
        <w:widowControl w:val="0"/>
        <w:spacing w:line="360" w:lineRule="auto"/>
        <w:jc w:val="both"/>
        <w:rPr>
          <w:rFonts w:ascii="宋体" w:hAnsi="宋体"/>
          <w:kern w:val="2"/>
          <w:sz w:val="24"/>
          <w:szCs w:val="24"/>
        </w:rPr>
      </w:pPr>
      <w:r>
        <w:rPr>
          <w:rFonts w:hint="eastAsia" w:ascii="宋体" w:hAnsi="宋体"/>
          <w:kern w:val="2"/>
          <w:sz w:val="24"/>
          <w:szCs w:val="24"/>
        </w:rPr>
        <w:t>1.供应商应根据评审项目或内容提交相关的证明材料。</w:t>
      </w:r>
    </w:p>
    <w:p>
      <w:pPr>
        <w:widowControl w:val="0"/>
        <w:spacing w:line="360" w:lineRule="auto"/>
        <w:jc w:val="both"/>
        <w:rPr>
          <w:rFonts w:ascii="宋体" w:hAnsi="宋体"/>
          <w:kern w:val="2"/>
          <w:sz w:val="24"/>
          <w:szCs w:val="24"/>
        </w:rPr>
      </w:pPr>
      <w:r>
        <w:rPr>
          <w:rFonts w:hint="eastAsia" w:ascii="宋体" w:hAnsi="宋体"/>
          <w:kern w:val="2"/>
          <w:sz w:val="24"/>
          <w:szCs w:val="24"/>
        </w:rPr>
        <w:t>2.供应商未提供各项评审的相关内容证明文件或证明文件模糊不清（有有效期的，须在有效期内），以致评委无法做出准确评判时，该项得分为0分。</w:t>
      </w:r>
    </w:p>
    <w:p>
      <w:pPr>
        <w:pStyle w:val="10"/>
        <w:spacing w:before="26" w:line="297" w:lineRule="auto"/>
        <w:ind w:right="101" w:firstLine="420" w:firstLineChars="200"/>
      </w:pPr>
    </w:p>
    <w:p>
      <w:pPr>
        <w:keepNext/>
        <w:keepLines/>
        <w:adjustRightInd w:val="0"/>
        <w:spacing w:line="360" w:lineRule="auto"/>
        <w:jc w:val="center"/>
        <w:textAlignment w:val="baseline"/>
        <w:outlineLvl w:val="1"/>
        <w:rPr>
          <w:rFonts w:hint="eastAsia" w:ascii="宋体" w:hAnsi="宋体"/>
          <w:b/>
          <w:sz w:val="32"/>
          <w:szCs w:val="32"/>
        </w:rPr>
      </w:pPr>
      <w:r>
        <w:rPr>
          <w:rFonts w:cs="Arial"/>
          <w:sz w:val="24"/>
        </w:rPr>
        <w:br w:type="page"/>
      </w:r>
      <w:r>
        <w:rPr>
          <w:rFonts w:hint="eastAsia" w:ascii="黑体" w:hAnsi="黑体" w:eastAsia="黑体" w:cs="黑体"/>
          <w:kern w:val="0"/>
          <w:sz w:val="32"/>
          <w:szCs w:val="32"/>
        </w:rPr>
        <w:t>第五部分  合同文本</w:t>
      </w:r>
    </w:p>
    <w:p>
      <w:pPr>
        <w:tabs>
          <w:tab w:val="left" w:pos="8591"/>
        </w:tabs>
        <w:spacing w:before="50"/>
        <w:ind w:firstLine="5421" w:firstLineChars="2000"/>
        <w:rPr>
          <w:rFonts w:hint="eastAsia" w:ascii="黑体" w:hAnsi="黑体" w:cs="黑体"/>
          <w:b/>
          <w:sz w:val="27"/>
        </w:rPr>
      </w:pPr>
      <w:r>
        <w:rPr>
          <w:rFonts w:hint="eastAsia" w:ascii="黑体" w:hAnsi="黑体" w:eastAsia="黑体"/>
          <w:b/>
          <w:sz w:val="27"/>
        </w:rPr>
        <w:t>合同号：</w:t>
      </w:r>
    </w:p>
    <w:p>
      <w:pPr>
        <w:pStyle w:val="10"/>
        <w:rPr>
          <w:rFonts w:ascii="仿宋" w:hAnsi="仿宋" w:eastAsia="仿宋"/>
          <w:b/>
          <w:sz w:val="84"/>
          <w:szCs w:val="84"/>
        </w:rPr>
      </w:pPr>
    </w:p>
    <w:p>
      <w:pPr>
        <w:pStyle w:val="10"/>
        <w:rPr>
          <w:rFonts w:ascii="仿宋" w:hAnsi="仿宋" w:eastAsia="仿宋"/>
          <w:b/>
          <w:sz w:val="84"/>
          <w:szCs w:val="84"/>
        </w:rPr>
      </w:pPr>
    </w:p>
    <w:p>
      <w:pPr>
        <w:pStyle w:val="14"/>
        <w:spacing w:before="0"/>
        <w:ind w:left="0" w:right="0"/>
        <w:rPr>
          <w:rFonts w:hint="eastAsia" w:ascii="宋体" w:hAnsi="宋体" w:eastAsia="宋体" w:cs="黑体"/>
          <w:sz w:val="44"/>
          <w:szCs w:val="44"/>
        </w:rPr>
      </w:pPr>
      <w:r>
        <w:rPr>
          <w:rFonts w:hint="eastAsia" w:ascii="宋体" w:hAnsi="宋体" w:eastAsia="宋体" w:cs="黑体"/>
          <w:sz w:val="44"/>
          <w:szCs w:val="44"/>
        </w:rPr>
        <w:t>广东省消防救援总队审计服务</w:t>
      </w:r>
    </w:p>
    <w:p>
      <w:pPr>
        <w:pStyle w:val="14"/>
        <w:spacing w:before="0"/>
        <w:ind w:left="0" w:right="0"/>
        <w:rPr>
          <w:rFonts w:hint="eastAsia" w:ascii="宋体" w:hAnsi="宋体" w:eastAsia="宋体" w:cs="黑体"/>
          <w:sz w:val="44"/>
          <w:szCs w:val="44"/>
        </w:rPr>
      </w:pPr>
      <w:r>
        <w:rPr>
          <w:rFonts w:hint="eastAsia" w:ascii="宋体" w:hAnsi="宋体" w:eastAsia="宋体" w:cs="黑体"/>
          <w:sz w:val="44"/>
          <w:szCs w:val="44"/>
        </w:rPr>
        <w:t>采购项目合同</w:t>
      </w:r>
    </w:p>
    <w:p>
      <w:pPr>
        <w:pStyle w:val="14"/>
        <w:spacing w:before="0"/>
        <w:ind w:left="0" w:right="0"/>
        <w:rPr>
          <w:rFonts w:hint="eastAsia" w:ascii="黑体" w:hAnsi="黑体" w:eastAsia="黑体" w:cs="黑体"/>
        </w:rPr>
      </w:pPr>
    </w:p>
    <w:p>
      <w:pPr>
        <w:pStyle w:val="14"/>
        <w:spacing w:before="0"/>
        <w:ind w:left="0" w:right="0"/>
        <w:rPr>
          <w:rFonts w:hint="eastAsia" w:ascii="黑体" w:hAnsi="黑体" w:eastAsia="黑体" w:cs="黑体"/>
        </w:rPr>
      </w:pPr>
    </w:p>
    <w:p>
      <w:pPr>
        <w:pStyle w:val="14"/>
        <w:spacing w:before="0"/>
        <w:ind w:left="0" w:right="0"/>
        <w:rPr>
          <w:rFonts w:hint="eastAsia" w:ascii="黑体" w:hAnsi="黑体" w:eastAsia="黑体" w:cs="黑体"/>
        </w:rPr>
      </w:pPr>
    </w:p>
    <w:p>
      <w:pPr>
        <w:tabs>
          <w:tab w:val="left" w:pos="3169"/>
          <w:tab w:val="left" w:pos="3329"/>
          <w:tab w:val="left" w:pos="7809"/>
        </w:tabs>
        <w:spacing w:line="324" w:lineRule="auto"/>
        <w:ind w:left="769" w:right="1052"/>
        <w:rPr>
          <w:rFonts w:hint="eastAsia" w:ascii="黑体" w:hAnsi="黑体" w:eastAsia="黑体"/>
          <w:b/>
          <w:spacing w:val="144"/>
          <w:sz w:val="31"/>
          <w:u w:val="single"/>
        </w:rPr>
      </w:pPr>
      <w:r>
        <w:rPr>
          <w:rFonts w:hint="eastAsia" w:ascii="黑体" w:hAnsi="黑体" w:eastAsia="黑体"/>
          <w:b/>
          <w:spacing w:val="3"/>
          <w:sz w:val="31"/>
        </w:rPr>
        <w:t>甲方：</w:t>
      </w:r>
      <w:r>
        <w:rPr>
          <w:rFonts w:hint="eastAsia" w:ascii="黑体" w:hAnsi="黑体" w:eastAsia="黑体"/>
          <w:b/>
          <w:spacing w:val="3"/>
          <w:sz w:val="31"/>
          <w:u w:val="single"/>
        </w:rPr>
        <w:t xml:space="preserve"> </w:t>
      </w:r>
      <w:r>
        <w:rPr>
          <w:rFonts w:hint="eastAsia" w:ascii="黑体" w:hAnsi="黑体" w:eastAsia="黑体"/>
          <w:b/>
          <w:spacing w:val="3"/>
          <w:sz w:val="31"/>
          <w:u w:val="single"/>
        </w:rPr>
        <w:tab/>
      </w:r>
      <w:r>
        <w:rPr>
          <w:rFonts w:hint="eastAsia" w:ascii="黑体" w:hAnsi="黑体" w:eastAsia="黑体"/>
          <w:b/>
          <w:spacing w:val="3"/>
          <w:sz w:val="31"/>
          <w:u w:val="single"/>
        </w:rPr>
        <w:t xml:space="preserve"> </w:t>
      </w:r>
      <w:r>
        <w:rPr>
          <w:rFonts w:hint="eastAsia" w:ascii="黑体" w:hAnsi="黑体" w:eastAsia="黑体"/>
          <w:bCs/>
          <w:spacing w:val="3"/>
          <w:sz w:val="31"/>
          <w:u w:val="single"/>
          <w:lang w:eastAsia="zh-Hans"/>
        </w:rPr>
        <w:t>广东省消防救援总队</w:t>
      </w:r>
      <w:r>
        <w:rPr>
          <w:rFonts w:hint="eastAsia" w:ascii="黑体" w:hAnsi="黑体" w:eastAsia="黑体"/>
          <w:b/>
          <w:sz w:val="31"/>
          <w:u w:val="single"/>
        </w:rPr>
        <w:tab/>
      </w:r>
      <w:r>
        <w:rPr>
          <w:rFonts w:hint="eastAsia" w:ascii="黑体" w:hAnsi="黑体" w:eastAsia="黑体"/>
          <w:b/>
          <w:spacing w:val="3"/>
          <w:sz w:val="31"/>
          <w:u w:val="single"/>
        </w:rPr>
        <w:t xml:space="preserve">    </w:t>
      </w:r>
      <w:r>
        <w:rPr>
          <w:rFonts w:hint="eastAsia" w:ascii="黑体" w:hAnsi="黑体" w:eastAsia="黑体"/>
          <w:b/>
          <w:spacing w:val="144"/>
          <w:sz w:val="31"/>
          <w:u w:val="single"/>
        </w:rPr>
        <w:t xml:space="preserve"> </w:t>
      </w:r>
    </w:p>
    <w:p>
      <w:pPr>
        <w:tabs>
          <w:tab w:val="left" w:pos="3169"/>
          <w:tab w:val="left" w:pos="3329"/>
          <w:tab w:val="left" w:pos="7809"/>
        </w:tabs>
        <w:spacing w:line="324" w:lineRule="auto"/>
        <w:ind w:left="769" w:right="1052"/>
        <w:rPr>
          <w:rFonts w:hint="eastAsia" w:ascii="黑体" w:hAnsi="黑体" w:eastAsia="黑体"/>
          <w:b/>
          <w:sz w:val="31"/>
          <w:u w:val="single"/>
        </w:rPr>
      </w:pPr>
      <w:r>
        <w:rPr>
          <w:rFonts w:hint="eastAsia" w:ascii="黑体" w:hAnsi="黑体" w:eastAsia="黑体"/>
          <w:b/>
          <w:spacing w:val="3"/>
          <w:sz w:val="31"/>
        </w:rPr>
        <w:t>乙方：</w:t>
      </w:r>
      <w:r>
        <w:rPr>
          <w:rFonts w:hint="eastAsia" w:ascii="黑体" w:hAnsi="黑体" w:eastAsia="黑体"/>
          <w:b/>
          <w:spacing w:val="3"/>
          <w:sz w:val="31"/>
          <w:u w:val="single"/>
        </w:rPr>
        <w:t xml:space="preserve"> </w:t>
      </w:r>
      <w:r>
        <w:rPr>
          <w:rFonts w:hint="eastAsia" w:ascii="黑体" w:hAnsi="黑体" w:eastAsia="黑体"/>
          <w:b/>
          <w:spacing w:val="3"/>
          <w:sz w:val="31"/>
          <w:u w:val="single"/>
        </w:rPr>
        <w:tab/>
      </w:r>
      <w:r>
        <w:rPr>
          <w:rFonts w:hint="eastAsia" w:ascii="黑体" w:hAnsi="黑体" w:eastAsia="黑体"/>
          <w:b/>
          <w:spacing w:val="3"/>
          <w:sz w:val="31"/>
          <w:u w:val="single"/>
        </w:rPr>
        <w:tab/>
      </w:r>
      <w:r>
        <w:rPr>
          <w:rFonts w:ascii="黑体" w:hAnsi="黑体" w:eastAsia="黑体"/>
          <w:b/>
          <w:spacing w:val="3"/>
          <w:sz w:val="31"/>
          <w:u w:val="single"/>
        </w:rPr>
        <w:t xml:space="preserve"> </w:t>
      </w:r>
      <w:r>
        <w:rPr>
          <w:rFonts w:hint="eastAsia" w:ascii="黑体" w:hAnsi="黑体" w:eastAsia="黑体"/>
          <w:b/>
          <w:sz w:val="31"/>
          <w:u w:val="single"/>
        </w:rPr>
        <w:tab/>
      </w:r>
      <w:r>
        <w:rPr>
          <w:rFonts w:hint="eastAsia" w:ascii="黑体" w:hAnsi="黑体" w:eastAsia="黑体"/>
          <w:b/>
          <w:sz w:val="31"/>
          <w:u w:val="single"/>
        </w:rPr>
        <w:t xml:space="preserve">      </w:t>
      </w:r>
    </w:p>
    <w:p>
      <w:pPr>
        <w:tabs>
          <w:tab w:val="left" w:pos="3169"/>
          <w:tab w:val="left" w:pos="3329"/>
          <w:tab w:val="left" w:pos="7809"/>
        </w:tabs>
        <w:spacing w:line="324" w:lineRule="auto"/>
        <w:ind w:left="769" w:right="1052"/>
        <w:rPr>
          <w:rFonts w:ascii="黑体" w:hAnsi="黑体" w:eastAsia="黑体"/>
          <w:b/>
          <w:sz w:val="31"/>
        </w:rPr>
      </w:pPr>
    </w:p>
    <w:p>
      <w:pPr>
        <w:spacing w:line="324" w:lineRule="auto"/>
        <w:rPr>
          <w:rFonts w:ascii="仿宋" w:hAnsi="仿宋" w:eastAsia="仿宋"/>
          <w:sz w:val="31"/>
        </w:rPr>
        <w:sectPr>
          <w:footerReference r:id="rId7" w:type="default"/>
          <w:pgSz w:w="11910" w:h="16840"/>
          <w:pgMar w:top="1440" w:right="1800" w:bottom="1440" w:left="1800" w:header="720" w:footer="720" w:gutter="0"/>
          <w:cols w:space="720" w:num="1"/>
          <w:docGrid w:linePitch="286" w:charSpace="0"/>
        </w:sectPr>
      </w:pPr>
    </w:p>
    <w:p>
      <w:pPr>
        <w:autoSpaceDE w:val="0"/>
        <w:autoSpaceDN w:val="0"/>
        <w:spacing w:line="360" w:lineRule="auto"/>
        <w:rPr>
          <w:rFonts w:hint="eastAsia" w:ascii="宋体" w:hAnsi="宋体"/>
          <w:sz w:val="24"/>
          <w:szCs w:val="24"/>
          <w:u w:val="single"/>
        </w:rPr>
      </w:pPr>
      <w:r>
        <w:rPr>
          <w:rFonts w:hint="eastAsia" w:ascii="宋体" w:hAnsi="宋体"/>
          <w:b/>
          <w:sz w:val="24"/>
          <w:szCs w:val="24"/>
        </w:rPr>
        <w:t>甲</w:t>
      </w:r>
      <w:r>
        <w:rPr>
          <w:rFonts w:hint="eastAsia" w:ascii="宋体" w:hAnsi="宋体"/>
          <w:sz w:val="24"/>
          <w:szCs w:val="24"/>
        </w:rPr>
        <w:t xml:space="preserve">  </w:t>
      </w:r>
      <w:r>
        <w:rPr>
          <w:rFonts w:hint="eastAsia" w:ascii="宋体" w:hAnsi="宋体"/>
          <w:b/>
          <w:sz w:val="24"/>
          <w:szCs w:val="24"/>
        </w:rPr>
        <w:t>方：</w:t>
      </w:r>
      <w:r>
        <w:rPr>
          <w:rFonts w:hint="eastAsia" w:ascii="宋体" w:hAnsi="宋体"/>
          <w:sz w:val="24"/>
          <w:szCs w:val="24"/>
          <w:u w:val="single"/>
        </w:rPr>
        <w:t xml:space="preserve"> 广东省消防救援总队                                              </w:t>
      </w:r>
    </w:p>
    <w:p>
      <w:pPr>
        <w:autoSpaceDE w:val="0"/>
        <w:autoSpaceDN w:val="0"/>
        <w:spacing w:line="360" w:lineRule="auto"/>
        <w:rPr>
          <w:rFonts w:ascii="宋体" w:hAnsi="宋体"/>
          <w:b/>
          <w:sz w:val="24"/>
          <w:szCs w:val="24"/>
        </w:rPr>
      </w:pPr>
      <w:r>
        <w:rPr>
          <w:rFonts w:hint="eastAsia" w:ascii="宋体" w:hAnsi="宋体"/>
          <w:sz w:val="24"/>
          <w:szCs w:val="24"/>
          <w:u w:val="single"/>
          <w:lang w:val="en-US" w:eastAsia="zh-CN"/>
        </w:rPr>
        <w:t>负责人：</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r>
        <w:rPr>
          <w:rFonts w:hint="eastAsia" w:ascii="宋体" w:hAnsi="宋体"/>
          <w:sz w:val="24"/>
          <w:szCs w:val="24"/>
        </w:rPr>
        <w:t xml:space="preserve">  传  真：</w:t>
      </w:r>
      <w:r>
        <w:rPr>
          <w:rFonts w:hint="eastAsia" w:ascii="宋体" w:hAnsi="宋体"/>
          <w:sz w:val="24"/>
          <w:szCs w:val="24"/>
          <w:u w:val="single"/>
        </w:rPr>
        <w:t xml:space="preserve">      </w:t>
      </w:r>
      <w:r>
        <w:rPr>
          <w:rFonts w:hint="eastAsia" w:ascii="宋体" w:hAnsi="宋体"/>
          <w:sz w:val="24"/>
          <w:szCs w:val="24"/>
        </w:rPr>
        <w:t xml:space="preserve">  地  址：</w:t>
      </w:r>
      <w:r>
        <w:rPr>
          <w:rFonts w:hint="eastAsia" w:ascii="宋体" w:hAnsi="宋体"/>
          <w:sz w:val="24"/>
          <w:szCs w:val="24"/>
          <w:u w:val="single"/>
        </w:rPr>
        <w:t xml:space="preserve">                </w:t>
      </w:r>
    </w:p>
    <w:p>
      <w:pPr>
        <w:autoSpaceDE w:val="0"/>
        <w:autoSpaceDN w:val="0"/>
        <w:spacing w:line="360" w:lineRule="auto"/>
        <w:rPr>
          <w:rFonts w:hint="eastAsia" w:ascii="宋体" w:hAnsi="宋体"/>
          <w:sz w:val="24"/>
          <w:szCs w:val="24"/>
          <w:u w:val="single"/>
        </w:rPr>
      </w:pPr>
      <w:r>
        <w:rPr>
          <w:rFonts w:hint="eastAsia" w:ascii="宋体" w:hAnsi="宋体"/>
          <w:b/>
          <w:sz w:val="24"/>
          <w:szCs w:val="24"/>
        </w:rPr>
        <w:t>乙</w:t>
      </w:r>
      <w:r>
        <w:rPr>
          <w:rFonts w:hint="eastAsia" w:ascii="宋体" w:hAnsi="宋体"/>
          <w:sz w:val="24"/>
          <w:szCs w:val="24"/>
        </w:rPr>
        <w:t xml:space="preserve">  </w:t>
      </w:r>
      <w:r>
        <w:rPr>
          <w:rFonts w:hint="eastAsia" w:ascii="宋体" w:hAnsi="宋体"/>
          <w:b/>
          <w:sz w:val="24"/>
          <w:szCs w:val="24"/>
        </w:rPr>
        <w:t>方：</w:t>
      </w:r>
      <w:r>
        <w:rPr>
          <w:rFonts w:hint="eastAsia" w:ascii="宋体" w:hAnsi="宋体"/>
          <w:sz w:val="24"/>
          <w:szCs w:val="24"/>
          <w:u w:val="single"/>
        </w:rPr>
        <w:t xml:space="preserve">                                                </w:t>
      </w:r>
    </w:p>
    <w:p>
      <w:pPr>
        <w:pStyle w:val="2"/>
        <w:rPr>
          <w:rFonts w:hint="eastAsia" w:eastAsia="宋体"/>
          <w:lang w:val="en-US" w:eastAsia="zh-CN"/>
        </w:rPr>
      </w:pPr>
      <w:r>
        <w:rPr>
          <w:rFonts w:hint="eastAsia" w:ascii="宋体" w:hAnsi="宋体"/>
          <w:sz w:val="24"/>
          <w:szCs w:val="24"/>
          <w:u w:val="single"/>
          <w:lang w:val="en-US" w:eastAsia="zh-CN"/>
        </w:rPr>
        <w:t>法定代表人：</w:t>
      </w:r>
    </w:p>
    <w:p>
      <w:pPr>
        <w:spacing w:line="360" w:lineRule="auto"/>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r>
        <w:rPr>
          <w:rFonts w:hint="eastAsia" w:ascii="宋体" w:hAnsi="宋体"/>
          <w:sz w:val="24"/>
          <w:szCs w:val="24"/>
        </w:rPr>
        <w:t xml:space="preserve">  传  真：</w:t>
      </w:r>
      <w:r>
        <w:rPr>
          <w:rFonts w:hint="eastAsia" w:ascii="宋体" w:hAnsi="宋体"/>
          <w:sz w:val="24"/>
          <w:szCs w:val="24"/>
          <w:u w:val="single"/>
        </w:rPr>
        <w:t xml:space="preserve">      </w:t>
      </w:r>
      <w:r>
        <w:rPr>
          <w:rFonts w:hint="eastAsia" w:ascii="宋体" w:hAnsi="宋体"/>
          <w:sz w:val="24"/>
          <w:szCs w:val="24"/>
        </w:rPr>
        <w:t xml:space="preserve">  地  址：</w:t>
      </w:r>
      <w:r>
        <w:rPr>
          <w:rFonts w:hint="eastAsia" w:ascii="宋体" w:hAnsi="宋体"/>
          <w:sz w:val="24"/>
          <w:szCs w:val="24"/>
          <w:u w:val="single"/>
        </w:rPr>
        <w:t xml:space="preserve">                </w:t>
      </w:r>
    </w:p>
    <w:p>
      <w:pPr>
        <w:spacing w:line="360" w:lineRule="auto"/>
        <w:rPr>
          <w:rFonts w:ascii="宋体" w:hAnsi="宋体"/>
          <w:b/>
          <w:sz w:val="24"/>
          <w:szCs w:val="24"/>
        </w:rPr>
      </w:pPr>
      <w:r>
        <w:rPr>
          <w:rFonts w:hint="eastAsia" w:ascii="宋体" w:hAnsi="宋体"/>
          <w:sz w:val="24"/>
          <w:szCs w:val="24"/>
        </w:rPr>
        <w:t>采购项目名称：</w:t>
      </w:r>
      <w:r>
        <w:rPr>
          <w:rFonts w:hint="eastAsia" w:ascii="宋体" w:hAnsi="宋体"/>
          <w:sz w:val="24"/>
          <w:szCs w:val="24"/>
          <w:u w:val="single"/>
        </w:rPr>
        <w:t xml:space="preserve">                </w:t>
      </w:r>
      <w:r>
        <w:rPr>
          <w:rFonts w:hint="eastAsia" w:ascii="宋体" w:hAnsi="宋体"/>
          <w:sz w:val="24"/>
          <w:szCs w:val="24"/>
        </w:rPr>
        <w:t xml:space="preserve">  采购文件编号：</w:t>
      </w:r>
      <w:r>
        <w:rPr>
          <w:rFonts w:hint="eastAsia" w:ascii="宋体" w:hAnsi="宋体"/>
          <w:sz w:val="24"/>
          <w:szCs w:val="24"/>
          <w:u w:val="single"/>
        </w:rPr>
        <w:t xml:space="preserve">          </w:t>
      </w:r>
    </w:p>
    <w:p>
      <w:pPr>
        <w:spacing w:line="360" w:lineRule="auto"/>
        <w:ind w:firstLine="480" w:firstLineChars="200"/>
        <w:rPr>
          <w:rFonts w:ascii="宋体" w:hAnsi="宋体"/>
          <w:sz w:val="24"/>
          <w:szCs w:val="24"/>
        </w:rPr>
      </w:pPr>
      <w:r>
        <w:rPr>
          <w:rFonts w:hint="eastAsia" w:ascii="宋体" w:hAnsi="宋体"/>
          <w:sz w:val="24"/>
          <w:szCs w:val="24"/>
        </w:rPr>
        <w:t>根据</w:t>
      </w:r>
      <w:r>
        <w:rPr>
          <w:rFonts w:hint="eastAsia" w:ascii="宋体" w:hAnsi="宋体"/>
          <w:sz w:val="24"/>
          <w:szCs w:val="24"/>
          <w:u w:val="single"/>
        </w:rPr>
        <w:t>（采购项目名称）</w:t>
      </w:r>
      <w:r>
        <w:rPr>
          <w:rFonts w:hint="eastAsia" w:ascii="宋体" w:hAnsi="宋体"/>
          <w:sz w:val="24"/>
          <w:szCs w:val="24"/>
        </w:rPr>
        <w:t>的采购结果，按照《中华人民共和国政府采购法》、《中华人民共和国民法典》的规定，</w:t>
      </w:r>
      <w:r>
        <w:rPr>
          <w:rFonts w:hint="eastAsia" w:ascii="宋体" w:hAnsi="宋体"/>
          <w:kern w:val="28"/>
          <w:sz w:val="24"/>
          <w:szCs w:val="24"/>
        </w:rPr>
        <w:t>经双方协商，</w:t>
      </w:r>
      <w:r>
        <w:rPr>
          <w:rFonts w:hint="eastAsia" w:ascii="宋体" w:hAnsi="宋体"/>
          <w:sz w:val="24"/>
          <w:szCs w:val="24"/>
        </w:rPr>
        <w:t>本着平等互利和诚实信用的原则，</w:t>
      </w:r>
      <w:r>
        <w:rPr>
          <w:rFonts w:hint="eastAsia" w:ascii="宋体" w:hAnsi="宋体"/>
          <w:kern w:val="28"/>
          <w:sz w:val="24"/>
          <w:szCs w:val="24"/>
        </w:rPr>
        <w:t>一致同意签订本合同如下。</w:t>
      </w:r>
    </w:p>
    <w:p>
      <w:pPr>
        <w:pStyle w:val="5"/>
        <w:numPr>
          <w:ilvl w:val="0"/>
          <w:numId w:val="8"/>
        </w:numPr>
        <w:tabs>
          <w:tab w:val="left" w:pos="945"/>
        </w:tabs>
        <w:spacing w:before="0" w:after="0" w:line="360" w:lineRule="auto"/>
        <w:ind w:left="0" w:firstLine="0"/>
        <w:rPr>
          <w:rFonts w:ascii="宋体" w:hAnsi="宋体"/>
          <w:sz w:val="24"/>
          <w:szCs w:val="24"/>
        </w:rPr>
      </w:pPr>
      <w:bookmarkStart w:id="8" w:name="_Toc56180333"/>
      <w:bookmarkStart w:id="9" w:name="_Toc47531047"/>
      <w:bookmarkStart w:id="10" w:name="_Toc48814206"/>
      <w:r>
        <w:rPr>
          <w:rFonts w:hint="eastAsia" w:ascii="宋体" w:hAnsi="宋体"/>
          <w:sz w:val="24"/>
          <w:szCs w:val="24"/>
        </w:rPr>
        <w:t>合同金额</w:t>
      </w:r>
      <w:bookmarkEnd w:id="8"/>
      <w:bookmarkEnd w:id="9"/>
      <w:bookmarkEnd w:id="10"/>
    </w:p>
    <w:p>
      <w:pPr>
        <w:spacing w:line="360" w:lineRule="auto"/>
        <w:ind w:firstLine="480" w:firstLineChars="200"/>
        <w:rPr>
          <w:rFonts w:ascii="宋体" w:hAnsi="宋体"/>
          <w:sz w:val="24"/>
          <w:szCs w:val="24"/>
        </w:rPr>
      </w:pPr>
      <w:r>
        <w:rPr>
          <w:rFonts w:hint="eastAsia" w:ascii="宋体" w:hAnsi="宋体"/>
          <w:sz w:val="24"/>
          <w:szCs w:val="24"/>
        </w:rPr>
        <w:t>合同含税金额为（大写）：人民币</w:t>
      </w:r>
      <w:r>
        <w:rPr>
          <w:rFonts w:hint="eastAsia" w:ascii="宋体" w:hAnsi="宋体"/>
          <w:sz w:val="24"/>
          <w:szCs w:val="24"/>
          <w:u w:val="single"/>
        </w:rPr>
        <w:t xml:space="preserve">        </w:t>
      </w:r>
      <w:r>
        <w:rPr>
          <w:rFonts w:hint="eastAsia" w:ascii="宋体" w:hAnsi="宋体"/>
          <w:sz w:val="24"/>
          <w:szCs w:val="24"/>
        </w:rPr>
        <w:t>元（¥</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szCs w:val="24"/>
          <w:lang w:eastAsia="zh-CN"/>
        </w:rPr>
        <w:t>，</w:t>
      </w:r>
      <w:r>
        <w:rPr>
          <w:rFonts w:hint="eastAsia" w:ascii="宋体" w:hAnsi="宋体"/>
          <w:sz w:val="24"/>
          <w:szCs w:val="24"/>
          <w:lang w:val="en-US" w:eastAsia="zh-CN"/>
        </w:rPr>
        <w:t>该金额包括乙方履行本合同所需的人工、材料、交通等一切费用</w:t>
      </w:r>
      <w:r>
        <w:rPr>
          <w:rFonts w:hint="eastAsia" w:ascii="宋体" w:hAnsi="宋体"/>
          <w:sz w:val="24"/>
          <w:szCs w:val="24"/>
        </w:rPr>
        <w:t>。本合同签订生效后，非经甲方书面同意，乙方不得以任何理由要求甲方额外支付任何费用。</w:t>
      </w:r>
    </w:p>
    <w:p>
      <w:pPr>
        <w:pStyle w:val="5"/>
        <w:numPr>
          <w:ilvl w:val="0"/>
          <w:numId w:val="8"/>
        </w:numPr>
        <w:tabs>
          <w:tab w:val="left" w:pos="945"/>
        </w:tabs>
        <w:spacing w:before="0" w:after="0" w:line="360" w:lineRule="auto"/>
        <w:ind w:left="0" w:firstLine="0"/>
        <w:rPr>
          <w:rFonts w:ascii="宋体" w:hAnsi="宋体"/>
          <w:sz w:val="24"/>
          <w:szCs w:val="24"/>
        </w:rPr>
      </w:pPr>
      <w:bookmarkStart w:id="11" w:name="_Toc47531048"/>
      <w:bookmarkStart w:id="12" w:name="_Toc56180334"/>
      <w:bookmarkStart w:id="13" w:name="_Toc48814207"/>
      <w:r>
        <w:rPr>
          <w:rFonts w:hint="eastAsia" w:ascii="宋体" w:hAnsi="宋体"/>
          <w:sz w:val="24"/>
          <w:szCs w:val="24"/>
        </w:rPr>
        <w:t>项目服务内容</w:t>
      </w:r>
      <w:bookmarkEnd w:id="11"/>
      <w:r>
        <w:rPr>
          <w:rFonts w:hint="eastAsia" w:ascii="宋体" w:hAnsi="宋体"/>
          <w:sz w:val="24"/>
          <w:szCs w:val="24"/>
        </w:rPr>
        <w:t>及要求</w:t>
      </w:r>
      <w:bookmarkEnd w:id="12"/>
      <w:bookmarkEnd w:id="13"/>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sz w:val="24"/>
          <w:szCs w:val="24"/>
        </w:rPr>
        <w:tab/>
      </w:r>
      <w:r>
        <w:rPr>
          <w:rFonts w:hint="eastAsia" w:ascii="宋体" w:hAnsi="宋体" w:cs="宋体"/>
          <w:sz w:val="24"/>
          <w:szCs w:val="24"/>
        </w:rPr>
        <w:t>项目服务内容</w:t>
      </w:r>
    </w:p>
    <w:p>
      <w:pPr>
        <w:spacing w:line="360" w:lineRule="auto"/>
        <w:ind w:firstLine="480" w:firstLineChars="200"/>
        <w:rPr>
          <w:rFonts w:ascii="宋体" w:hAnsi="宋体" w:cs="宋体"/>
          <w:sz w:val="24"/>
          <w:szCs w:val="24"/>
        </w:rPr>
      </w:pPr>
      <w:r>
        <w:rPr>
          <w:rFonts w:hint="eastAsia" w:ascii="宋体" w:hAnsi="宋体" w:cs="宋体"/>
          <w:sz w:val="24"/>
          <w:szCs w:val="24"/>
        </w:rPr>
        <w:t>对总队下辖的支队（含大队）组织开展的财政财务收支、领导干部经济责任、重大政策落实情况跟踪审计、专项审计调查、内部控制审计、建设工程项目审计、信息化项目专项审计、采购专项审计、审计文书整理等审计服务项目，具体审计内容包括但不限于以下内容：</w:t>
      </w:r>
    </w:p>
    <w:p>
      <w:pPr>
        <w:spacing w:line="360" w:lineRule="auto"/>
        <w:ind w:firstLine="480" w:firstLineChars="200"/>
        <w:rPr>
          <w:rFonts w:ascii="宋体" w:hAnsi="宋体" w:cs="宋体"/>
          <w:sz w:val="24"/>
          <w:szCs w:val="24"/>
        </w:rPr>
      </w:pPr>
      <w:r>
        <w:rPr>
          <w:rFonts w:hint="eastAsia" w:ascii="宋体" w:hAnsi="宋体" w:cs="宋体"/>
          <w:sz w:val="24"/>
          <w:szCs w:val="24"/>
        </w:rPr>
        <w:t>1.单位预算管理、预算执行情况审核。</w:t>
      </w:r>
    </w:p>
    <w:p>
      <w:pPr>
        <w:spacing w:line="360" w:lineRule="auto"/>
        <w:ind w:firstLine="480" w:firstLineChars="200"/>
        <w:rPr>
          <w:rFonts w:ascii="宋体" w:hAnsi="宋体" w:cs="宋体"/>
          <w:sz w:val="24"/>
          <w:szCs w:val="24"/>
        </w:rPr>
      </w:pPr>
      <w:r>
        <w:rPr>
          <w:rFonts w:hint="eastAsia" w:ascii="宋体" w:hAnsi="宋体" w:cs="宋体"/>
          <w:sz w:val="24"/>
          <w:szCs w:val="24"/>
        </w:rPr>
        <w:t>2.单位财政财务收支、资金管理、经费管理、内控执行、费用开支、政府采购、固定资产、税费管理情况审核。</w:t>
      </w:r>
    </w:p>
    <w:p>
      <w:pPr>
        <w:spacing w:line="360" w:lineRule="auto"/>
        <w:ind w:firstLine="480" w:firstLineChars="200"/>
        <w:rPr>
          <w:rFonts w:ascii="宋体" w:hAnsi="宋体" w:cs="宋体"/>
          <w:sz w:val="24"/>
          <w:szCs w:val="24"/>
        </w:rPr>
      </w:pPr>
      <w:r>
        <w:rPr>
          <w:rFonts w:hint="eastAsia" w:ascii="宋体" w:hAnsi="宋体" w:cs="宋体"/>
          <w:sz w:val="24"/>
          <w:szCs w:val="24"/>
        </w:rPr>
        <w:t>3.项目建设报建程序合规性和建设管理制度执行情况审核；单位招投标程序等合规性审核；单位政府采购程序、合同等合规性审核。</w:t>
      </w:r>
    </w:p>
    <w:p>
      <w:pPr>
        <w:spacing w:line="360" w:lineRule="auto"/>
        <w:ind w:firstLine="480" w:firstLineChars="200"/>
        <w:rPr>
          <w:rFonts w:ascii="宋体" w:hAnsi="宋体" w:cs="宋体"/>
          <w:sz w:val="24"/>
          <w:szCs w:val="24"/>
        </w:rPr>
      </w:pPr>
      <w:r>
        <w:rPr>
          <w:rFonts w:hint="eastAsia" w:ascii="宋体" w:hAnsi="宋体" w:cs="宋体"/>
          <w:sz w:val="24"/>
          <w:szCs w:val="24"/>
        </w:rPr>
        <w:t>4.项目建设预（概）算执行情况、经费支出情况以及实施过程中发生的重大变更及索赔情况审核。</w:t>
      </w:r>
    </w:p>
    <w:p>
      <w:pPr>
        <w:spacing w:line="360" w:lineRule="auto"/>
        <w:ind w:firstLine="480" w:firstLineChars="200"/>
        <w:rPr>
          <w:rFonts w:ascii="宋体" w:hAnsi="宋体" w:cs="宋体"/>
          <w:sz w:val="24"/>
          <w:szCs w:val="24"/>
        </w:rPr>
      </w:pPr>
      <w:r>
        <w:rPr>
          <w:rFonts w:hint="eastAsia" w:ascii="宋体" w:hAnsi="宋体" w:cs="宋体"/>
          <w:sz w:val="24"/>
          <w:szCs w:val="24"/>
        </w:rPr>
        <w:t>5.项目质量是否验收合格。有无因设计失误、监理履职不到位、施工管理控制不严等造成损失浪费、进度滞后、质量隐患等问题。</w:t>
      </w:r>
    </w:p>
    <w:p>
      <w:pPr>
        <w:spacing w:line="360" w:lineRule="auto"/>
        <w:ind w:firstLine="480" w:firstLineChars="200"/>
        <w:rPr>
          <w:rFonts w:ascii="宋体" w:hAnsi="宋体" w:cs="宋体"/>
          <w:sz w:val="24"/>
          <w:szCs w:val="24"/>
        </w:rPr>
      </w:pPr>
      <w:r>
        <w:rPr>
          <w:rFonts w:hint="eastAsia" w:ascii="宋体" w:hAnsi="宋体" w:cs="宋体"/>
          <w:sz w:val="24"/>
          <w:szCs w:val="24"/>
        </w:rPr>
        <w:t>6.专业业务咨询服务、档案管理是否合法合规等。</w:t>
      </w:r>
    </w:p>
    <w:p>
      <w:pPr>
        <w:spacing w:line="360" w:lineRule="auto"/>
        <w:ind w:firstLine="480" w:firstLineChars="200"/>
        <w:rPr>
          <w:rFonts w:ascii="宋体" w:hAnsi="宋体" w:cs="宋体"/>
          <w:sz w:val="24"/>
          <w:szCs w:val="24"/>
        </w:rPr>
      </w:pPr>
      <w:r>
        <w:rPr>
          <w:rFonts w:hint="eastAsia" w:ascii="宋体" w:hAnsi="宋体" w:cs="宋体"/>
          <w:sz w:val="24"/>
          <w:szCs w:val="24"/>
        </w:rPr>
        <w:t>（二）</w:t>
      </w:r>
      <w:r>
        <w:rPr>
          <w:rFonts w:hint="eastAsia" w:ascii="宋体" w:hAnsi="宋体" w:cs="宋体"/>
          <w:sz w:val="24"/>
          <w:szCs w:val="24"/>
        </w:rPr>
        <w:tab/>
      </w:r>
      <w:r>
        <w:rPr>
          <w:rFonts w:hint="eastAsia" w:ascii="宋体" w:hAnsi="宋体" w:cs="宋体"/>
          <w:sz w:val="24"/>
          <w:szCs w:val="24"/>
        </w:rPr>
        <w:t>服务要求</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管理与常规服务要求：按照采购人工作要求，乙方每次须派遣能够按采购人要求完成相关项目审计工作人员。派遣人员具有2年以上行业工作经验，具备审计、会计、工程等专业背景，参与过行政、事业等预算单位的审计项目，能熟练使用办公软件及审计软件。项目开始前，需经采购人结合项目特点审核派遣人员相关资质，对采购人反馈不能有效完成工作任务人员，乙方应及时予以调换。</w:t>
      </w:r>
    </w:p>
    <w:p>
      <w:pPr>
        <w:spacing w:line="360" w:lineRule="auto"/>
        <w:ind w:firstLine="480" w:firstLineChars="200"/>
        <w:rPr>
          <w:rFonts w:ascii="宋体" w:hAnsi="宋体" w:cs="宋体"/>
          <w:sz w:val="24"/>
          <w:szCs w:val="24"/>
        </w:rPr>
      </w:pPr>
      <w:r>
        <w:rPr>
          <w:rFonts w:hint="eastAsia" w:ascii="宋体" w:hAnsi="宋体" w:cs="宋体"/>
          <w:sz w:val="24"/>
          <w:szCs w:val="24"/>
        </w:rPr>
        <w:t>2.乙方需保证派遣人员相对固定。在派遣人员中，乙方应指定1至2名中级会计师及以上资格者作为业务联络人。业务联络人应参加审计项目，及时了解采购人业务需求，对派遣人员指导培训，合规高效完成审计工作底稿，清晰沟通审计发现问题。</w:t>
      </w:r>
    </w:p>
    <w:p>
      <w:pPr>
        <w:widowControl w:val="0"/>
        <w:adjustRightInd w:val="0"/>
        <w:snapToGrid w:val="0"/>
        <w:spacing w:line="360" w:lineRule="auto"/>
        <w:ind w:firstLine="480" w:firstLineChars="200"/>
        <w:rPr>
          <w:rFonts w:ascii="宋体" w:hAnsi="宋体" w:cs="宋体"/>
          <w:sz w:val="24"/>
          <w:szCs w:val="24"/>
        </w:rPr>
      </w:pPr>
      <w:r>
        <w:rPr>
          <w:rFonts w:ascii="宋体" w:hAnsi="宋体" w:cs="宋体"/>
          <w:sz w:val="24"/>
          <w:szCs w:val="24"/>
        </w:rPr>
        <w:t>3.乙方派遣人员应全面了解和掌握有关财务收支审计、经济责任审计、信息化、基本建设以及采购类项目管理的政策规定。</w:t>
      </w:r>
    </w:p>
    <w:p>
      <w:pPr>
        <w:widowControl w:val="0"/>
        <w:adjustRightInd w:val="0"/>
        <w:snapToGrid w:val="0"/>
        <w:spacing w:line="360" w:lineRule="auto"/>
        <w:ind w:firstLine="480" w:firstLineChars="200"/>
        <w:rPr>
          <w:rFonts w:ascii="宋体" w:hAnsi="宋体" w:cs="宋体"/>
          <w:sz w:val="24"/>
          <w:szCs w:val="24"/>
        </w:rPr>
      </w:pPr>
      <w:r>
        <w:rPr>
          <w:rFonts w:ascii="宋体" w:hAnsi="宋体" w:cs="宋体"/>
          <w:sz w:val="24"/>
          <w:szCs w:val="24"/>
        </w:rPr>
        <w:t>4.按照采购人工作要求，认真完成有关审计工作任务，在规定时</w:t>
      </w:r>
      <w:r>
        <w:rPr>
          <w:rFonts w:hint="eastAsia" w:ascii="宋体" w:hAnsi="宋体" w:cs="宋体"/>
          <w:sz w:val="24"/>
          <w:szCs w:val="24"/>
        </w:rPr>
        <w:t>间内向采购人出具高质量的审计工作底稿、审计签证单或审计报告、相关专项业务报告，并对审计过程、审计结果、审计结论负责。</w:t>
      </w:r>
    </w:p>
    <w:p>
      <w:pPr>
        <w:widowControl w:val="0"/>
        <w:adjustRightInd w:val="0"/>
        <w:snapToGrid w:val="0"/>
        <w:spacing w:line="360" w:lineRule="auto"/>
        <w:ind w:firstLine="480" w:firstLineChars="200"/>
        <w:rPr>
          <w:rFonts w:ascii="宋体" w:hAnsi="宋体" w:cs="宋体"/>
          <w:sz w:val="24"/>
          <w:szCs w:val="24"/>
        </w:rPr>
      </w:pPr>
      <w:r>
        <w:rPr>
          <w:rFonts w:ascii="宋体" w:hAnsi="宋体" w:cs="宋体"/>
          <w:sz w:val="24"/>
          <w:szCs w:val="24"/>
        </w:rPr>
        <w:t>5.审计期间，乙方要确保审计资料安全完整。审计现场工作结束后，按照采购人要求，及时清理有关资料及电子数据。</w:t>
      </w:r>
    </w:p>
    <w:p>
      <w:pPr>
        <w:pStyle w:val="2"/>
        <w:adjustRightInd w:val="0"/>
        <w:snapToGrid w:val="0"/>
        <w:spacing w:line="360" w:lineRule="auto"/>
        <w:ind w:firstLine="480" w:firstLineChars="200"/>
        <w:rPr>
          <w:rFonts w:ascii="宋体" w:hAnsi="宋体"/>
          <w:sz w:val="24"/>
          <w:szCs w:val="24"/>
        </w:rPr>
      </w:pPr>
      <w:r>
        <w:rPr>
          <w:rFonts w:ascii="宋体" w:hAnsi="宋体"/>
          <w:sz w:val="24"/>
          <w:szCs w:val="24"/>
        </w:rPr>
        <w:t>6.每个审计项目结束后，采购人需对乙方服务质量进行打评估，若认定评价不合格，可不予支付该审计项目审计服务费。</w:t>
      </w:r>
    </w:p>
    <w:p>
      <w:pPr>
        <w:pStyle w:val="2"/>
        <w:adjustRightInd w:val="0"/>
        <w:snapToGrid w:val="0"/>
        <w:spacing w:line="360" w:lineRule="auto"/>
        <w:ind w:firstLine="480" w:firstLineChars="200"/>
        <w:rPr>
          <w:rFonts w:ascii="宋体" w:hAnsi="宋体"/>
          <w:sz w:val="24"/>
          <w:szCs w:val="24"/>
        </w:rPr>
      </w:pPr>
      <w:r>
        <w:rPr>
          <w:rFonts w:ascii="宋体" w:hAnsi="宋体"/>
          <w:sz w:val="24"/>
          <w:szCs w:val="24"/>
        </w:rPr>
        <w:t>7.为保证采购人的集中批量审计工作能够同步运行，供应商单位需具备足够的专业审计人员储备库，要求供应商单位在投标文件中提供针对本项目服务的专业审计人员不少于12名，专业审计人员具有2年以上行业工作经验。</w:t>
      </w:r>
    </w:p>
    <w:p>
      <w:pPr>
        <w:spacing w:line="360" w:lineRule="auto"/>
        <w:ind w:firstLine="480" w:firstLineChars="200"/>
        <w:rPr>
          <w:rFonts w:ascii="宋体" w:hAnsi="宋体" w:cs="宋体"/>
          <w:sz w:val="24"/>
          <w:szCs w:val="24"/>
        </w:rPr>
      </w:pPr>
      <w:r>
        <w:rPr>
          <w:rFonts w:hint="eastAsia" w:ascii="宋体" w:hAnsi="宋体" w:cs="宋体"/>
          <w:sz w:val="24"/>
          <w:szCs w:val="24"/>
        </w:rPr>
        <w:t>（三）收费标准</w:t>
      </w:r>
    </w:p>
    <w:p>
      <w:pPr>
        <w:spacing w:line="360" w:lineRule="auto"/>
        <w:ind w:firstLine="480" w:firstLineChars="200"/>
        <w:rPr>
          <w:rFonts w:ascii="宋体" w:hAnsi="宋体" w:cs="宋体"/>
          <w:sz w:val="24"/>
          <w:szCs w:val="24"/>
        </w:rPr>
      </w:pPr>
      <w:r>
        <w:rPr>
          <w:rFonts w:hint="eastAsia" w:ascii="宋体" w:hAnsi="宋体" w:cs="宋体"/>
          <w:sz w:val="24"/>
          <w:szCs w:val="24"/>
        </w:rPr>
        <w:t>在审计收费标准给出的数据的基础上按成交折扣率计算</w:t>
      </w:r>
    </w:p>
    <w:p>
      <w:pPr>
        <w:spacing w:line="520" w:lineRule="exact"/>
        <w:ind w:firstLine="420" w:firstLineChars="200"/>
        <w:rPr>
          <w:rFonts w:ascii="宋体" w:hAnsi="宋体" w:cs="宋体"/>
          <w:szCs w:val="21"/>
        </w:rPr>
      </w:pPr>
      <w:r>
        <w:rPr>
          <w:rFonts w:hint="eastAsia" w:ascii="宋体" w:hAnsi="宋体" w:cs="宋体"/>
          <w:szCs w:val="21"/>
        </w:rPr>
        <w:t>附：财政财务收支项目收费控制价</w:t>
      </w:r>
    </w:p>
    <w:tbl>
      <w:tblPr>
        <w:tblStyle w:val="15"/>
        <w:tblW w:w="7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2268"/>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等线 Light"/>
                <w:szCs w:val="21"/>
              </w:rPr>
            </w:pPr>
            <w:r>
              <w:rPr>
                <w:rFonts w:hint="eastAsia" w:ascii="宋体" w:hAnsi="宋体" w:cs="等线 Light"/>
                <w:szCs w:val="21"/>
              </w:rPr>
              <w:t>业务支出分段项目</w:t>
            </w:r>
          </w:p>
        </w:tc>
        <w:tc>
          <w:tcPr>
            <w:tcW w:w="2268"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宋体" w:hAnsi="宋体" w:cs="等线 Light"/>
                <w:szCs w:val="21"/>
              </w:rPr>
            </w:pPr>
            <w:r>
              <w:rPr>
                <w:rFonts w:hint="eastAsia" w:ascii="宋体" w:hAnsi="宋体" w:cs="等线 Light"/>
                <w:szCs w:val="21"/>
              </w:rPr>
              <w:t>单年度收费</w:t>
            </w:r>
            <w:r>
              <w:rPr>
                <w:rFonts w:hint="eastAsia" w:ascii="宋体" w:hAnsi="宋体" w:cs="宋体"/>
                <w:szCs w:val="21"/>
              </w:rPr>
              <w:t>标准</w:t>
            </w:r>
          </w:p>
        </w:tc>
        <w:tc>
          <w:tcPr>
            <w:tcW w:w="218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等线 Light"/>
                <w:szCs w:val="21"/>
              </w:rPr>
            </w:pPr>
            <w:r>
              <w:rPr>
                <w:rFonts w:hint="eastAsia" w:ascii="宋体" w:hAnsi="宋体" w:cs="等线 Light"/>
                <w:szCs w:val="21"/>
              </w:rPr>
              <w:t>双年度收费</w:t>
            </w:r>
            <w:r>
              <w:rPr>
                <w:rFonts w:hint="eastAsia" w:ascii="宋体" w:hAnsi="宋体" w:cs="宋体"/>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业务支出200万元以下</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4,000.00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业务支出200-500万元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7,000.00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14,000.00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业务支出500-1000万元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10,000.00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20,000.00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业务支出1000-3000万元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14,000.00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28,000.00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业务支出3000-5000万元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18,000.00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业务支出5000-8000万元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21,000.00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42,000.00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业务支出8000-1亿元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24,000.00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48,000.00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业务支出1亿以上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26,000.00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52,000.00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rPr>
              <w:t>业务支出2亿以上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28,000.00 </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rPr>
            </w:pPr>
            <w:r>
              <w:rPr>
                <w:rFonts w:hint="eastAsia" w:ascii="宋体" w:hAnsi="宋体" w:cs="等线 Light"/>
                <w:szCs w:val="21"/>
                <w:lang w:bidi="ar"/>
              </w:rPr>
              <w:t xml:space="preserve">56,000.00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353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lang w:bidi="ar"/>
              </w:rPr>
            </w:pPr>
            <w:r>
              <w:rPr>
                <w:rFonts w:hint="eastAsia" w:ascii="宋体" w:hAnsi="宋体" w:cs="等线 Light"/>
                <w:szCs w:val="21"/>
              </w:rPr>
              <w:t>业务支出3亿以上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lang w:bidi="ar"/>
              </w:rPr>
            </w:pPr>
            <w:r>
              <w:rPr>
                <w:rFonts w:hint="eastAsia" w:ascii="宋体" w:hAnsi="宋体" w:cs="等线 Light"/>
                <w:szCs w:val="21"/>
                <w:lang w:bidi="ar"/>
              </w:rPr>
              <w:t>30,000.00</w:t>
            </w:r>
          </w:p>
        </w:tc>
        <w:tc>
          <w:tcPr>
            <w:tcW w:w="218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等线 Light"/>
                <w:szCs w:val="21"/>
                <w:lang w:bidi="ar"/>
              </w:rPr>
            </w:pPr>
            <w:r>
              <w:rPr>
                <w:rFonts w:hint="eastAsia" w:ascii="宋体" w:hAnsi="宋体" w:cs="等线 Light"/>
                <w:szCs w:val="21"/>
                <w:lang w:bidi="ar"/>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98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420" w:firstLineChars="200"/>
              <w:rPr>
                <w:rFonts w:ascii="宋体" w:hAnsi="宋体" w:cs="等线 Light"/>
                <w:szCs w:val="21"/>
              </w:rPr>
            </w:pPr>
            <w:r>
              <w:rPr>
                <w:rFonts w:hint="eastAsia" w:ascii="宋体" w:hAnsi="宋体" w:cs="等线 Light"/>
                <w:szCs w:val="21"/>
              </w:rPr>
              <w:t>选派参与审计调查核查事项的，根据日服务标准和实际工作服务天数结算选派费用。日服务标准参照省财政厅和省直有关职能部门的付费标准，注册会计师、高级会计师、高级审计师人员1200元/天/人；会计、审计、税务中级职称人员900元/天/人；助理会计师或财经专业本科毕业具有3年及以上会计师事务所工作经验人员600元/天/人。</w:t>
            </w:r>
          </w:p>
          <w:p>
            <w:pPr>
              <w:spacing w:line="0" w:lineRule="atLeast"/>
              <w:ind w:firstLine="420" w:firstLineChars="200"/>
              <w:rPr>
                <w:rFonts w:ascii="宋体" w:hAnsi="宋体" w:cs="等线 Light"/>
                <w:szCs w:val="21"/>
              </w:rPr>
            </w:pPr>
            <w:r>
              <w:rPr>
                <w:rFonts w:hint="eastAsia" w:ascii="宋体" w:hAnsi="宋体" w:cs="等线 Light"/>
                <w:szCs w:val="21"/>
              </w:rPr>
              <w:t>备注：上述标准包含劳务费、广州市内交通费、通讯费用、广州市内误餐费等各项杂费。广州市（主城区）外的交通费、住宿费等由采购人按国家及省政府财务制度规定予以解决。</w:t>
            </w:r>
          </w:p>
        </w:tc>
      </w:tr>
    </w:tbl>
    <w:p>
      <w:pPr>
        <w:spacing w:line="360" w:lineRule="auto"/>
        <w:ind w:firstLine="420" w:firstLineChars="200"/>
        <w:rPr>
          <w:rFonts w:ascii="宋体" w:hAnsi="宋体"/>
          <w:sz w:val="24"/>
          <w:szCs w:val="24"/>
        </w:rPr>
      </w:pPr>
      <w:r>
        <w:commentReference w:id="0"/>
      </w:r>
    </w:p>
    <w:p>
      <w:pPr>
        <w:pStyle w:val="5"/>
        <w:numPr>
          <w:ilvl w:val="0"/>
          <w:numId w:val="8"/>
        </w:numPr>
        <w:tabs>
          <w:tab w:val="left" w:pos="945"/>
        </w:tabs>
        <w:spacing w:before="0" w:after="0" w:line="360" w:lineRule="auto"/>
        <w:ind w:left="0" w:firstLine="0"/>
        <w:rPr>
          <w:rFonts w:ascii="宋体" w:hAnsi="宋体"/>
          <w:sz w:val="24"/>
          <w:szCs w:val="24"/>
        </w:rPr>
      </w:pPr>
      <w:bookmarkStart w:id="14" w:name="_Toc47531050"/>
      <w:bookmarkStart w:id="15" w:name="_Toc56180335"/>
      <w:bookmarkStart w:id="16" w:name="_Toc48814208"/>
      <w:r>
        <w:rPr>
          <w:rFonts w:hint="eastAsia" w:ascii="宋体" w:hAnsi="宋体"/>
          <w:sz w:val="24"/>
          <w:szCs w:val="24"/>
        </w:rPr>
        <w:t>服务期限</w:t>
      </w:r>
      <w:bookmarkEnd w:id="14"/>
      <w:r>
        <w:rPr>
          <w:rFonts w:hint="eastAsia" w:ascii="宋体" w:hAnsi="宋体"/>
          <w:sz w:val="24"/>
          <w:szCs w:val="24"/>
        </w:rPr>
        <w:t>及服务地点</w:t>
      </w:r>
      <w:bookmarkEnd w:id="15"/>
      <w:bookmarkEnd w:id="16"/>
    </w:p>
    <w:p>
      <w:pPr>
        <w:numPr>
          <w:ilvl w:val="0"/>
          <w:numId w:val="0"/>
        </w:numPr>
        <w:tabs>
          <w:tab w:val="left" w:pos="945"/>
        </w:tabs>
        <w:spacing w:line="360" w:lineRule="auto"/>
        <w:ind w:left="959" w:leftChars="228" w:hanging="480" w:hangingChars="200"/>
        <w:rPr>
          <w:rFonts w:hint="eastAsia" w:ascii="宋体" w:hAnsi="宋体" w:eastAsia="宋体"/>
          <w:sz w:val="24"/>
          <w:szCs w:val="24"/>
          <w:lang w:eastAsia="zh-CN"/>
        </w:rPr>
      </w:pPr>
      <w:r>
        <w:rPr>
          <w:rFonts w:hint="eastAsia" w:ascii="宋体" w:hAnsi="宋体"/>
          <w:sz w:val="24"/>
          <w:szCs w:val="24"/>
          <w:lang w:val="en-US" w:eastAsia="zh-CN"/>
        </w:rPr>
        <w:t>1、</w:t>
      </w:r>
      <w:r>
        <w:rPr>
          <w:rFonts w:hint="eastAsia" w:ascii="宋体" w:hAnsi="宋体"/>
          <w:sz w:val="24"/>
          <w:szCs w:val="24"/>
        </w:rPr>
        <w:t>本项目委托服务期限：自本合同签订生效之日起一年</w:t>
      </w:r>
      <w:r>
        <w:rPr>
          <w:rFonts w:hint="eastAsia" w:ascii="宋体" w:hAnsi="宋体"/>
          <w:sz w:val="24"/>
          <w:szCs w:val="24"/>
          <w:u w:val="single"/>
        </w:rPr>
        <w:t>或预算总价用完为止</w:t>
      </w:r>
      <w:r>
        <w:rPr>
          <w:rFonts w:hint="eastAsia" w:ascii="宋体" w:hAnsi="宋体"/>
          <w:sz w:val="24"/>
          <w:szCs w:val="24"/>
          <w:u w:val="single"/>
          <w:lang w:eastAsia="zh-CN"/>
        </w:rPr>
        <w:t>。</w:t>
      </w:r>
      <w:r>
        <w:rPr>
          <w:rFonts w:hint="eastAsia" w:ascii="宋体" w:hAnsi="宋体"/>
          <w:sz w:val="24"/>
          <w:szCs w:val="24"/>
        </w:rPr>
        <w:t>经</w:t>
      </w:r>
      <w:r>
        <w:rPr>
          <w:rFonts w:hint="eastAsia" w:ascii="宋体" w:hAnsi="宋体"/>
          <w:sz w:val="24"/>
          <w:szCs w:val="24"/>
          <w:lang w:val="en-US" w:eastAsia="zh-CN"/>
        </w:rPr>
        <w:t>甲方</w:t>
      </w:r>
      <w:r>
        <w:rPr>
          <w:rFonts w:hint="eastAsia" w:ascii="宋体" w:hAnsi="宋体"/>
          <w:sz w:val="24"/>
          <w:szCs w:val="24"/>
        </w:rPr>
        <w:t>确认达到约定服务质量的条件下续签1次合同</w:t>
      </w:r>
      <w:r>
        <w:rPr>
          <w:rFonts w:hint="eastAsia" w:ascii="宋体" w:hAnsi="宋体"/>
          <w:sz w:val="24"/>
          <w:szCs w:val="24"/>
          <w:lang w:eastAsia="zh-CN"/>
        </w:rPr>
        <w:t>。</w:t>
      </w:r>
    </w:p>
    <w:p>
      <w:pPr>
        <w:numPr>
          <w:ilvl w:val="0"/>
          <w:numId w:val="0"/>
        </w:numPr>
        <w:tabs>
          <w:tab w:val="left" w:pos="945"/>
        </w:tabs>
        <w:spacing w:line="360" w:lineRule="auto"/>
        <w:ind w:left="480" w:leftChars="0" w:firstLine="0" w:firstLineChars="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服务地点：甲方指定地点。</w:t>
      </w:r>
    </w:p>
    <w:p>
      <w:pPr>
        <w:pStyle w:val="5"/>
        <w:numPr>
          <w:ilvl w:val="0"/>
          <w:numId w:val="8"/>
        </w:numPr>
        <w:tabs>
          <w:tab w:val="left" w:pos="945"/>
        </w:tabs>
        <w:spacing w:before="0" w:after="0" w:line="360" w:lineRule="auto"/>
        <w:ind w:left="0" w:firstLine="0"/>
        <w:rPr>
          <w:rFonts w:ascii="宋体" w:hAnsi="宋体"/>
          <w:sz w:val="24"/>
          <w:szCs w:val="24"/>
        </w:rPr>
      </w:pPr>
      <w:bookmarkStart w:id="17" w:name="_Toc47531051"/>
      <w:bookmarkStart w:id="18" w:name="_Toc48814209"/>
      <w:bookmarkStart w:id="19" w:name="_Toc56180336"/>
      <w:r>
        <w:rPr>
          <w:rFonts w:hint="eastAsia" w:ascii="宋体" w:hAnsi="宋体"/>
          <w:sz w:val="24"/>
          <w:szCs w:val="24"/>
        </w:rPr>
        <w:t>付款方式</w:t>
      </w:r>
      <w:bookmarkEnd w:id="17"/>
      <w:bookmarkEnd w:id="18"/>
      <w:bookmarkEnd w:id="19"/>
    </w:p>
    <w:p>
      <w:pPr>
        <w:spacing w:line="360" w:lineRule="auto"/>
        <w:ind w:firstLine="480" w:firstLineChars="200"/>
        <w:rPr>
          <w:rFonts w:hint="eastAsia" w:ascii="宋体" w:hAnsi="宋体"/>
          <w:sz w:val="24"/>
          <w:szCs w:val="24"/>
        </w:rPr>
      </w:pPr>
      <w:r>
        <w:rPr>
          <w:rFonts w:hint="eastAsia" w:ascii="宋体" w:hAnsi="宋体"/>
          <w:sz w:val="24"/>
          <w:szCs w:val="24"/>
        </w:rPr>
        <w:t>由甲方按下列程序付款：</w:t>
      </w:r>
    </w:p>
    <w:p>
      <w:pPr>
        <w:numPr>
          <w:ilvl w:val="0"/>
          <w:numId w:val="0"/>
        </w:numPr>
        <w:tabs>
          <w:tab w:val="left" w:pos="945"/>
        </w:tabs>
        <w:spacing w:line="360" w:lineRule="auto"/>
        <w:ind w:left="0" w:leftChars="0" w:firstLine="480" w:firstLineChars="200"/>
        <w:rPr>
          <w:rFonts w:hint="default" w:ascii="宋体" w:hAnsi="宋体" w:eastAsia="宋体" w:cs="Times New Roman"/>
          <w:sz w:val="24"/>
          <w:szCs w:val="24"/>
        </w:rPr>
      </w:pPr>
      <w:r>
        <w:rPr>
          <w:rFonts w:hint="eastAsia" w:ascii="宋体" w:hAnsi="宋体"/>
          <w:sz w:val="24"/>
          <w:szCs w:val="24"/>
          <w:lang w:val="en-US" w:eastAsia="zh-CN"/>
        </w:rPr>
        <w:t>1、</w:t>
      </w:r>
      <w:r>
        <w:rPr>
          <w:rFonts w:hint="eastAsia" w:ascii="宋体" w:hAnsi="宋体"/>
          <w:sz w:val="24"/>
          <w:szCs w:val="24"/>
        </w:rPr>
        <w:t>乙方完成项目全部工作，并经甲方验收确认后，乙方向甲方开具合法有效</w:t>
      </w:r>
      <w:r>
        <w:rPr>
          <w:rFonts w:hint="default" w:ascii="宋体" w:hAnsi="宋体" w:eastAsia="宋体" w:cs="Times New Roman"/>
          <w:sz w:val="24"/>
          <w:szCs w:val="24"/>
        </w:rPr>
        <w:t>的全额增值税发票，甲方收到发票后30个工作日内支付合同金额。</w:t>
      </w:r>
    </w:p>
    <w:p>
      <w:pPr>
        <w:numPr>
          <w:ilvl w:val="0"/>
          <w:numId w:val="0"/>
        </w:numPr>
        <w:tabs>
          <w:tab w:val="left" w:pos="945"/>
        </w:tabs>
        <w:spacing w:line="360" w:lineRule="auto"/>
        <w:ind w:left="0" w:leftChars="0" w:firstLine="480" w:firstLineChars="200"/>
        <w:rPr>
          <w:rFonts w:hint="default" w:ascii="宋体" w:hAnsi="宋体" w:eastAsia="宋体" w:cs="Times New Roman"/>
          <w:sz w:val="24"/>
          <w:szCs w:val="24"/>
        </w:rPr>
      </w:pPr>
      <w:r>
        <w:rPr>
          <w:rFonts w:hint="eastAsia" w:ascii="宋体" w:hAnsi="宋体" w:eastAsia="宋体" w:cs="Times New Roman"/>
          <w:sz w:val="24"/>
          <w:szCs w:val="24"/>
          <w:lang w:val="en-US" w:eastAsia="zh-CN"/>
        </w:rPr>
        <w:t>2、</w:t>
      </w:r>
      <w:r>
        <w:rPr>
          <w:rFonts w:hint="default" w:ascii="宋体" w:hAnsi="宋体" w:eastAsia="宋体" w:cs="Times New Roman"/>
          <w:sz w:val="24"/>
          <w:szCs w:val="24"/>
        </w:rPr>
        <w:t>乙方向甲方提出支付申请的同时应向甲方开具同等金额有效的增值税发票，如乙方未能按时提交合法有效发票，甲方有权拒绝付款，且乙方仍需按本合同约定履行各项义务。</w:t>
      </w:r>
    </w:p>
    <w:p>
      <w:pPr>
        <w:numPr>
          <w:ilvl w:val="0"/>
          <w:numId w:val="0"/>
        </w:numPr>
        <w:tabs>
          <w:tab w:val="left" w:pos="945"/>
        </w:tabs>
        <w:spacing w:line="360" w:lineRule="auto"/>
        <w:ind w:left="0" w:leftChars="0" w:firstLine="480" w:firstLineChars="200"/>
        <w:rPr>
          <w:rFonts w:hint="default" w:ascii="宋体" w:hAnsi="宋体" w:eastAsia="宋体" w:cs="Times New Roman"/>
          <w:sz w:val="24"/>
          <w:szCs w:val="24"/>
        </w:rPr>
      </w:pPr>
      <w:r>
        <w:rPr>
          <w:rFonts w:hint="eastAsia" w:ascii="宋体" w:hAnsi="宋体" w:eastAsia="宋体" w:cs="Times New Roman"/>
          <w:sz w:val="24"/>
          <w:szCs w:val="24"/>
          <w:lang w:val="en-US" w:eastAsia="zh-CN"/>
        </w:rPr>
        <w:t>3、</w:t>
      </w:r>
      <w:r>
        <w:rPr>
          <w:rFonts w:hint="default" w:ascii="宋体" w:hAnsi="宋体" w:eastAsia="宋体" w:cs="Times New Roman"/>
          <w:sz w:val="24"/>
          <w:szCs w:val="24"/>
        </w:rPr>
        <w:t>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numPr>
          <w:ilvl w:val="0"/>
          <w:numId w:val="0"/>
        </w:numPr>
        <w:tabs>
          <w:tab w:val="left" w:pos="945"/>
        </w:tabs>
        <w:spacing w:line="360" w:lineRule="auto"/>
        <w:ind w:left="0" w:leftChars="0" w:firstLine="480" w:firstLineChars="200"/>
        <w:rPr>
          <w:rFonts w:hint="eastAsia" w:ascii="宋体" w:hAnsi="宋体" w:cs="Times New Roman"/>
          <w:sz w:val="24"/>
          <w:szCs w:val="24"/>
          <w:lang w:val="en-US" w:eastAsia="zh-CN"/>
        </w:rPr>
      </w:pPr>
      <w:r>
        <w:rPr>
          <w:rFonts w:hint="eastAsia" w:ascii="宋体" w:hAnsi="宋体" w:cs="Times New Roman"/>
          <w:sz w:val="24"/>
          <w:szCs w:val="24"/>
          <w:lang w:val="en-US" w:eastAsia="zh-CN"/>
        </w:rPr>
        <w:t>4、乙方确认收款账户信息如下：</w:t>
      </w:r>
    </w:p>
    <w:p>
      <w:pPr>
        <w:numPr>
          <w:ilvl w:val="0"/>
          <w:numId w:val="0"/>
        </w:numPr>
        <w:tabs>
          <w:tab w:val="left" w:pos="945"/>
        </w:tabs>
        <w:spacing w:line="360" w:lineRule="auto"/>
        <w:ind w:left="0" w:leftChars="0" w:firstLine="480" w:firstLineChars="200"/>
        <w:rPr>
          <w:rFonts w:hint="eastAsia" w:ascii="宋体" w:hAnsi="宋体" w:cs="Times New Roman"/>
          <w:sz w:val="24"/>
          <w:szCs w:val="24"/>
          <w:lang w:val="en-US" w:eastAsia="zh-CN"/>
        </w:rPr>
      </w:pPr>
      <w:r>
        <w:rPr>
          <w:rFonts w:hint="eastAsia" w:ascii="宋体" w:hAnsi="宋体" w:cs="Times New Roman"/>
          <w:sz w:val="24"/>
          <w:szCs w:val="24"/>
          <w:lang w:val="en-US" w:eastAsia="zh-CN"/>
        </w:rPr>
        <w:t>账户名：</w:t>
      </w:r>
    </w:p>
    <w:p>
      <w:pPr>
        <w:numPr>
          <w:ilvl w:val="0"/>
          <w:numId w:val="0"/>
        </w:numPr>
        <w:tabs>
          <w:tab w:val="left" w:pos="945"/>
        </w:tabs>
        <w:spacing w:line="360" w:lineRule="auto"/>
        <w:ind w:left="0" w:leftChars="0" w:firstLine="480" w:firstLineChars="200"/>
        <w:rPr>
          <w:rFonts w:hint="eastAsia" w:ascii="宋体" w:hAnsi="宋体" w:cs="Times New Roman"/>
          <w:sz w:val="24"/>
          <w:szCs w:val="24"/>
          <w:lang w:val="en-US" w:eastAsia="zh-CN"/>
        </w:rPr>
      </w:pPr>
      <w:r>
        <w:rPr>
          <w:rFonts w:hint="eastAsia" w:ascii="宋体" w:hAnsi="宋体" w:cs="Times New Roman"/>
          <w:sz w:val="24"/>
          <w:szCs w:val="24"/>
          <w:lang w:val="en-US" w:eastAsia="zh-CN"/>
        </w:rPr>
        <w:t>账号：</w:t>
      </w:r>
    </w:p>
    <w:p>
      <w:pPr>
        <w:numPr>
          <w:ilvl w:val="0"/>
          <w:numId w:val="0"/>
        </w:numPr>
        <w:tabs>
          <w:tab w:val="left" w:pos="945"/>
        </w:tabs>
        <w:spacing w:line="360" w:lineRule="auto"/>
        <w:ind w:left="0" w:leftChars="0" w:firstLine="480" w:firstLineChars="200"/>
        <w:rPr>
          <w:rFonts w:hint="eastAsia" w:ascii="宋体" w:hAnsi="宋体" w:cs="Times New Roman"/>
          <w:sz w:val="24"/>
          <w:szCs w:val="24"/>
          <w:lang w:val="en-US" w:eastAsia="zh-CN"/>
        </w:rPr>
      </w:pPr>
      <w:r>
        <w:rPr>
          <w:rFonts w:hint="eastAsia" w:ascii="宋体" w:hAnsi="宋体" w:cs="Times New Roman"/>
          <w:sz w:val="24"/>
          <w:szCs w:val="24"/>
          <w:lang w:val="en-US" w:eastAsia="zh-CN"/>
        </w:rPr>
        <w:t>开户行：</w:t>
      </w:r>
    </w:p>
    <w:p>
      <w:pPr>
        <w:numPr>
          <w:ilvl w:val="0"/>
          <w:numId w:val="0"/>
        </w:numPr>
        <w:tabs>
          <w:tab w:val="left" w:pos="945"/>
        </w:tabs>
        <w:spacing w:line="360" w:lineRule="auto"/>
        <w:ind w:left="0" w:leftChars="0" w:firstLine="480" w:firstLineChars="200"/>
        <w:rPr>
          <w:rFonts w:hint="default" w:ascii="宋体" w:hAnsi="宋体" w:cs="Times New Roman"/>
          <w:sz w:val="24"/>
          <w:szCs w:val="24"/>
          <w:lang w:val="en-US" w:eastAsia="zh-CN"/>
        </w:rPr>
      </w:pPr>
      <w:r>
        <w:rPr>
          <w:rFonts w:hint="default" w:ascii="宋体" w:hAnsi="宋体"/>
          <w:sz w:val="24"/>
          <w:szCs w:val="24"/>
        </w:rPr>
        <w:t xml:space="preserve">乙方对其向甲方提供的收款银行账户信息的真实性、合法性、有效性、准确性、完整性负责。乙方需变更其收款账户的，应当提前3日以书面方式通知甲方，如因乙方提供的银行账户原因（包括但不限于账号错误、被注销、被冻结等）或乙方不适当、不及时通知甲方，导致费用的支付发生任何不利后果的，由乙方承担全部责任。 </w:t>
      </w:r>
    </w:p>
    <w:p>
      <w:pPr>
        <w:pStyle w:val="5"/>
        <w:numPr>
          <w:ilvl w:val="0"/>
          <w:numId w:val="8"/>
        </w:numPr>
        <w:tabs>
          <w:tab w:val="left" w:pos="945"/>
        </w:tabs>
        <w:spacing w:before="0" w:after="0" w:line="360" w:lineRule="auto"/>
        <w:ind w:left="0" w:firstLine="0"/>
        <w:rPr>
          <w:rFonts w:ascii="宋体" w:hAnsi="宋体"/>
          <w:sz w:val="24"/>
          <w:szCs w:val="24"/>
        </w:rPr>
      </w:pPr>
      <w:bookmarkStart w:id="20" w:name="_Toc56180337"/>
      <w:bookmarkStart w:id="21" w:name="_Toc48814210"/>
      <w:bookmarkStart w:id="22" w:name="_Toc47531052"/>
      <w:r>
        <w:rPr>
          <w:rFonts w:hint="eastAsia" w:ascii="宋体" w:hAnsi="宋体"/>
          <w:sz w:val="24"/>
          <w:szCs w:val="24"/>
        </w:rPr>
        <w:t>售后服务要求</w:t>
      </w:r>
      <w:bookmarkEnd w:id="20"/>
      <w:bookmarkEnd w:id="21"/>
      <w:bookmarkEnd w:id="22"/>
    </w:p>
    <w:p>
      <w:pPr>
        <w:numPr>
          <w:ilvl w:val="0"/>
          <w:numId w:val="0"/>
        </w:numPr>
        <w:tabs>
          <w:tab w:val="left" w:pos="945"/>
        </w:tabs>
        <w:spacing w:line="360" w:lineRule="auto"/>
        <w:ind w:left="0" w:leftChars="0" w:firstLine="480" w:firstLineChars="200"/>
        <w:rPr>
          <w:rFonts w:hint="eastAsia" w:ascii="宋体" w:hAnsi="宋体" w:cs="Times New Roman"/>
          <w:kern w:val="2"/>
          <w:sz w:val="24"/>
          <w:szCs w:val="24"/>
          <w:lang w:val="en-US" w:eastAsia="zh-CN" w:bidi="ar-SA"/>
        </w:rPr>
      </w:pPr>
      <w:r>
        <w:rPr>
          <w:rFonts w:hint="eastAsia" w:ascii="宋体" w:hAnsi="宋体"/>
          <w:sz w:val="24"/>
          <w:szCs w:val="24"/>
          <w:lang w:val="en-US" w:eastAsia="zh-CN"/>
        </w:rPr>
        <w:t>1、</w:t>
      </w:r>
      <w:r>
        <w:rPr>
          <w:rFonts w:hint="eastAsia" w:ascii="宋体" w:hAnsi="宋体"/>
          <w:sz w:val="24"/>
          <w:szCs w:val="24"/>
        </w:rPr>
        <w:t>本合同的售后服务保证期为</w:t>
      </w:r>
      <w:r>
        <w:rPr>
          <w:rFonts w:hint="eastAsia" w:ascii="宋体" w:hAnsi="宋体" w:cs="Times New Roman"/>
          <w:kern w:val="2"/>
          <w:sz w:val="24"/>
          <w:szCs w:val="24"/>
          <w:lang w:val="en-US" w:eastAsia="zh-CN" w:bidi="ar-SA"/>
        </w:rPr>
        <w:t>乙方</w:t>
      </w:r>
      <w:r>
        <w:rPr>
          <w:rFonts w:hint="default" w:ascii="宋体" w:hAnsi="宋体" w:eastAsia="宋体" w:cs="Times New Roman"/>
          <w:kern w:val="2"/>
          <w:sz w:val="24"/>
          <w:szCs w:val="24"/>
          <w:lang w:val="en-US" w:eastAsia="zh-CN" w:bidi="ar-SA"/>
        </w:rPr>
        <w:t>出具审核报告并经甲方</w:t>
      </w:r>
      <w:r>
        <w:rPr>
          <w:rFonts w:hint="eastAsia" w:ascii="宋体" w:hAnsi="宋体"/>
          <w:sz w:val="24"/>
          <w:szCs w:val="24"/>
        </w:rPr>
        <w:t>验收确认</w:t>
      </w:r>
      <w:r>
        <w:rPr>
          <w:rFonts w:hint="eastAsia" w:ascii="宋体" w:hAnsi="宋体" w:cs="Times New Roman"/>
          <w:kern w:val="2"/>
          <w:sz w:val="24"/>
          <w:szCs w:val="24"/>
          <w:lang w:val="en-US" w:eastAsia="zh-CN" w:bidi="ar-SA"/>
        </w:rPr>
        <w:t>之日起</w:t>
      </w:r>
    </w:p>
    <w:p>
      <w:pPr>
        <w:numPr>
          <w:ilvl w:val="0"/>
          <w:numId w:val="0"/>
        </w:num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1</w:t>
      </w:r>
      <w:bookmarkStart w:id="44" w:name="_GoBack"/>
      <w:bookmarkEnd w:id="44"/>
      <w:r>
        <w:rPr>
          <w:rFonts w:hint="eastAsia" w:ascii="宋体" w:hAnsi="宋体"/>
          <w:sz w:val="24"/>
          <w:szCs w:val="24"/>
        </w:rPr>
        <w:t>年。</w:t>
      </w:r>
    </w:p>
    <w:p>
      <w:pPr>
        <w:pStyle w:val="5"/>
        <w:numPr>
          <w:ilvl w:val="0"/>
          <w:numId w:val="8"/>
        </w:numPr>
        <w:tabs>
          <w:tab w:val="left" w:pos="945"/>
        </w:tabs>
        <w:spacing w:before="0" w:after="0" w:line="360" w:lineRule="auto"/>
        <w:ind w:left="0" w:firstLine="0"/>
        <w:rPr>
          <w:rFonts w:ascii="宋体" w:hAnsi="宋体"/>
          <w:sz w:val="24"/>
          <w:szCs w:val="24"/>
        </w:rPr>
      </w:pPr>
      <w:bookmarkStart w:id="23" w:name="_Toc48814211"/>
      <w:bookmarkStart w:id="24" w:name="_Toc56180338"/>
      <w:bookmarkStart w:id="25" w:name="_Toc47531053"/>
      <w:r>
        <w:rPr>
          <w:rFonts w:hint="eastAsia" w:ascii="宋体" w:hAnsi="宋体"/>
          <w:sz w:val="24"/>
          <w:szCs w:val="24"/>
        </w:rPr>
        <w:t>双方权利义务</w:t>
      </w:r>
      <w:bookmarkEnd w:id="23"/>
      <w:bookmarkEnd w:id="24"/>
      <w:bookmarkEnd w:id="25"/>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（一）甲方的权利和义务</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1、根据本合同项目的实际需要和乙方的要求提供协助，并提供有关的资料，报表及文档等，甲方保证所提供的所有资料完整、真实、合法。</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2、按本合同约定支付合同费用。</w:t>
      </w:r>
    </w:p>
    <w:p>
      <w:pPr>
        <w:pStyle w:val="2"/>
        <w:spacing w:line="360" w:lineRule="auto"/>
        <w:ind w:left="0" w:leftChars="0" w:firstLine="480" w:firstLineChars="200"/>
        <w:rPr>
          <w:rFonts w:hint="eastAsia" w:ascii="宋体" w:hAnsi="宋体"/>
          <w:sz w:val="24"/>
          <w:szCs w:val="24"/>
        </w:rPr>
      </w:pPr>
      <w:r>
        <w:rPr>
          <w:rFonts w:hint="eastAsia" w:ascii="宋体" w:hAnsi="宋体"/>
          <w:sz w:val="24"/>
          <w:szCs w:val="24"/>
        </w:rPr>
        <w:t>3、对乙方的工作成果进行评价，若认定评价不合格，可不予支付该审计项目的审计服务费。</w:t>
      </w:r>
    </w:p>
    <w:p>
      <w:pPr>
        <w:pStyle w:val="3"/>
        <w:spacing w:after="0" w:line="360" w:lineRule="auto"/>
        <w:ind w:left="0" w:leftChars="0" w:firstLine="480" w:firstLineChars="200"/>
        <w:rPr>
          <w:rFonts w:hint="eastAsia" w:ascii="宋体" w:hAnsi="宋体"/>
          <w:sz w:val="24"/>
          <w:szCs w:val="24"/>
          <w:lang w:val="en-US" w:eastAsia="zh-CN"/>
        </w:rPr>
      </w:pPr>
      <w:r>
        <w:rPr>
          <w:rFonts w:hint="eastAsia" w:ascii="宋体" w:hAnsi="宋体"/>
          <w:sz w:val="24"/>
          <w:szCs w:val="24"/>
          <w:lang w:val="en-US" w:eastAsia="zh-CN"/>
        </w:rPr>
        <w:t>4、乙方进场实施审计前，甲方有权审查乙方的审计实施方案、审计项目组组成人员的情况等事项，乙方通过甲方的审查后方可进场实施审计。</w:t>
      </w:r>
    </w:p>
    <w:p>
      <w:pPr>
        <w:pStyle w:val="3"/>
        <w:spacing w:after="0" w:line="360" w:lineRule="auto"/>
        <w:ind w:left="0" w:leftChars="0" w:firstLine="480" w:firstLineChars="200"/>
        <w:rPr>
          <w:rFonts w:hint="eastAsia" w:ascii="宋体" w:hAnsi="宋体"/>
          <w:sz w:val="24"/>
          <w:szCs w:val="24"/>
          <w:lang w:val="en-US" w:eastAsia="zh-CN"/>
        </w:rPr>
      </w:pPr>
      <w:r>
        <w:rPr>
          <w:rFonts w:hint="eastAsia" w:ascii="宋体" w:hAnsi="宋体"/>
          <w:sz w:val="24"/>
          <w:szCs w:val="24"/>
          <w:lang w:val="en-US" w:eastAsia="zh-CN"/>
        </w:rPr>
        <w:t>5、甲方有权要求乙方依据约定的时间、范围、目的、质量要求等全面完成审计业务，出具合格的审计报告或其他甲方同意的审计成果文件，有权要求乙方出具真实、准确的审计报告或其他审计成果文件</w:t>
      </w:r>
    </w:p>
    <w:p>
      <w:pPr>
        <w:pStyle w:val="3"/>
        <w:spacing w:after="0" w:line="360" w:lineRule="auto"/>
        <w:ind w:left="0" w:leftChars="0" w:firstLine="480" w:firstLineChars="200"/>
        <w:rPr>
          <w:rFonts w:hint="default" w:ascii="宋体" w:hAnsi="宋体"/>
          <w:sz w:val="24"/>
          <w:szCs w:val="24"/>
          <w:lang w:val="en-US" w:eastAsia="zh-CN"/>
        </w:rPr>
      </w:pPr>
      <w:r>
        <w:rPr>
          <w:rFonts w:hint="eastAsia" w:ascii="宋体" w:hAnsi="宋体"/>
          <w:sz w:val="24"/>
          <w:szCs w:val="24"/>
          <w:lang w:val="en-US" w:eastAsia="zh-CN"/>
        </w:rPr>
        <w:t>6、甲方有权根据需要使用、分发乙方出具的审计报告及其他审计成果文件。</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（二）乙方的权利和义务</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1、乙方进场实施审计前，应将审计实施方案、审计项目组组成人员情况等交甲方审查，审查通过后方可进场实施审计。乙方应该严格按照经甲方审查通过的审计实施方案进行审计工作，乙方作为专业审计机构的责任和义务不因甲方审查审计实施方案而免除或减轻</w:t>
      </w:r>
      <w:r>
        <w:rPr>
          <w:rFonts w:hint="eastAsia" w:ascii="宋体" w:hAnsi="宋体"/>
          <w:sz w:val="24"/>
          <w:szCs w:val="24"/>
          <w:lang w:eastAsia="zh-CN"/>
        </w:rPr>
        <w:t>。</w:t>
      </w:r>
      <w:r>
        <w:rPr>
          <w:rFonts w:hint="eastAsia" w:ascii="宋体" w:hAnsi="宋体"/>
          <w:sz w:val="24"/>
          <w:szCs w:val="24"/>
          <w:lang w:val="en-US" w:eastAsia="zh-CN"/>
        </w:rPr>
        <w:t>乙方应当</w:t>
      </w:r>
      <w:r>
        <w:rPr>
          <w:rFonts w:hint="eastAsia" w:ascii="宋体" w:hAnsi="宋体"/>
          <w:sz w:val="24"/>
          <w:szCs w:val="24"/>
        </w:rPr>
        <w:t>按照公开文件的要求、投标文件的承诺、本合同的约定及甲方的具体要求开展审核（审计），按时出具审核（审计）报告，并保证审核（审计）报告的真实性、客观性、合法性。</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2、乙方在本合同项下的合同义务均应由乙方聘请的有实际劳动关系的员工完成，乙方应同时提供参与该项目的团队成员在乙方任职的证明材料（缴纳社保证明或单位代缴个人所得税税单等外部证明材料）。乙方派出员工【   】作为本项目的负责人，邮箱：</w:t>
      </w:r>
      <w:r>
        <w:rPr>
          <w:rFonts w:hint="eastAsia" w:ascii="宋体" w:hAnsi="宋体"/>
          <w:sz w:val="24"/>
          <w:szCs w:val="24"/>
          <w:lang w:eastAsia="zh-CN"/>
        </w:rPr>
        <w:t>【</w:t>
      </w:r>
      <w:r>
        <w:rPr>
          <w:rFonts w:hint="eastAsia" w:ascii="宋体" w:hAnsi="宋体"/>
          <w:sz w:val="24"/>
          <w:szCs w:val="24"/>
          <w:lang w:val="en-US" w:eastAsia="zh-CN"/>
        </w:rPr>
        <w:t xml:space="preserve">    </w:t>
      </w:r>
      <w:r>
        <w:rPr>
          <w:rFonts w:hint="eastAsia" w:ascii="宋体" w:hAnsi="宋体"/>
          <w:sz w:val="24"/>
          <w:szCs w:val="24"/>
          <w:lang w:eastAsia="zh-CN"/>
        </w:rPr>
        <w:t>】</w:t>
      </w:r>
      <w:r>
        <w:rPr>
          <w:rFonts w:hint="eastAsia" w:ascii="宋体" w:hAnsi="宋体"/>
          <w:sz w:val="24"/>
          <w:szCs w:val="24"/>
        </w:rPr>
        <w:t xml:space="preserve"> 联系电话：</w:t>
      </w:r>
      <w:r>
        <w:rPr>
          <w:rFonts w:hint="eastAsia" w:ascii="宋体" w:hAnsi="宋体"/>
          <w:sz w:val="24"/>
          <w:szCs w:val="24"/>
          <w:lang w:eastAsia="zh-CN"/>
        </w:rPr>
        <w:t>【</w:t>
      </w:r>
      <w:r>
        <w:rPr>
          <w:rFonts w:hint="eastAsia" w:ascii="宋体" w:hAnsi="宋体"/>
          <w:sz w:val="24"/>
          <w:szCs w:val="24"/>
          <w:lang w:val="en-US" w:eastAsia="zh-CN"/>
        </w:rPr>
        <w:t xml:space="preserve">          </w:t>
      </w:r>
      <w:r>
        <w:rPr>
          <w:rFonts w:hint="eastAsia" w:ascii="宋体" w:hAnsi="宋体"/>
          <w:sz w:val="24"/>
          <w:szCs w:val="24"/>
          <w:lang w:eastAsia="zh-CN"/>
        </w:rPr>
        <w:t>】</w:t>
      </w:r>
      <w:r>
        <w:rPr>
          <w:rFonts w:hint="eastAsia" w:ascii="宋体" w:hAnsi="宋体"/>
          <w:sz w:val="24"/>
          <w:szCs w:val="24"/>
        </w:rPr>
        <w:t>。负责人必须作为本项目的主要工作人员实际参与本项目，全程参与项目的审计，并严格把关。乙方的项目团队成员不得少于</w:t>
      </w:r>
      <w:r>
        <w:rPr>
          <w:rFonts w:hint="eastAsia" w:ascii="宋体" w:hAnsi="宋体"/>
          <w:sz w:val="24"/>
          <w:szCs w:val="24"/>
          <w:lang w:eastAsia="zh-CN"/>
        </w:rPr>
        <w:t>【</w:t>
      </w:r>
      <w:r>
        <w:rPr>
          <w:rFonts w:hint="eastAsia" w:ascii="宋体" w:hAnsi="宋体"/>
          <w:sz w:val="24"/>
          <w:szCs w:val="24"/>
          <w:lang w:val="en-US" w:eastAsia="zh-CN"/>
        </w:rPr>
        <w:t xml:space="preserve">   </w:t>
      </w:r>
      <w:r>
        <w:rPr>
          <w:rFonts w:hint="eastAsia" w:ascii="宋体" w:hAnsi="宋体"/>
          <w:sz w:val="24"/>
          <w:szCs w:val="24"/>
          <w:lang w:eastAsia="zh-CN"/>
        </w:rPr>
        <w:t>】</w:t>
      </w:r>
      <w:r>
        <w:rPr>
          <w:rFonts w:hint="eastAsia" w:ascii="宋体" w:hAnsi="宋体"/>
          <w:sz w:val="24"/>
          <w:szCs w:val="24"/>
        </w:rPr>
        <w:t>人，团队成员应具有相应的资质和职称，在管理与常规审计服务工作时间内，不得从事与本项目审计工作无关的其他事项。合同有效期内，乙方不得随意更换负责人及项目成员，如需更换，应提前告知甲方并取得甲方的同意。因突发原因而临时更换的，乙方应及时向甲方补充书面说明。接替人员的资质应与被更换人员的资质持平或更优。</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3、乙方在审计过程中遇到重大问题须及时向甲方报告，因乙方严重过失或故意提供不实、内容虚假审计结果、审计结论、审计报告的，甲方有权单方解除合同，拒付任何费用，并要求乙方支付合同总金额20%的违约金，违约金不足以补偿甲方因乙方违约造成的损失（包括但不限于律师费、诉讼费、公证费、鉴定费等），甲方有权进一步向乙方提出索赔。同时甲方有权通报乙方所在的行业协会和主管部门，按规定追究乙方相应的法律责任。</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4、乙方提供的服务成果应合乎法律法规的规定，并满足知识产权等方面的有关规定和要求。乙方保证不存在任何侵犯第三方知识产权等合法权益的情形，如因乙方提供的服务成果侵犯任何第三方的合法权益，导致该第三方追究甲方责任的，乙方应负责解决并赔偿因此给甲方造成的全部损失，包括且不限于甲方因此支出的律师费、诉讼费、执行费、差旅费等，另应额外向甲方支付本合同总金额 20%的违约金。</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5、乙方提供的服务成果的所有权及知识产权均归甲方所有，未经甲方书面许可，乙方不得对外公布，不得复制、传播、出售或者许可他人使用等，否则相关收益归甲方所有，乙方应另向甲方承担违约责任，并赔偿甲方全部损失。</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6、乙方为甲方提供服务过程中获得的以书面、口头、图像或者其他任何形式作为载体的任何资料、信息、档案、数据等，均被视为保密信息。乙方须同甲方签订保密承诺书，承诺不得以任何形式向任何单位或个人披露审计有关信息，</w:t>
      </w:r>
      <w:r>
        <w:rPr>
          <w:rFonts w:hint="eastAsia" w:ascii="宋体" w:hAnsi="宋体"/>
          <w:sz w:val="24"/>
          <w:szCs w:val="24"/>
          <w:lang w:val="en-US" w:eastAsia="zh-CN"/>
        </w:rPr>
        <w:t>不得</w:t>
      </w:r>
      <w:r>
        <w:rPr>
          <w:rFonts w:hint="eastAsia" w:ascii="宋体" w:hAnsi="宋体"/>
          <w:sz w:val="24"/>
          <w:szCs w:val="24"/>
        </w:rPr>
        <w:t>泄露执业过程中知悉的国家秘密和甲方保密信息，</w:t>
      </w:r>
      <w:r>
        <w:rPr>
          <w:rFonts w:hint="eastAsia" w:ascii="宋体" w:hAnsi="宋体"/>
          <w:sz w:val="24"/>
          <w:szCs w:val="24"/>
          <w:lang w:val="en-US" w:eastAsia="zh-CN"/>
        </w:rPr>
        <w:t>并</w:t>
      </w:r>
      <w:r>
        <w:rPr>
          <w:rFonts w:hint="eastAsia" w:ascii="宋体" w:hAnsi="宋体"/>
          <w:sz w:val="24"/>
          <w:szCs w:val="24"/>
        </w:rPr>
        <w:t>只能用于履行本合同之义务，项目完成后相关保密信息均应全部交还给甲方，乙方不得留存、复制、拍照等。乙方及乙方的工作人员对保密信息均有保密义务，因未遵守保密义务给甲方造成损失的，乙方应承担赔偿责任，同时乙方需向甲方支付合同总额 20%的违约金。有关保密的内容和义务长期有效，本合同如有任何部分被视为无效或不可执行，均不影响本保密条款的效力。</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7、合同有效期内，乙方应具备并保有与其从事的造价审核、审计工作相适应的专业知识、业务能力以及谈判沟通能力。如乙方丧失履行本合同所必需的能力，甲方有权单方通知解除合同，未付款项不予支付，乙方应承担本合同总金额 20%的违约金，并赔偿甲方因此而发生的一切经济损失（包括但不限于鉴定费、律师费、保全费、差旅费等）。</w:t>
      </w:r>
    </w:p>
    <w:p>
      <w:pPr>
        <w:pStyle w:val="2"/>
        <w:spacing w:line="360" w:lineRule="auto"/>
        <w:ind w:firstLine="480" w:firstLineChars="200"/>
        <w:rPr>
          <w:rFonts w:ascii="宋体" w:hAnsi="宋体"/>
          <w:sz w:val="24"/>
          <w:szCs w:val="24"/>
        </w:rPr>
      </w:pPr>
      <w:r>
        <w:rPr>
          <w:rFonts w:hint="eastAsia" w:ascii="宋体" w:hAnsi="宋体"/>
          <w:sz w:val="24"/>
          <w:szCs w:val="24"/>
        </w:rPr>
        <w:t>8、乙方应遵守廉政及职业道德要求：</w:t>
      </w:r>
    </w:p>
    <w:p>
      <w:pPr>
        <w:pStyle w:val="2"/>
        <w:spacing w:line="360" w:lineRule="auto"/>
        <w:ind w:firstLine="480" w:firstLineChars="200"/>
        <w:rPr>
          <w:rFonts w:ascii="宋体" w:hAnsi="宋体"/>
          <w:sz w:val="24"/>
          <w:szCs w:val="24"/>
        </w:rPr>
      </w:pPr>
      <w:r>
        <w:rPr>
          <w:rFonts w:hint="eastAsia" w:ascii="宋体" w:hAnsi="宋体"/>
          <w:sz w:val="24"/>
          <w:szCs w:val="24"/>
        </w:rPr>
        <w:t>（1）须客观公正依法审计，遵守审计纪律和职业道德。</w:t>
      </w:r>
    </w:p>
    <w:p>
      <w:pPr>
        <w:pStyle w:val="2"/>
        <w:spacing w:line="360" w:lineRule="auto"/>
        <w:ind w:firstLine="480" w:firstLineChars="200"/>
        <w:rPr>
          <w:rFonts w:ascii="宋体" w:hAnsi="宋体"/>
          <w:sz w:val="24"/>
          <w:szCs w:val="24"/>
        </w:rPr>
      </w:pPr>
      <w:r>
        <w:rPr>
          <w:rFonts w:hint="eastAsia" w:ascii="宋体" w:hAnsi="宋体"/>
          <w:sz w:val="24"/>
          <w:szCs w:val="24"/>
        </w:rPr>
        <w:t>（2）乙方派遣的工作人员与甲方或者审计事项有利害关系的，应主动回避。</w:t>
      </w:r>
    </w:p>
    <w:p>
      <w:pPr>
        <w:pStyle w:val="2"/>
        <w:spacing w:line="360" w:lineRule="auto"/>
        <w:ind w:left="0" w:leftChars="0" w:firstLine="480" w:firstLineChars="200"/>
        <w:rPr>
          <w:rFonts w:ascii="宋体" w:hAnsi="宋体"/>
          <w:sz w:val="24"/>
          <w:szCs w:val="24"/>
        </w:rPr>
      </w:pPr>
      <w:r>
        <w:rPr>
          <w:rFonts w:hint="eastAsia" w:ascii="宋体" w:hAnsi="宋体"/>
          <w:sz w:val="24"/>
          <w:szCs w:val="24"/>
        </w:rPr>
        <w:t>（3）乙方派遣的工作人员须具有中华人民共和国国籍，无境外（含港澳台）永久居留权或者长期居留许可，与境外（含港澳台）人员无婚姻关系，不得有违法犯罪记录。</w:t>
      </w:r>
    </w:p>
    <w:p>
      <w:pPr>
        <w:pStyle w:val="2"/>
        <w:spacing w:line="360" w:lineRule="auto"/>
        <w:ind w:left="0" w:leftChars="0" w:firstLine="480" w:firstLineChars="200"/>
        <w:rPr>
          <w:rFonts w:hint="eastAsia" w:ascii="宋体" w:hAnsi="宋体"/>
          <w:sz w:val="24"/>
          <w:szCs w:val="24"/>
        </w:rPr>
      </w:pPr>
      <w:r>
        <w:rPr>
          <w:rFonts w:hint="eastAsia" w:ascii="宋体" w:hAnsi="宋体"/>
          <w:sz w:val="24"/>
          <w:szCs w:val="24"/>
        </w:rPr>
        <w:t>9、乙方不得转包、分包、全部或部分转让本合同项下的义务。</w:t>
      </w:r>
    </w:p>
    <w:p>
      <w:pPr>
        <w:pStyle w:val="3"/>
        <w:spacing w:after="0" w:line="360" w:lineRule="auto"/>
        <w:ind w:left="0" w:leftChars="0" w:firstLine="480" w:firstLineChars="200"/>
        <w:rPr>
          <w:rFonts w:hint="eastAsia" w:ascii="宋体" w:hAnsi="宋体"/>
          <w:sz w:val="24"/>
          <w:szCs w:val="24"/>
          <w:lang w:val="en-US" w:eastAsia="zh-CN"/>
        </w:rPr>
      </w:pPr>
      <w:r>
        <w:rPr>
          <w:rFonts w:hint="eastAsia" w:ascii="宋体" w:hAnsi="宋体"/>
          <w:sz w:val="24"/>
          <w:szCs w:val="24"/>
          <w:lang w:val="en-US" w:eastAsia="zh-CN"/>
        </w:rPr>
        <w:t>10、乙方在【】年【】月【】日之前完成审计业务，出具审计报告或管理建议书等审计成果一式【】份，并向甲方提供支持审计报告或管理建议书的审计底稿等文件资料。</w:t>
      </w:r>
    </w:p>
    <w:p>
      <w:pPr>
        <w:pStyle w:val="3"/>
        <w:spacing w:after="0" w:line="360" w:lineRule="auto"/>
        <w:ind w:left="0" w:leftChars="0" w:firstLine="480" w:firstLineChars="200"/>
        <w:rPr>
          <w:rFonts w:hint="default" w:ascii="宋体" w:hAnsi="宋体"/>
          <w:sz w:val="24"/>
          <w:szCs w:val="24"/>
          <w:lang w:val="en-US" w:eastAsia="zh-CN"/>
        </w:rPr>
      </w:pPr>
      <w:r>
        <w:rPr>
          <w:rFonts w:hint="eastAsia" w:ascii="宋体" w:hAnsi="宋体"/>
          <w:sz w:val="24"/>
          <w:szCs w:val="24"/>
          <w:lang w:val="en-US" w:eastAsia="zh-CN"/>
        </w:rPr>
        <w:t>11、乙方为执行审计任务而发生的食宿、交通、邮电通讯、医疗、保险以及其他费用均自理。乙方应自行对其派出的服务人员进行管理，遭受损害或造成他人损失的，甲方不承担任何责任。</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（本条双方权利义务可按照采购需求要求和</w:t>
      </w:r>
      <w:r>
        <w:rPr>
          <w:rFonts w:ascii="宋体" w:hAnsi="宋体"/>
          <w:sz w:val="24"/>
          <w:szCs w:val="24"/>
        </w:rPr>
        <w:t>投标</w:t>
      </w:r>
      <w:r>
        <w:rPr>
          <w:rFonts w:hint="eastAsia" w:ascii="宋体" w:hAnsi="宋体"/>
          <w:sz w:val="24"/>
          <w:szCs w:val="24"/>
        </w:rPr>
        <w:t>文件承诺进行补充、修订。）</w:t>
      </w:r>
    </w:p>
    <w:p>
      <w:pPr>
        <w:ind w:firstLine="480" w:firstLineChars="200"/>
        <w:outlineLvl w:val="9"/>
        <w:rPr>
          <w:rFonts w:ascii="宋体" w:hAnsi="宋体"/>
          <w:sz w:val="24"/>
          <w:szCs w:val="24"/>
        </w:rPr>
      </w:pPr>
      <w:bookmarkStart w:id="26" w:name="_Toc47531055"/>
      <w:bookmarkStart w:id="27" w:name="_Toc48814213"/>
      <w:bookmarkStart w:id="28" w:name="_Toc56180340"/>
      <w:r>
        <w:rPr>
          <w:rFonts w:hint="eastAsia" w:ascii="宋体" w:hAnsi="宋体"/>
          <w:sz w:val="24"/>
          <w:szCs w:val="24"/>
          <w:lang w:val="en-US" w:eastAsia="zh-CN"/>
        </w:rPr>
        <w:t>七、</w:t>
      </w:r>
      <w:r>
        <w:rPr>
          <w:rFonts w:hint="eastAsia" w:ascii="宋体" w:hAnsi="宋体"/>
          <w:sz w:val="24"/>
          <w:szCs w:val="24"/>
        </w:rPr>
        <w:t>违约责任与赔偿损失</w:t>
      </w:r>
      <w:bookmarkEnd w:id="26"/>
      <w:bookmarkEnd w:id="27"/>
      <w:bookmarkEnd w:id="28"/>
    </w:p>
    <w:p>
      <w:pPr>
        <w:numPr>
          <w:ilvl w:val="0"/>
          <w:numId w:val="9"/>
        </w:numPr>
        <w:tabs>
          <w:tab w:val="left" w:pos="945"/>
        </w:tabs>
        <w:spacing w:line="360" w:lineRule="auto"/>
        <w:ind w:left="0" w:firstLine="480" w:firstLineChars="200"/>
        <w:rPr>
          <w:rFonts w:ascii="宋体" w:hAnsi="宋体"/>
          <w:sz w:val="24"/>
          <w:szCs w:val="24"/>
        </w:rPr>
      </w:pPr>
      <w:r>
        <w:rPr>
          <w:rFonts w:hint="eastAsia" w:ascii="宋体" w:hAnsi="宋体"/>
          <w:sz w:val="24"/>
          <w:szCs w:val="24"/>
        </w:rPr>
        <w:t>乙方在执行甲方审计业务时，有下列行为之一的，甲方有权单方解除合同，未支付的费用不予支付，并有权要求乙方支付合同总金额20%的违约金：</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（1）违背职业道德、玩忽职守，或者与被审计单位有关人员相互串通、弄虚作假。</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（2）索取、收受本合同约定以外的酬金或者其他财物，或者利用执行业务之便，谋取其他不正当的利益。</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（3）乙方以任何形式将审计任务转包给其他审计机构。</w:t>
      </w:r>
    </w:p>
    <w:p>
      <w:pPr>
        <w:tabs>
          <w:tab w:val="left" w:pos="945"/>
        </w:tabs>
        <w:spacing w:line="360" w:lineRule="auto"/>
        <w:ind w:left="0" w:leftChars="0" w:firstLine="480" w:firstLineChars="200"/>
        <w:rPr>
          <w:rFonts w:ascii="宋体" w:hAnsi="宋体"/>
          <w:sz w:val="24"/>
          <w:szCs w:val="24"/>
        </w:rPr>
      </w:pPr>
      <w:r>
        <w:rPr>
          <w:rFonts w:hint="eastAsia" w:ascii="宋体" w:hAnsi="宋体"/>
          <w:sz w:val="24"/>
          <w:szCs w:val="24"/>
        </w:rPr>
        <w:t>（4）违反法律、法规及本合同约定的其他行为。</w:t>
      </w:r>
    </w:p>
    <w:p>
      <w:pPr>
        <w:tabs>
          <w:tab w:val="left" w:pos="945"/>
        </w:tabs>
        <w:spacing w:line="360" w:lineRule="auto"/>
        <w:ind w:left="0"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乙方提供的服务不符合本合同</w:t>
      </w:r>
      <w:r>
        <w:rPr>
          <w:rFonts w:hint="eastAsia" w:ascii="宋体" w:hAnsi="宋体"/>
          <w:sz w:val="24"/>
          <w:szCs w:val="24"/>
          <w:lang w:val="en-US" w:eastAsia="zh-CN"/>
        </w:rPr>
        <w:t>约</w:t>
      </w:r>
      <w:r>
        <w:rPr>
          <w:rFonts w:hint="eastAsia" w:ascii="宋体" w:hAnsi="宋体"/>
          <w:sz w:val="24"/>
          <w:szCs w:val="24"/>
        </w:rPr>
        <w:t>定的，甲方有权拒收，并且乙方须向甲方支付本合同总价20%的违约金；甲方有权单方面解除合同，如果上述违约金仍不足以补偿甲方因乙方违约造成的损失，甲方有权进一步向乙方提出索赔。</w:t>
      </w:r>
    </w:p>
    <w:p>
      <w:pPr>
        <w:tabs>
          <w:tab w:val="left" w:pos="945"/>
        </w:tabs>
        <w:spacing w:line="360" w:lineRule="auto"/>
        <w:ind w:left="0"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乙方未能按本合同</w:t>
      </w:r>
      <w:r>
        <w:rPr>
          <w:rFonts w:hint="eastAsia" w:ascii="宋体" w:hAnsi="宋体"/>
          <w:sz w:val="24"/>
          <w:szCs w:val="24"/>
          <w:lang w:val="en-US" w:eastAsia="zh-CN"/>
        </w:rPr>
        <w:t>约</w:t>
      </w:r>
      <w:r>
        <w:rPr>
          <w:rFonts w:hint="eastAsia" w:ascii="宋体" w:hAnsi="宋体"/>
          <w:sz w:val="24"/>
          <w:szCs w:val="24"/>
        </w:rPr>
        <w:t>定的服务期限提供服务，从逾期之日起每日按本合同总价3‰的数额向甲方支付违约金；逾期15天以上（含15天）的，甲方有权单方解除合同，未支付的费用不予支付，同时甲方有权要求乙方支付合同总金额20%的违约金。如果上述违约金仍不足以补偿甲方因乙方违约造成的损失（包括但不限于律师费、诉讼费、公证费、鉴定费等），甲方有权进一步向乙方提出索赔。</w:t>
      </w:r>
    </w:p>
    <w:p>
      <w:pPr>
        <w:tabs>
          <w:tab w:val="left" w:pos="945"/>
        </w:tabs>
        <w:spacing w:line="360" w:lineRule="auto"/>
        <w:ind w:left="0"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甲方无正当理由拒绝接受服务，到期拒付服务款项的，</w:t>
      </w:r>
      <w:r>
        <w:rPr>
          <w:rFonts w:hint="eastAsia" w:ascii="宋体" w:hAnsi="宋体"/>
          <w:sz w:val="24"/>
          <w:szCs w:val="24"/>
          <w:lang w:val="en-US" w:eastAsia="zh-Hans"/>
        </w:rPr>
        <w:t>乙方可向甲方发出催款通知</w:t>
      </w:r>
      <w:r>
        <w:rPr>
          <w:rFonts w:hint="default" w:ascii="宋体" w:hAnsi="宋体"/>
          <w:sz w:val="24"/>
          <w:szCs w:val="24"/>
          <w:lang w:eastAsia="zh-Hans"/>
        </w:rPr>
        <w:t>，</w:t>
      </w:r>
      <w:r>
        <w:rPr>
          <w:rFonts w:hint="eastAsia" w:ascii="宋体" w:hAnsi="宋体"/>
          <w:sz w:val="24"/>
          <w:szCs w:val="24"/>
          <w:lang w:val="en-US" w:eastAsia="zh-Hans"/>
        </w:rPr>
        <w:t>甲方收到催款通知后</w:t>
      </w:r>
      <w:r>
        <w:rPr>
          <w:rFonts w:hint="default" w:ascii="宋体" w:hAnsi="宋体"/>
          <w:sz w:val="24"/>
          <w:szCs w:val="24"/>
          <w:lang w:eastAsia="zh-Hans"/>
        </w:rPr>
        <w:t>10</w:t>
      </w:r>
      <w:r>
        <w:rPr>
          <w:rFonts w:hint="eastAsia" w:ascii="宋体" w:hAnsi="宋体"/>
          <w:sz w:val="24"/>
          <w:szCs w:val="24"/>
          <w:lang w:val="en-US" w:eastAsia="zh-Hans"/>
        </w:rPr>
        <w:t>个工作日内仍未付款的</w:t>
      </w:r>
      <w:r>
        <w:rPr>
          <w:rFonts w:hint="default" w:ascii="宋体" w:hAnsi="宋体"/>
          <w:sz w:val="24"/>
          <w:szCs w:val="24"/>
          <w:lang w:eastAsia="zh-Hans"/>
        </w:rPr>
        <w:t>，</w:t>
      </w:r>
      <w:r>
        <w:rPr>
          <w:rFonts w:hint="eastAsia" w:ascii="宋体" w:hAnsi="宋体"/>
          <w:sz w:val="24"/>
          <w:szCs w:val="24"/>
        </w:rPr>
        <w:t>则每日按本合同总价的</w:t>
      </w:r>
      <w:r>
        <w:rPr>
          <w:rFonts w:hint="eastAsia" w:ascii="宋体" w:hAnsi="宋体"/>
          <w:sz w:val="24"/>
          <w:szCs w:val="24"/>
          <w:lang w:val="en-US" w:eastAsia="zh-CN"/>
        </w:rPr>
        <w:t>0.</w:t>
      </w:r>
      <w:r>
        <w:rPr>
          <w:rFonts w:hint="eastAsia" w:ascii="宋体" w:hAnsi="宋体"/>
          <w:sz w:val="24"/>
          <w:szCs w:val="24"/>
        </w:rPr>
        <w:t>3‰向乙方偿付违约金，</w:t>
      </w:r>
      <w:r>
        <w:rPr>
          <w:rFonts w:hint="eastAsia" w:ascii="宋体" w:hAnsi="宋体"/>
          <w:sz w:val="24"/>
          <w:szCs w:val="24"/>
          <w:lang w:val="en-US" w:eastAsia="zh-Hans"/>
        </w:rPr>
        <w:t>违约金不超过合同总金额的</w:t>
      </w:r>
      <w:r>
        <w:rPr>
          <w:rFonts w:hint="eastAsia" w:ascii="宋体" w:hAnsi="宋体"/>
          <w:sz w:val="24"/>
          <w:szCs w:val="24"/>
          <w:lang w:val="en-US" w:eastAsia="zh-CN"/>
        </w:rPr>
        <w:t>5</w:t>
      </w:r>
      <w:r>
        <w:rPr>
          <w:rFonts w:hint="default" w:ascii="宋体" w:hAnsi="宋体"/>
          <w:sz w:val="24"/>
          <w:szCs w:val="24"/>
          <w:lang w:eastAsia="zh-Hans"/>
        </w:rPr>
        <w:t>%，</w:t>
      </w:r>
      <w:r>
        <w:rPr>
          <w:rFonts w:hint="eastAsia" w:ascii="宋体" w:hAnsi="宋体"/>
          <w:sz w:val="24"/>
          <w:szCs w:val="24"/>
        </w:rPr>
        <w:t>但由于财政拨款不到位而导致甲方逾期付款的，甲方不承担违约责任，并且此情况不能成为乙方</w:t>
      </w:r>
      <w:r>
        <w:rPr>
          <w:rFonts w:hint="eastAsia" w:ascii="宋体" w:hAnsi="宋体"/>
          <w:sz w:val="24"/>
          <w:szCs w:val="24"/>
          <w:lang w:val="en-US" w:eastAsia="zh-Hans"/>
        </w:rPr>
        <w:t>不履行合同义务</w:t>
      </w:r>
      <w:r>
        <w:rPr>
          <w:rFonts w:hint="eastAsia" w:ascii="宋体" w:hAnsi="宋体"/>
          <w:sz w:val="24"/>
          <w:szCs w:val="24"/>
        </w:rPr>
        <w:t>的理由。</w:t>
      </w:r>
    </w:p>
    <w:p>
      <w:pPr>
        <w:tabs>
          <w:tab w:val="left" w:pos="945"/>
        </w:tabs>
        <w:spacing w:line="360" w:lineRule="auto"/>
        <w:ind w:left="0"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6.</w:t>
      </w:r>
      <w:r>
        <w:rPr>
          <w:rFonts w:hint="eastAsia" w:ascii="宋体" w:hAnsi="宋体"/>
          <w:sz w:val="24"/>
          <w:szCs w:val="24"/>
        </w:rPr>
        <w:t>乙方提交的审计报告不符合甲方相关要求及国家、行业协会相关规定的，出现重大程序事务、重大事项定性失误、审计实施方案重大遗漏等重大质量问题，甲方有权要求乙方限期整改或自付费用重新进行审计，给甲方造成损失的,甲方有权终止本约定书，乙方应支付本约定书审计服务费总额20%的违约金，违约金不足以赔偿甲方损失的，乙方应予补足。</w:t>
      </w:r>
    </w:p>
    <w:p>
      <w:pPr>
        <w:tabs>
          <w:tab w:val="left" w:pos="945"/>
        </w:tabs>
        <w:spacing w:line="360" w:lineRule="auto"/>
        <w:ind w:left="0" w:firstLine="480" w:firstLineChars="200"/>
        <w:rPr>
          <w:rFonts w:hint="eastAsia" w:ascii="宋体" w:hAnsi="宋体" w:eastAsia="宋体" w:cs="Times New Roman"/>
          <w:sz w:val="24"/>
          <w:szCs w:val="24"/>
        </w:rPr>
      </w:pPr>
      <w:r>
        <w:rPr>
          <w:rFonts w:hint="eastAsia" w:ascii="宋体" w:hAnsi="宋体"/>
          <w:sz w:val="24"/>
          <w:szCs w:val="24"/>
          <w:lang w:val="en-US" w:eastAsia="zh-CN"/>
        </w:rPr>
        <w:t>6</w:t>
      </w:r>
      <w:r>
        <w:rPr>
          <w:rFonts w:hint="eastAsia" w:ascii="宋体" w:hAnsi="宋体"/>
          <w:sz w:val="24"/>
          <w:szCs w:val="24"/>
        </w:rPr>
        <w:t>.</w:t>
      </w:r>
      <w:r>
        <w:rPr>
          <w:rFonts w:hint="eastAsia" w:ascii="宋体" w:hAnsi="宋体"/>
          <w:sz w:val="24"/>
          <w:szCs w:val="24"/>
        </w:rPr>
        <w:tab/>
      </w:r>
      <w:r>
        <w:rPr>
          <w:rFonts w:hint="eastAsia" w:ascii="宋体" w:hAnsi="宋体"/>
          <w:sz w:val="24"/>
          <w:szCs w:val="24"/>
        </w:rPr>
        <w:t>乙方应按公开文件、投标文件及本合同约定的内容履行，如没有特别约定或约定未详尽，相应的违约责任或补充违约责任均为：甲方有权单方解除合同，未支付的费用不予支付；同时乙方承担一切经济责任和法律责任，包括且不限于律师费、诉讼费、保全费、鉴定费用等，并向甲方支付合同</w:t>
      </w:r>
      <w:r>
        <w:rPr>
          <w:rFonts w:hint="eastAsia" w:ascii="宋体" w:hAnsi="宋体" w:eastAsia="宋体" w:cs="Times New Roman"/>
          <w:sz w:val="24"/>
          <w:szCs w:val="24"/>
        </w:rPr>
        <w:t>总金额20%的违约金。</w:t>
      </w:r>
    </w:p>
    <w:p>
      <w:pPr>
        <w:tabs>
          <w:tab w:val="left" w:pos="945"/>
        </w:tabs>
        <w:spacing w:line="360" w:lineRule="auto"/>
        <w:ind w:left="0" w:firstLine="480" w:firstLineChars="200"/>
        <w:rPr>
          <w:rFonts w:hint="eastAsia" w:ascii="宋体" w:hAnsi="宋体" w:eastAsia="宋体" w:cs="Times New Roman"/>
          <w:sz w:val="24"/>
          <w:szCs w:val="24"/>
        </w:rPr>
      </w:pPr>
      <w:r>
        <w:rPr>
          <w:rFonts w:hint="eastAsia" w:ascii="宋体" w:hAnsi="宋体" w:cs="Times New Roman"/>
          <w:sz w:val="24"/>
          <w:szCs w:val="24"/>
          <w:lang w:val="en-US" w:eastAsia="zh-CN"/>
        </w:rPr>
        <w:t>7</w:t>
      </w:r>
      <w:r>
        <w:rPr>
          <w:rFonts w:hint="eastAsia" w:ascii="宋体" w:hAnsi="宋体" w:eastAsia="宋体" w:cs="Times New Roman"/>
          <w:sz w:val="24"/>
          <w:szCs w:val="24"/>
          <w:lang w:val="en-US" w:eastAsia="zh-Hans"/>
        </w:rPr>
        <w:t>.</w:t>
      </w:r>
      <w:r>
        <w:rPr>
          <w:rFonts w:hint="eastAsia" w:ascii="宋体" w:hAnsi="宋体" w:eastAsia="宋体" w:cs="Times New Roman"/>
          <w:sz w:val="24"/>
          <w:szCs w:val="24"/>
        </w:rPr>
        <w:t>乙方应付违约金的情形，均为甲方有权在未付款项中扣除，或要求乙方另行支付。</w:t>
      </w:r>
    </w:p>
    <w:p>
      <w:pPr>
        <w:ind w:firstLine="480" w:firstLineChars="200"/>
        <w:outlineLvl w:val="9"/>
        <w:rPr>
          <w:rFonts w:ascii="宋体" w:hAnsi="宋体"/>
          <w:sz w:val="24"/>
          <w:szCs w:val="24"/>
        </w:rPr>
      </w:pPr>
      <w:bookmarkStart w:id="29" w:name="_Toc47531056"/>
      <w:bookmarkStart w:id="30" w:name="_Toc56180341"/>
      <w:bookmarkStart w:id="31" w:name="_Toc48814214"/>
      <w:r>
        <w:rPr>
          <w:rFonts w:hint="eastAsia" w:ascii="宋体" w:hAnsi="宋体"/>
          <w:sz w:val="24"/>
          <w:szCs w:val="24"/>
          <w:lang w:val="en-US" w:eastAsia="zh-CN"/>
        </w:rPr>
        <w:t>八、</w:t>
      </w:r>
      <w:r>
        <w:rPr>
          <w:rFonts w:hint="eastAsia" w:ascii="宋体" w:hAnsi="宋体"/>
          <w:sz w:val="24"/>
          <w:szCs w:val="24"/>
        </w:rPr>
        <w:t>争议的解决</w:t>
      </w:r>
      <w:bookmarkEnd w:id="29"/>
      <w:bookmarkEnd w:id="30"/>
      <w:bookmarkEnd w:id="31"/>
    </w:p>
    <w:p>
      <w:pPr>
        <w:tabs>
          <w:tab w:val="left" w:pos="945"/>
        </w:tabs>
        <w:spacing w:line="360" w:lineRule="auto"/>
        <w:ind w:left="0"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合同执行过程中发生的任何争议，如双方不能通过友好协商解决，双方同意向甲方所在地人民法院提起诉讼。守约方为解决纠纷、争议而产生的维权费用，包括且不限于律师费、诉讼费、鉴定费、交通费等，均由违约方承担。</w:t>
      </w:r>
    </w:p>
    <w:p>
      <w:pPr>
        <w:ind w:firstLine="480" w:firstLineChars="200"/>
        <w:outlineLvl w:val="9"/>
        <w:rPr>
          <w:rFonts w:ascii="宋体" w:hAnsi="宋体"/>
          <w:sz w:val="24"/>
          <w:szCs w:val="24"/>
        </w:rPr>
      </w:pPr>
      <w:bookmarkStart w:id="32" w:name="_Toc48814215"/>
      <w:bookmarkStart w:id="33" w:name="_Toc47531057"/>
      <w:bookmarkStart w:id="34" w:name="_Toc56180342"/>
      <w:r>
        <w:rPr>
          <w:rFonts w:hint="eastAsia" w:ascii="宋体" w:hAnsi="宋体"/>
          <w:sz w:val="24"/>
          <w:szCs w:val="24"/>
          <w:lang w:val="en-US" w:eastAsia="zh-CN"/>
        </w:rPr>
        <w:t>九、</w:t>
      </w:r>
      <w:r>
        <w:rPr>
          <w:rFonts w:hint="eastAsia" w:ascii="宋体" w:hAnsi="宋体"/>
          <w:sz w:val="24"/>
          <w:szCs w:val="24"/>
        </w:rPr>
        <w:t>不可抗力</w:t>
      </w:r>
      <w:bookmarkEnd w:id="32"/>
      <w:bookmarkEnd w:id="33"/>
      <w:bookmarkEnd w:id="34"/>
    </w:p>
    <w:p>
      <w:pPr>
        <w:tabs>
          <w:tab w:val="left" w:pos="945"/>
        </w:tabs>
        <w:spacing w:line="360" w:lineRule="auto"/>
        <w:ind w:left="0"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任何一方由于不可抗力原因不能履行合同时，应在不可抗力事件发生之日起3日内向对方通报，以减轻可能给对方造成的损失，在取得有关机构的不可抗力证明或双方谅解确认后，经协商一致允许延期履行或修订合同，并根据情况可部分或全部免于承担违约责任。</w:t>
      </w:r>
    </w:p>
    <w:p>
      <w:pPr>
        <w:ind w:firstLine="480" w:firstLineChars="200"/>
        <w:outlineLvl w:val="9"/>
        <w:rPr>
          <w:rFonts w:hint="eastAsia" w:ascii="宋体" w:hAnsi="宋体"/>
          <w:sz w:val="24"/>
          <w:szCs w:val="24"/>
        </w:rPr>
      </w:pPr>
      <w:bookmarkStart w:id="35" w:name="_Toc56180343"/>
      <w:bookmarkStart w:id="36" w:name="_Toc47531058"/>
      <w:bookmarkStart w:id="37" w:name="_Toc48814216"/>
      <w:r>
        <w:rPr>
          <w:rFonts w:hint="eastAsia" w:ascii="宋体" w:hAnsi="宋体"/>
          <w:sz w:val="24"/>
          <w:szCs w:val="24"/>
        </w:rPr>
        <w:t xml:space="preserve"> </w:t>
      </w:r>
      <w:r>
        <w:rPr>
          <w:rFonts w:hint="eastAsia" w:ascii="宋体" w:hAnsi="宋体"/>
          <w:sz w:val="24"/>
          <w:szCs w:val="24"/>
          <w:lang w:val="en-US" w:eastAsia="zh-CN"/>
        </w:rPr>
        <w:t>十、</w:t>
      </w:r>
      <w:r>
        <w:rPr>
          <w:rFonts w:hint="eastAsia" w:ascii="宋体" w:hAnsi="宋体"/>
          <w:sz w:val="24"/>
          <w:szCs w:val="24"/>
        </w:rPr>
        <w:t>廉洁、反贿赂条款</w:t>
      </w:r>
    </w:p>
    <w:p>
      <w:pPr>
        <w:numPr>
          <w:ilvl w:val="0"/>
          <w:numId w:val="10"/>
        </w:numPr>
        <w:spacing w:line="360" w:lineRule="auto"/>
        <w:ind w:left="0" w:firstLine="480" w:firstLineChars="200"/>
        <w:rPr>
          <w:rFonts w:hint="eastAsia" w:ascii="宋体" w:hAnsi="宋体" w:eastAsia="宋体" w:cs="Times New Roman"/>
          <w:sz w:val="24"/>
          <w:szCs w:val="24"/>
        </w:rPr>
      </w:pPr>
      <w:r>
        <w:rPr>
          <w:rFonts w:hint="eastAsia" w:ascii="宋体" w:hAnsi="宋体" w:eastAsia="宋体" w:cs="Times New Roman"/>
          <w:sz w:val="24"/>
          <w:szCs w:val="24"/>
        </w:rPr>
        <w:t>甲乙双方必须遵守《关于深入推进治理商业贿赂专项工作的意见》的相关规定要求，严格执行国家有关法律法规、党的政策规定及广东省委、省政府关于反商业贿赂和加强党风廉政建设的有关规定，做好项目服务中的反商业贿赂工作。</w:t>
      </w:r>
    </w:p>
    <w:p>
      <w:pPr>
        <w:numPr>
          <w:ilvl w:val="0"/>
          <w:numId w:val="10"/>
        </w:numPr>
        <w:spacing w:line="360" w:lineRule="auto"/>
        <w:ind w:left="0" w:firstLine="480" w:firstLineChars="200"/>
        <w:rPr>
          <w:rFonts w:hint="eastAsia" w:ascii="宋体" w:hAnsi="宋体" w:eastAsia="宋体" w:cs="Times New Roman"/>
          <w:sz w:val="24"/>
          <w:szCs w:val="24"/>
        </w:rPr>
      </w:pPr>
      <w:r>
        <w:rPr>
          <w:rFonts w:hint="eastAsia" w:ascii="宋体" w:hAnsi="宋体" w:eastAsia="宋体" w:cs="Times New Roman"/>
          <w:sz w:val="24"/>
          <w:szCs w:val="24"/>
        </w:rPr>
        <w:t>甲乙双方严格执行本项目采购相关的文件，自觉按合同办事；双方的业务活动必须坚持公开、公正、诚信、透明的原则（双方的商业秘密和合同文件另有规定除外），不得损害国家和集体利益，违反项目管理规章制度。</w:t>
      </w:r>
    </w:p>
    <w:p>
      <w:pPr>
        <w:numPr>
          <w:ilvl w:val="0"/>
          <w:numId w:val="10"/>
        </w:numPr>
        <w:spacing w:line="360" w:lineRule="auto"/>
        <w:ind w:left="0" w:firstLine="480" w:firstLineChars="200"/>
        <w:rPr>
          <w:rFonts w:hint="eastAsia" w:ascii="宋体" w:hAnsi="宋体" w:eastAsia="宋体" w:cs="Times New Roman"/>
          <w:sz w:val="24"/>
          <w:szCs w:val="24"/>
        </w:rPr>
      </w:pPr>
      <w:r>
        <w:rPr>
          <w:rFonts w:hint="eastAsia" w:ascii="宋体" w:hAnsi="宋体" w:eastAsia="宋体" w:cs="Times New Roman"/>
          <w:sz w:val="24"/>
          <w:szCs w:val="24"/>
        </w:rPr>
        <w:t>发现对方在业务活动中有违反商业贿赂和廉政规定的行为，有及时提醒对方纠正的权利和义务；发现对方严重违反本条款的行为，有向其上级主管部门或有关部门举报、建议给予处理并要求告知处理结果的权利。</w:t>
      </w:r>
    </w:p>
    <w:p>
      <w:pPr>
        <w:numPr>
          <w:ilvl w:val="0"/>
          <w:numId w:val="10"/>
        </w:numPr>
        <w:spacing w:line="360" w:lineRule="auto"/>
        <w:ind w:left="0" w:firstLine="480" w:firstLineChars="200"/>
        <w:rPr>
          <w:rFonts w:hint="eastAsia" w:ascii="宋体" w:hAnsi="宋体" w:eastAsia="宋体" w:cs="Times New Roman"/>
          <w:sz w:val="24"/>
          <w:szCs w:val="24"/>
        </w:rPr>
      </w:pPr>
      <w:r>
        <w:rPr>
          <w:rFonts w:hint="eastAsia" w:ascii="宋体" w:hAnsi="宋体" w:eastAsia="宋体" w:cs="Times New Roman"/>
          <w:sz w:val="24"/>
          <w:szCs w:val="24"/>
        </w:rPr>
        <w:t>双方或任何一方与设备材料供应等相关单位不得串通、弄虚作假谋取不正当利益或降低服务质量等损害国家或集体利益。</w:t>
      </w:r>
    </w:p>
    <w:p>
      <w:pPr>
        <w:numPr>
          <w:ilvl w:val="0"/>
          <w:numId w:val="10"/>
        </w:numPr>
        <w:spacing w:line="360" w:lineRule="auto"/>
        <w:ind w:left="0" w:firstLine="480" w:firstLineChars="200"/>
        <w:rPr>
          <w:rFonts w:hint="eastAsia" w:ascii="宋体" w:hAnsi="宋体" w:eastAsia="宋体" w:cs="Times New Roman"/>
          <w:sz w:val="24"/>
          <w:szCs w:val="24"/>
        </w:rPr>
      </w:pPr>
      <w:r>
        <w:rPr>
          <w:rFonts w:hint="eastAsia" w:ascii="宋体" w:hAnsi="宋体" w:eastAsia="宋体" w:cs="Times New Roman"/>
          <w:sz w:val="24"/>
          <w:szCs w:val="24"/>
        </w:rPr>
        <w:t>甲方及其工作人员不得利用职权插手项目活动谋求不正当利益等；乙方不得以任何理由向甲方及其工作人员、服务单位行贿或馈赠礼金、有价证券、贵重物品等。</w:t>
      </w:r>
    </w:p>
    <w:p>
      <w:pPr>
        <w:numPr>
          <w:ilvl w:val="0"/>
          <w:numId w:val="10"/>
        </w:numPr>
        <w:spacing w:line="360" w:lineRule="auto"/>
        <w:ind w:left="0" w:firstLine="480" w:firstLineChars="200"/>
        <w:rPr>
          <w:rFonts w:hint="eastAsia" w:ascii="宋体" w:hAnsi="宋体" w:eastAsia="宋体" w:cs="Times New Roman"/>
          <w:sz w:val="24"/>
          <w:szCs w:val="24"/>
        </w:rPr>
      </w:pPr>
      <w:r>
        <w:rPr>
          <w:rFonts w:hint="eastAsia" w:ascii="宋体" w:hAnsi="宋体" w:eastAsia="宋体" w:cs="Times New Roman"/>
          <w:sz w:val="24"/>
          <w:szCs w:val="24"/>
        </w:rPr>
        <w:t>如乙方及其工作人员违反上述规定，甲方有权单方解除合同并向乙方主张合同总金额30%的违约金，同时要求乙方退回违法所得。甲方有权按管理权限，依据有关规定对违法违纪人员给予党纪、政纪处分，构成犯罪的，依法移送司法机关。乙方及其工作人员违反本条规定给甲方单位造成经济损失的，应予以赔偿。</w:t>
      </w:r>
    </w:p>
    <w:p>
      <w:pPr>
        <w:ind w:firstLine="480" w:firstLineChars="200"/>
        <w:outlineLvl w:val="9"/>
        <w:rPr>
          <w:rFonts w:ascii="宋体" w:hAnsi="宋体"/>
          <w:sz w:val="24"/>
          <w:szCs w:val="24"/>
        </w:rPr>
      </w:pPr>
      <w:r>
        <w:rPr>
          <w:rFonts w:hint="eastAsia" w:ascii="宋体" w:hAnsi="宋体"/>
          <w:sz w:val="24"/>
          <w:szCs w:val="24"/>
          <w:lang w:val="en-US" w:eastAsia="zh-CN"/>
        </w:rPr>
        <w:t>十一、</w:t>
      </w:r>
      <w:r>
        <w:rPr>
          <w:rFonts w:hint="eastAsia" w:ascii="宋体" w:hAnsi="宋体"/>
          <w:sz w:val="24"/>
          <w:szCs w:val="24"/>
        </w:rPr>
        <w:t>税费</w:t>
      </w:r>
      <w:bookmarkEnd w:id="35"/>
      <w:bookmarkEnd w:id="36"/>
      <w:bookmarkEnd w:id="37"/>
    </w:p>
    <w:p>
      <w:pPr>
        <w:tabs>
          <w:tab w:val="left" w:pos="945"/>
        </w:tabs>
        <w:spacing w:line="360" w:lineRule="auto"/>
        <w:ind w:left="0" w:firstLine="420" w:firstLineChars="200"/>
      </w:pPr>
      <w:r>
        <w:rPr>
          <w:rFonts w:hint="eastAsia"/>
        </w:rPr>
        <w:t>1.</w:t>
      </w:r>
      <w:r>
        <w:rPr>
          <w:rFonts w:hint="eastAsia"/>
        </w:rPr>
        <w:tab/>
      </w:r>
      <w:r>
        <w:rPr>
          <w:rFonts w:hint="eastAsia" w:ascii="宋体" w:hAnsi="宋体"/>
          <w:sz w:val="24"/>
          <w:szCs w:val="24"/>
        </w:rPr>
        <w:t>在中国境内、外发生的与本合同执行有关的一切税费均由乙方负担。</w:t>
      </w:r>
    </w:p>
    <w:p>
      <w:pPr>
        <w:ind w:firstLine="480" w:firstLineChars="200"/>
        <w:outlineLvl w:val="9"/>
        <w:rPr>
          <w:rFonts w:ascii="宋体" w:hAnsi="宋体"/>
          <w:sz w:val="24"/>
          <w:szCs w:val="24"/>
        </w:rPr>
      </w:pPr>
      <w:bookmarkStart w:id="38" w:name="_Toc48814217"/>
      <w:bookmarkStart w:id="39" w:name="_Toc56180344"/>
      <w:bookmarkStart w:id="40" w:name="_Toc47531059"/>
      <w:r>
        <w:rPr>
          <w:rFonts w:hint="eastAsia" w:ascii="宋体" w:hAnsi="宋体"/>
          <w:sz w:val="24"/>
          <w:szCs w:val="24"/>
          <w:lang w:val="en-US" w:eastAsia="zh-CN"/>
        </w:rPr>
        <w:t>十二、</w:t>
      </w:r>
      <w:r>
        <w:rPr>
          <w:rFonts w:hint="eastAsia" w:ascii="宋体" w:hAnsi="宋体"/>
          <w:sz w:val="24"/>
          <w:szCs w:val="24"/>
        </w:rPr>
        <w:t>其它</w:t>
      </w:r>
      <w:bookmarkEnd w:id="38"/>
      <w:bookmarkEnd w:id="39"/>
      <w:bookmarkEnd w:id="40"/>
    </w:p>
    <w:p>
      <w:pPr>
        <w:tabs>
          <w:tab w:val="left" w:pos="945"/>
        </w:tabs>
        <w:spacing w:line="360" w:lineRule="auto"/>
        <w:ind w:left="0"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本合同所有附件、</w:t>
      </w:r>
      <w:r>
        <w:rPr>
          <w:rFonts w:ascii="宋体" w:hAnsi="宋体"/>
          <w:sz w:val="24"/>
          <w:szCs w:val="24"/>
        </w:rPr>
        <w:t>公开</w:t>
      </w:r>
      <w:r>
        <w:rPr>
          <w:rFonts w:hint="eastAsia" w:ascii="宋体" w:hAnsi="宋体"/>
          <w:sz w:val="24"/>
          <w:szCs w:val="24"/>
        </w:rPr>
        <w:t>文件、</w:t>
      </w:r>
      <w:r>
        <w:rPr>
          <w:rFonts w:ascii="宋体" w:hAnsi="宋体" w:cs="宋体"/>
          <w:sz w:val="24"/>
          <w:szCs w:val="24"/>
        </w:rPr>
        <w:t>投标</w:t>
      </w:r>
      <w:r>
        <w:rPr>
          <w:rFonts w:hint="eastAsia" w:ascii="宋体" w:hAnsi="宋体"/>
          <w:sz w:val="24"/>
          <w:szCs w:val="24"/>
        </w:rPr>
        <w:t>文件、中标通知书均为合同的有效组成部分，与本合同具有同等法律效力。</w:t>
      </w:r>
    </w:p>
    <w:p>
      <w:pPr>
        <w:tabs>
          <w:tab w:val="left" w:pos="945"/>
        </w:tabs>
        <w:spacing w:line="360" w:lineRule="auto"/>
        <w:ind w:left="0" w:firstLine="480" w:firstLineChars="200"/>
      </w:pPr>
      <w:r>
        <w:rPr>
          <w:rFonts w:hint="eastAsia" w:ascii="宋体" w:hAnsi="宋体"/>
          <w:sz w:val="24"/>
          <w:szCs w:val="24"/>
        </w:rPr>
        <w:t>2.签订合同需要另附投标时的报价优惠承诺</w:t>
      </w:r>
      <w:r>
        <w:rPr>
          <w:rFonts w:hint="eastAsia" w:ascii="宋体" w:hAnsi="宋体"/>
          <w:sz w:val="24"/>
          <w:szCs w:val="24"/>
          <w:lang w:val="en-US" w:eastAsia="zh-Hans"/>
        </w:rPr>
        <w:t>作为合同附件</w:t>
      </w:r>
      <w:r>
        <w:rPr>
          <w:rFonts w:hint="eastAsia" w:ascii="宋体" w:hAnsi="宋体"/>
          <w:sz w:val="24"/>
          <w:szCs w:val="24"/>
        </w:rPr>
        <w:t>。</w:t>
      </w:r>
    </w:p>
    <w:p>
      <w:pPr>
        <w:tabs>
          <w:tab w:val="left" w:pos="945"/>
        </w:tabs>
        <w:spacing w:line="360" w:lineRule="auto"/>
        <w:ind w:left="0" w:firstLine="480" w:firstLineChars="200"/>
        <w:rPr>
          <w:rFonts w:ascii="宋体" w:hAnsi="宋体"/>
          <w:sz w:val="24"/>
          <w:szCs w:val="24"/>
        </w:rPr>
      </w:pPr>
      <w:r>
        <w:rPr>
          <w:rFonts w:ascii="宋体" w:hAnsi="宋体"/>
          <w:sz w:val="24"/>
          <w:szCs w:val="24"/>
        </w:rPr>
        <w:t>3</w:t>
      </w:r>
      <w:r>
        <w:rPr>
          <w:rFonts w:hint="eastAsia" w:ascii="宋体" w:hAnsi="宋体"/>
          <w:sz w:val="24"/>
          <w:szCs w:val="24"/>
        </w:rPr>
        <w:t>.在执行本合同的过程中，所有经双方签署确认的文件（包括会议纪要、补充协议、往来信函）即成为本合同的有效组成部分。</w:t>
      </w:r>
    </w:p>
    <w:p>
      <w:pPr>
        <w:tabs>
          <w:tab w:val="left" w:pos="945"/>
        </w:tabs>
        <w:spacing w:line="360" w:lineRule="auto"/>
        <w:ind w:left="0" w:firstLine="480" w:firstLineChars="200"/>
        <w:rPr>
          <w:rFonts w:ascii="宋体" w:hAnsi="宋体"/>
          <w:sz w:val="24"/>
          <w:szCs w:val="24"/>
        </w:rPr>
      </w:pPr>
      <w:r>
        <w:rPr>
          <w:rFonts w:ascii="宋体" w:hAnsi="宋体"/>
          <w:sz w:val="24"/>
          <w:szCs w:val="24"/>
        </w:rPr>
        <w:t>4</w:t>
      </w:r>
      <w:r>
        <w:rPr>
          <w:rFonts w:hint="eastAsia" w:ascii="宋体" w:hAnsi="宋体"/>
          <w:sz w:val="24"/>
          <w:szCs w:val="24"/>
        </w:rPr>
        <w:t>.双方确保本合同所提供的通讯地址为有效地址，一方及有权机关（包括但不限于人民法院、仲裁委员会、公证处）按此地址发出信函、文书等材料即视为相对方收到。如一方地址、电话、传真号码有变更，应在变更当日内书面通知对方，否则，应承担相应责任。</w:t>
      </w:r>
    </w:p>
    <w:p>
      <w:pPr>
        <w:tabs>
          <w:tab w:val="left" w:pos="945"/>
        </w:tabs>
        <w:ind w:firstLine="480" w:firstLineChars="200"/>
      </w:pPr>
      <w:r>
        <w:rPr>
          <w:rFonts w:ascii="宋体" w:hAnsi="宋体"/>
          <w:sz w:val="24"/>
          <w:szCs w:val="24"/>
        </w:rPr>
        <w:t>5</w:t>
      </w:r>
      <w:r>
        <w:rPr>
          <w:rFonts w:hint="eastAsia" w:ascii="宋体" w:hAnsi="宋体"/>
          <w:sz w:val="24"/>
          <w:szCs w:val="24"/>
        </w:rPr>
        <w:t>.</w:t>
      </w:r>
      <w:r>
        <w:rPr>
          <w:rFonts w:hint="eastAsia" w:ascii="宋体" w:hAnsi="宋体"/>
          <w:sz w:val="24"/>
          <w:szCs w:val="24"/>
        </w:rPr>
        <w:tab/>
      </w:r>
      <w:r>
        <w:rPr>
          <w:rFonts w:hint="eastAsia" w:ascii="宋体" w:hAnsi="宋体"/>
          <w:sz w:val="24"/>
          <w:szCs w:val="24"/>
        </w:rPr>
        <w:t>除甲方事先书面同意外，乙方不得部分或全部转让其应履行的合同项下的义务。</w:t>
      </w:r>
    </w:p>
    <w:p>
      <w:pPr>
        <w:ind w:firstLine="480" w:firstLineChars="200"/>
        <w:outlineLvl w:val="9"/>
        <w:rPr>
          <w:rFonts w:ascii="宋体" w:hAnsi="宋体"/>
          <w:sz w:val="24"/>
          <w:szCs w:val="24"/>
        </w:rPr>
      </w:pPr>
      <w:bookmarkStart w:id="41" w:name="_Toc47531060"/>
      <w:bookmarkStart w:id="42" w:name="_Toc48814218"/>
      <w:bookmarkStart w:id="43" w:name="_Toc56180345"/>
      <w:r>
        <w:rPr>
          <w:rFonts w:hint="eastAsia" w:ascii="宋体" w:hAnsi="宋体"/>
          <w:sz w:val="24"/>
          <w:szCs w:val="24"/>
          <w:lang w:val="en-US" w:eastAsia="zh-CN"/>
        </w:rPr>
        <w:t>十三、</w:t>
      </w:r>
      <w:r>
        <w:rPr>
          <w:rFonts w:hint="eastAsia" w:ascii="宋体" w:hAnsi="宋体"/>
          <w:sz w:val="24"/>
          <w:szCs w:val="24"/>
        </w:rPr>
        <w:t>合同生效</w:t>
      </w:r>
      <w:bookmarkEnd w:id="41"/>
      <w:bookmarkEnd w:id="42"/>
      <w:bookmarkEnd w:id="43"/>
    </w:p>
    <w:p>
      <w:pPr>
        <w:tabs>
          <w:tab w:val="left" w:pos="945"/>
        </w:tabs>
        <w:spacing w:line="360" w:lineRule="auto"/>
        <w:ind w:left="0"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本合同在甲乙</w:t>
      </w:r>
      <w:r>
        <w:rPr>
          <w:rFonts w:hint="eastAsia" w:ascii="宋体" w:hAnsi="宋体"/>
          <w:sz w:val="24"/>
          <w:szCs w:val="24"/>
          <w:lang w:val="en-US" w:eastAsia="zh-CN"/>
        </w:rPr>
        <w:t>负责人或</w:t>
      </w:r>
      <w:r>
        <w:rPr>
          <w:rFonts w:hint="eastAsia" w:ascii="宋体" w:hAnsi="宋体"/>
          <w:sz w:val="24"/>
          <w:szCs w:val="24"/>
        </w:rPr>
        <w:t>双方</w:t>
      </w:r>
      <w:r>
        <w:rPr>
          <w:rFonts w:hint="eastAsia" w:ascii="宋体" w:hAnsi="宋体"/>
          <w:sz w:val="24"/>
          <w:szCs w:val="24"/>
          <w:lang w:val="en-US" w:eastAsia="zh-CN"/>
        </w:rPr>
        <w:t>法定代表人</w:t>
      </w:r>
      <w:r>
        <w:rPr>
          <w:rFonts w:hint="eastAsia" w:ascii="宋体" w:hAnsi="宋体"/>
          <w:sz w:val="24"/>
          <w:szCs w:val="24"/>
        </w:rPr>
        <w:t>或其授权代表签字</w:t>
      </w:r>
      <w:r>
        <w:rPr>
          <w:rFonts w:hint="eastAsia" w:ascii="宋体" w:hAnsi="宋体"/>
          <w:sz w:val="24"/>
          <w:szCs w:val="24"/>
          <w:lang w:val="en-US" w:eastAsia="zh-CN"/>
        </w:rPr>
        <w:t>并</w:t>
      </w:r>
      <w:r>
        <w:rPr>
          <w:rFonts w:hint="eastAsia" w:ascii="宋体" w:hAnsi="宋体"/>
          <w:sz w:val="24"/>
          <w:szCs w:val="24"/>
        </w:rPr>
        <w:t>盖章</w:t>
      </w:r>
      <w:r>
        <w:rPr>
          <w:rFonts w:hint="eastAsia" w:ascii="宋体" w:hAnsi="宋体"/>
          <w:sz w:val="24"/>
          <w:szCs w:val="24"/>
          <w:lang w:val="en-US" w:eastAsia="zh-CN"/>
        </w:rPr>
        <w:t>之日起</w:t>
      </w:r>
      <w:r>
        <w:rPr>
          <w:rFonts w:hint="eastAsia" w:ascii="宋体" w:hAnsi="宋体"/>
          <w:sz w:val="24"/>
          <w:szCs w:val="24"/>
        </w:rPr>
        <w:t>生效。</w:t>
      </w:r>
    </w:p>
    <w:p>
      <w:pPr>
        <w:tabs>
          <w:tab w:val="left" w:pos="945"/>
        </w:tabs>
        <w:spacing w:line="360" w:lineRule="auto"/>
        <w:ind w:left="0" w:firstLine="480" w:firstLineChars="200"/>
        <w:rPr>
          <w:rFonts w:hint="eastAsia" w:ascii="宋体" w:hAnsi="宋体" w:eastAsia="宋体"/>
          <w:sz w:val="24"/>
          <w:szCs w:val="24"/>
          <w:lang w:val="en-US" w:eastAsia="zh-CN"/>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合同一式</w:t>
      </w:r>
      <w:r>
        <w:rPr>
          <w:rFonts w:hint="eastAsia" w:ascii="宋体" w:hAnsi="宋体"/>
          <w:sz w:val="24"/>
          <w:szCs w:val="24"/>
          <w:u w:val="single"/>
        </w:rPr>
        <w:t xml:space="preserve">    </w:t>
      </w:r>
      <w:r>
        <w:rPr>
          <w:rFonts w:hint="eastAsia" w:ascii="宋体" w:hAnsi="宋体"/>
          <w:sz w:val="24"/>
          <w:szCs w:val="24"/>
        </w:rPr>
        <w:t>份，甲方执</w:t>
      </w:r>
      <w:r>
        <w:rPr>
          <w:rFonts w:hint="eastAsia" w:ascii="宋体" w:hAnsi="宋体"/>
          <w:sz w:val="24"/>
          <w:szCs w:val="24"/>
          <w:u w:val="single"/>
        </w:rPr>
        <w:t xml:space="preserve">    </w:t>
      </w:r>
      <w:r>
        <w:rPr>
          <w:rFonts w:hint="eastAsia" w:ascii="宋体" w:hAnsi="宋体"/>
          <w:sz w:val="24"/>
          <w:szCs w:val="24"/>
        </w:rPr>
        <w:t>份，乙方执</w:t>
      </w:r>
      <w:r>
        <w:rPr>
          <w:rFonts w:hint="eastAsia" w:ascii="宋体" w:hAnsi="宋体"/>
          <w:sz w:val="24"/>
          <w:szCs w:val="24"/>
          <w:u w:val="single"/>
        </w:rPr>
        <w:t xml:space="preserve">    </w:t>
      </w:r>
      <w:r>
        <w:rPr>
          <w:rFonts w:hint="eastAsia" w:ascii="宋体" w:hAnsi="宋体"/>
          <w:sz w:val="24"/>
          <w:szCs w:val="24"/>
        </w:rPr>
        <w:t>份</w:t>
      </w:r>
      <w:r>
        <w:rPr>
          <w:rFonts w:hint="eastAsia" w:ascii="宋体" w:hAnsi="宋体"/>
          <w:sz w:val="24"/>
          <w:szCs w:val="24"/>
          <w:lang w:eastAsia="zh-CN"/>
        </w:rPr>
        <w:t>，</w:t>
      </w:r>
      <w:r>
        <w:rPr>
          <w:rFonts w:hint="eastAsia" w:ascii="宋体" w:hAnsi="宋体"/>
          <w:sz w:val="24"/>
          <w:szCs w:val="24"/>
          <w:lang w:val="en-US" w:eastAsia="zh-CN"/>
        </w:rPr>
        <w:t>各份具有同等法律效力</w:t>
      </w:r>
    </w:p>
    <w:p>
      <w:pPr>
        <w:tabs>
          <w:tab w:val="left" w:pos="4395"/>
        </w:tabs>
        <w:spacing w:line="360" w:lineRule="auto"/>
        <w:jc w:val="center"/>
        <w:rPr>
          <w:rFonts w:hint="eastAsia" w:ascii="宋体" w:hAnsi="宋体"/>
          <w:b/>
          <w:sz w:val="24"/>
          <w:szCs w:val="24"/>
        </w:rPr>
      </w:pPr>
      <w:r>
        <w:rPr>
          <w:rFonts w:hint="eastAsia" w:ascii="宋体" w:hAnsi="宋体"/>
          <w:b/>
          <w:sz w:val="24"/>
          <w:szCs w:val="24"/>
        </w:rPr>
        <w:t>（以下无正文，为合同签署页）</w:t>
      </w:r>
    </w:p>
    <w:p>
      <w:pPr>
        <w:tabs>
          <w:tab w:val="left" w:pos="4395"/>
        </w:tabs>
        <w:spacing w:line="360" w:lineRule="auto"/>
        <w:jc w:val="center"/>
        <w:rPr>
          <w:rFonts w:hint="eastAsia" w:ascii="宋体" w:hAnsi="宋体"/>
          <w:b/>
          <w:sz w:val="24"/>
          <w:szCs w:val="24"/>
        </w:rPr>
      </w:pPr>
    </w:p>
    <w:p>
      <w:pPr>
        <w:tabs>
          <w:tab w:val="left" w:pos="4395"/>
        </w:tabs>
        <w:spacing w:line="360" w:lineRule="auto"/>
        <w:rPr>
          <w:rFonts w:ascii="宋体" w:hAnsi="宋体"/>
          <w:b/>
          <w:sz w:val="24"/>
          <w:szCs w:val="24"/>
        </w:rPr>
      </w:pPr>
      <w:r>
        <w:rPr>
          <w:rFonts w:hint="eastAsia" w:ascii="宋体" w:hAnsi="宋体"/>
          <w:b/>
          <w:sz w:val="24"/>
          <w:szCs w:val="24"/>
        </w:rPr>
        <w:t>甲方（盖章）：</w:t>
      </w:r>
      <w:r>
        <w:rPr>
          <w:rFonts w:hint="eastAsia" w:ascii="宋体" w:hAnsi="宋体"/>
          <w:b/>
          <w:sz w:val="24"/>
          <w:szCs w:val="24"/>
        </w:rPr>
        <w:tab/>
      </w:r>
      <w:r>
        <w:rPr>
          <w:rFonts w:hint="eastAsia" w:ascii="宋体" w:hAnsi="宋体"/>
          <w:b/>
          <w:sz w:val="24"/>
          <w:szCs w:val="24"/>
        </w:rPr>
        <w:t>乙方（盖章）：</w:t>
      </w:r>
    </w:p>
    <w:p>
      <w:pPr>
        <w:tabs>
          <w:tab w:val="left" w:pos="4395"/>
        </w:tabs>
        <w:spacing w:line="360" w:lineRule="auto"/>
        <w:rPr>
          <w:rFonts w:ascii="宋体" w:hAnsi="宋体"/>
          <w:b/>
          <w:sz w:val="24"/>
          <w:szCs w:val="24"/>
        </w:rPr>
      </w:pPr>
      <w:r>
        <w:rPr>
          <w:rFonts w:hint="eastAsia" w:ascii="宋体" w:hAnsi="宋体"/>
          <w:b/>
          <w:sz w:val="24"/>
          <w:szCs w:val="24"/>
          <w:lang w:val="en-US" w:eastAsia="zh-CN"/>
        </w:rPr>
        <w:t>负责人/</w:t>
      </w:r>
      <w:r>
        <w:rPr>
          <w:rFonts w:hint="eastAsia" w:ascii="宋体" w:hAnsi="宋体"/>
          <w:b/>
          <w:sz w:val="24"/>
          <w:szCs w:val="24"/>
        </w:rPr>
        <w:t>授权代表：</w:t>
      </w:r>
      <w:r>
        <w:rPr>
          <w:rFonts w:hint="eastAsia" w:ascii="宋体" w:hAnsi="宋体"/>
          <w:b/>
          <w:sz w:val="24"/>
          <w:szCs w:val="24"/>
        </w:rPr>
        <w:tab/>
      </w:r>
      <w:r>
        <w:rPr>
          <w:rFonts w:hint="eastAsia" w:ascii="宋体" w:hAnsi="宋体"/>
          <w:b/>
          <w:sz w:val="24"/>
          <w:szCs w:val="24"/>
        </w:rPr>
        <w:t>法定代表人</w:t>
      </w:r>
      <w:r>
        <w:rPr>
          <w:rFonts w:hint="eastAsia" w:ascii="宋体" w:hAnsi="宋体"/>
          <w:b/>
          <w:sz w:val="24"/>
          <w:szCs w:val="24"/>
          <w:lang w:val="en-US" w:eastAsia="zh-CN"/>
        </w:rPr>
        <w:t>/授权代表</w:t>
      </w:r>
      <w:r>
        <w:rPr>
          <w:rFonts w:hint="eastAsia" w:ascii="宋体" w:hAnsi="宋体"/>
          <w:b/>
          <w:sz w:val="24"/>
          <w:szCs w:val="24"/>
        </w:rPr>
        <w:t>：</w:t>
      </w:r>
    </w:p>
    <w:p>
      <w:pPr>
        <w:tabs>
          <w:tab w:val="left" w:pos="4395"/>
        </w:tabs>
        <w:spacing w:line="360" w:lineRule="auto"/>
        <w:rPr>
          <w:rFonts w:ascii="宋体" w:hAnsi="宋体"/>
          <w:sz w:val="24"/>
          <w:szCs w:val="24"/>
        </w:rPr>
      </w:pPr>
      <w:r>
        <w:rPr>
          <w:rFonts w:hint="eastAsia" w:ascii="宋体" w:hAnsi="宋体"/>
          <w:sz w:val="24"/>
          <w:szCs w:val="24"/>
          <w:lang w:eastAsia="zh-CN"/>
        </w:rPr>
        <w:t>签订</w:t>
      </w:r>
      <w:r>
        <w:rPr>
          <w:rFonts w:hint="eastAsia" w:ascii="宋体" w:hAnsi="宋体"/>
          <w:sz w:val="24"/>
          <w:szCs w:val="24"/>
        </w:rPr>
        <w:t>日期：   年  月  日</w:t>
      </w:r>
      <w:r>
        <w:rPr>
          <w:rFonts w:hint="eastAsia" w:ascii="宋体" w:hAnsi="宋体"/>
          <w:sz w:val="24"/>
          <w:szCs w:val="24"/>
          <w:lang w:val="en-US" w:eastAsia="zh-CN"/>
        </w:rPr>
        <w:t xml:space="preserve">              </w:t>
      </w:r>
      <w:r>
        <w:rPr>
          <w:rFonts w:hint="eastAsia" w:ascii="宋体" w:hAnsi="宋体"/>
          <w:sz w:val="24"/>
          <w:szCs w:val="24"/>
          <w:lang w:eastAsia="zh-CN"/>
        </w:rPr>
        <w:t>签订</w:t>
      </w:r>
      <w:r>
        <w:rPr>
          <w:rFonts w:hint="eastAsia" w:ascii="宋体" w:hAnsi="宋体"/>
          <w:sz w:val="24"/>
          <w:szCs w:val="24"/>
        </w:rPr>
        <w:t>日期：   年  月  日</w:t>
      </w:r>
      <w:r>
        <w:rPr>
          <w:rFonts w:hint="eastAsia" w:ascii="宋体" w:hAnsi="宋体"/>
          <w:sz w:val="24"/>
          <w:szCs w:val="24"/>
        </w:rPr>
        <w:tab/>
      </w:r>
      <w:r>
        <w:rPr>
          <w:rFonts w:hint="eastAsia" w:ascii="宋体" w:hAnsi="宋体"/>
          <w:sz w:val="24"/>
          <w:szCs w:val="24"/>
        </w:rPr>
        <w:t>：</w:t>
      </w:r>
    </w:p>
    <w:p>
      <w:pPr>
        <w:tabs>
          <w:tab w:val="left" w:pos="4395"/>
        </w:tabs>
        <w:spacing w:line="360" w:lineRule="auto"/>
        <w:rPr>
          <w:rFonts w:ascii="宋体" w:hAnsi="宋体"/>
          <w:sz w:val="24"/>
          <w:szCs w:val="24"/>
        </w:rPr>
      </w:pPr>
      <w:r>
        <w:rPr>
          <w:rFonts w:hint="eastAsia" w:ascii="宋体" w:hAnsi="宋体"/>
          <w:sz w:val="24"/>
          <w:szCs w:val="24"/>
        </w:rPr>
        <w:tab/>
      </w:r>
    </w:p>
    <w:p>
      <w:pPr>
        <w:pStyle w:val="4"/>
        <w:tabs>
          <w:tab w:val="left" w:pos="4220"/>
        </w:tabs>
        <w:spacing w:line="388" w:lineRule="exact"/>
        <w:ind w:left="220" w:firstLine="2496"/>
      </w:pPr>
      <w:r>
        <w:rPr>
          <w:rFonts w:ascii="黑体" w:hAnsi="黑体" w:eastAsia="黑体" w:cs="黑体"/>
          <w:kern w:val="0"/>
          <w:sz w:val="32"/>
          <w:szCs w:val="32"/>
        </w:rPr>
        <w:br w:type="page"/>
      </w:r>
      <w:r>
        <w:rPr>
          <w:rFonts w:ascii="黑体" w:hAnsi="黑体" w:eastAsia="黑体" w:cs="黑体"/>
          <w:kern w:val="0"/>
          <w:sz w:val="32"/>
          <w:szCs w:val="32"/>
        </w:rPr>
        <w:t>第六部分</w:t>
      </w:r>
      <w:r>
        <w:rPr>
          <w:rFonts w:ascii="黑体" w:hAnsi="黑体" w:eastAsia="黑体" w:cs="黑体"/>
          <w:kern w:val="0"/>
          <w:sz w:val="32"/>
          <w:szCs w:val="32"/>
        </w:rPr>
        <w:tab/>
      </w:r>
      <w:r>
        <w:rPr>
          <w:rFonts w:ascii="黑体" w:hAnsi="黑体" w:eastAsia="黑体" w:cs="黑体"/>
          <w:kern w:val="0"/>
          <w:sz w:val="32"/>
          <w:szCs w:val="32"/>
        </w:rPr>
        <w:t>投标文件格式</w:t>
      </w:r>
    </w:p>
    <w:p>
      <w:pPr>
        <w:spacing w:before="3"/>
        <w:rPr>
          <w:rFonts w:ascii="宋体" w:hAnsi="宋体" w:cs="宋体"/>
          <w:b/>
          <w:bCs/>
          <w:sz w:val="33"/>
          <w:szCs w:val="33"/>
        </w:rPr>
      </w:pPr>
    </w:p>
    <w:p>
      <w:pPr>
        <w:spacing w:line="357" w:lineRule="auto"/>
        <w:ind w:left="220" w:right="117"/>
        <w:rPr>
          <w:rFonts w:ascii="宋体" w:hAnsi="宋体" w:cs="宋体"/>
          <w:sz w:val="28"/>
          <w:szCs w:val="28"/>
        </w:rPr>
      </w:pPr>
      <w:r>
        <w:rPr>
          <w:rFonts w:ascii="宋体" w:hAnsi="宋体" w:cs="宋体"/>
          <w:b/>
          <w:bCs/>
          <w:spacing w:val="5"/>
          <w:sz w:val="28"/>
          <w:szCs w:val="28"/>
        </w:rPr>
        <w:t>对于本遴选采购文件中要求列出而本部分中没有具体格式及要求的</w:t>
      </w:r>
      <w:r>
        <w:rPr>
          <w:rFonts w:ascii="宋体" w:hAnsi="宋体" w:cs="宋体"/>
          <w:b/>
          <w:bCs/>
          <w:spacing w:val="-5"/>
          <w:sz w:val="28"/>
          <w:szCs w:val="28"/>
        </w:rPr>
        <w:t>内容，投标人可自行拟定清晰明确的文件格式，但投标文件应有相应</w:t>
      </w:r>
      <w:r>
        <w:rPr>
          <w:rFonts w:ascii="宋体" w:hAnsi="宋体" w:cs="宋体"/>
          <w:b/>
          <w:bCs/>
          <w:spacing w:val="-139"/>
          <w:sz w:val="28"/>
          <w:szCs w:val="28"/>
        </w:rPr>
        <w:t xml:space="preserve"> </w:t>
      </w:r>
      <w:r>
        <w:rPr>
          <w:rFonts w:ascii="宋体" w:hAnsi="宋体" w:cs="宋体"/>
          <w:b/>
          <w:bCs/>
          <w:sz w:val="28"/>
          <w:szCs w:val="28"/>
        </w:rPr>
        <w:t>的目录及页码。</w:t>
      </w:r>
    </w:p>
    <w:p>
      <w:pPr>
        <w:spacing w:before="41"/>
        <w:ind w:left="200" w:right="100"/>
        <w:jc w:val="center"/>
        <w:rPr>
          <w:rFonts w:ascii="宋体" w:hAnsi="宋体" w:cs="宋体"/>
          <w:sz w:val="28"/>
          <w:szCs w:val="28"/>
        </w:rPr>
      </w:pPr>
      <w:r>
        <w:rPr>
          <w:rFonts w:ascii="宋体" w:hAnsi="宋体" w:cs="宋体"/>
          <w:b/>
          <w:bCs/>
          <w:sz w:val="28"/>
          <w:szCs w:val="28"/>
        </w:rPr>
        <w:t>投标文件封面参考</w:t>
      </w:r>
    </w:p>
    <w:p>
      <w:pPr>
        <w:spacing w:before="9"/>
        <w:rPr>
          <w:rFonts w:ascii="宋体" w:hAnsi="宋体" w:cs="宋体"/>
          <w:b/>
          <w:bCs/>
          <w:sz w:val="16"/>
          <w:szCs w:val="16"/>
        </w:rPr>
      </w:pPr>
    </w:p>
    <w:p>
      <w:pPr>
        <w:spacing w:line="9762" w:lineRule="exact"/>
        <w:ind w:left="102"/>
        <w:rPr>
          <w:rFonts w:ascii="宋体" w:hAnsi="宋体" w:cs="宋体"/>
          <w:sz w:val="20"/>
        </w:rPr>
      </w:pPr>
      <w:r>
        <w:rPr>
          <w:rFonts w:ascii="宋体" w:hAnsi="宋体" w:cs="宋体"/>
          <w:position w:val="-194"/>
          <w:sz w:val="20"/>
        </w:rPr>
        <mc:AlternateContent>
          <mc:Choice Requires="wpg">
            <w:drawing>
              <wp:inline distT="0" distB="0" distL="114300" distR="114300">
                <wp:extent cx="5345430" cy="6199505"/>
                <wp:effectExtent l="0" t="0" r="9525" b="12700"/>
                <wp:docPr id="16" name="组合 16"/>
                <wp:cNvGraphicFramePr/>
                <a:graphic xmlns:a="http://schemas.openxmlformats.org/drawingml/2006/main">
                  <a:graphicData uri="http://schemas.microsoft.com/office/word/2010/wordprocessingGroup">
                    <wpg:wgp>
                      <wpg:cNvGrpSpPr>
                        <a:grpSpLocks noRot="1"/>
                      </wpg:cNvGrpSpPr>
                      <wpg:grpSpPr>
                        <a:xfrm>
                          <a:off x="0" y="0"/>
                          <a:ext cx="5345430" cy="6199505"/>
                          <a:chOff x="0" y="0"/>
                          <a:chExt cx="8418" cy="9763"/>
                        </a:xfrm>
                        <a:effectLst/>
                      </wpg:grpSpPr>
                      <wpg:grpSp>
                        <wpg:cNvPr id="3" name="组合 3"/>
                        <wpg:cNvGrpSpPr/>
                        <wpg:grpSpPr>
                          <a:xfrm>
                            <a:off x="5" y="10"/>
                            <a:ext cx="8408" cy="2"/>
                            <a:chOff x="5" y="10"/>
                            <a:chExt cx="8408" cy="2"/>
                          </a:xfrm>
                          <a:effectLst/>
                        </wpg:grpSpPr>
                        <wps:wsp>
                          <wps:cNvPr id="2" name="任意多边形 2"/>
                          <wps:cNvSpPr/>
                          <wps:spPr>
                            <a:xfrm>
                              <a:off x="5" y="10"/>
                              <a:ext cx="8408" cy="2"/>
                            </a:xfrm>
                            <a:custGeom>
                              <a:avLst/>
                              <a:gdLst/>
                              <a:ahLst/>
                              <a:cxnLst/>
                              <a:pathLst>
                                <a:path w="8408">
                                  <a:moveTo>
                                    <a:pt x="0" y="0"/>
                                  </a:moveTo>
                                  <a:lnTo>
                                    <a:pt x="8407" y="0"/>
                                  </a:lnTo>
                                </a:path>
                              </a:pathLst>
                            </a:custGeom>
                            <a:noFill/>
                            <a:ln w="6096" cap="flat" cmpd="sng">
                              <a:solidFill>
                                <a:srgbClr val="000000"/>
                              </a:solidFill>
                              <a:prstDash val="solid"/>
                              <a:headEnd type="none" w="med" len="med"/>
                              <a:tailEnd type="none" w="med" len="med"/>
                            </a:ln>
                            <a:effectLst/>
                          </wps:spPr>
                          <wps:bodyPr upright="1"/>
                        </wps:wsp>
                      </wpg:grpSp>
                      <wpg:grpSp>
                        <wpg:cNvPr id="5" name="组合 5"/>
                        <wpg:cNvGrpSpPr/>
                        <wpg:grpSpPr>
                          <a:xfrm>
                            <a:off x="5" y="9758"/>
                            <a:ext cx="8408" cy="2"/>
                            <a:chOff x="5" y="9758"/>
                            <a:chExt cx="8408" cy="2"/>
                          </a:xfrm>
                          <a:effectLst/>
                        </wpg:grpSpPr>
                        <wps:wsp>
                          <wps:cNvPr id="4" name="任意多边形 4"/>
                          <wps:cNvSpPr/>
                          <wps:spPr>
                            <a:xfrm>
                              <a:off x="5" y="9758"/>
                              <a:ext cx="8408" cy="2"/>
                            </a:xfrm>
                            <a:custGeom>
                              <a:avLst/>
                              <a:gdLst/>
                              <a:ahLst/>
                              <a:cxnLst/>
                              <a:pathLst>
                                <a:path w="8408">
                                  <a:moveTo>
                                    <a:pt x="0" y="0"/>
                                  </a:moveTo>
                                  <a:lnTo>
                                    <a:pt x="8407" y="0"/>
                                  </a:lnTo>
                                </a:path>
                              </a:pathLst>
                            </a:custGeom>
                            <a:noFill/>
                            <a:ln w="6096" cap="flat" cmpd="sng">
                              <a:solidFill>
                                <a:srgbClr val="000000"/>
                              </a:solidFill>
                              <a:prstDash val="solid"/>
                              <a:headEnd type="none" w="med" len="med"/>
                              <a:tailEnd type="none" w="med" len="med"/>
                            </a:ln>
                            <a:effectLst/>
                          </wps:spPr>
                          <wps:bodyPr upright="1"/>
                        </wps:wsp>
                      </wpg:grpSp>
                      <wpg:grpSp>
                        <wpg:cNvPr id="7" name="组合 7"/>
                        <wpg:cNvGrpSpPr/>
                        <wpg:grpSpPr>
                          <a:xfrm>
                            <a:off x="10" y="5"/>
                            <a:ext cx="2" cy="9748"/>
                            <a:chOff x="10" y="5"/>
                            <a:chExt cx="2" cy="9748"/>
                          </a:xfrm>
                          <a:effectLst/>
                        </wpg:grpSpPr>
                        <wps:wsp>
                          <wps:cNvPr id="6" name="任意多边形 6"/>
                          <wps:cNvSpPr/>
                          <wps:spPr>
                            <a:xfrm>
                              <a:off x="10" y="5"/>
                              <a:ext cx="2" cy="9748"/>
                            </a:xfrm>
                            <a:custGeom>
                              <a:avLst/>
                              <a:gdLst/>
                              <a:ahLst/>
                              <a:cxnLst/>
                              <a:pathLst>
                                <a:path h="9748">
                                  <a:moveTo>
                                    <a:pt x="0" y="0"/>
                                  </a:moveTo>
                                  <a:lnTo>
                                    <a:pt x="0" y="9748"/>
                                  </a:lnTo>
                                </a:path>
                              </a:pathLst>
                            </a:custGeom>
                            <a:noFill/>
                            <a:ln w="6096" cap="flat" cmpd="sng">
                              <a:solidFill>
                                <a:srgbClr val="000000"/>
                              </a:solidFill>
                              <a:prstDash val="solid"/>
                              <a:headEnd type="none" w="med" len="med"/>
                              <a:tailEnd type="none" w="med" len="med"/>
                            </a:ln>
                            <a:effectLst/>
                          </wps:spPr>
                          <wps:bodyPr upright="1"/>
                        </wps:wsp>
                      </wpg:grpSp>
                      <wpg:grpSp>
                        <wpg:cNvPr id="15" name="组合 15"/>
                        <wpg:cNvGrpSpPr/>
                        <wpg:grpSpPr>
                          <a:xfrm>
                            <a:off x="8408" y="5"/>
                            <a:ext cx="2" cy="9748"/>
                            <a:chOff x="8408" y="5"/>
                            <a:chExt cx="2" cy="9748"/>
                          </a:xfrm>
                          <a:effectLst/>
                        </wpg:grpSpPr>
                        <wps:wsp>
                          <wps:cNvPr id="8" name="任意多边形 8"/>
                          <wps:cNvSpPr/>
                          <wps:spPr>
                            <a:xfrm>
                              <a:off x="8408" y="5"/>
                              <a:ext cx="2" cy="9748"/>
                            </a:xfrm>
                            <a:custGeom>
                              <a:avLst/>
                              <a:gdLst/>
                              <a:ahLst/>
                              <a:cxnLst/>
                              <a:pathLst>
                                <a:path h="9748">
                                  <a:moveTo>
                                    <a:pt x="0" y="0"/>
                                  </a:moveTo>
                                  <a:lnTo>
                                    <a:pt x="0" y="9748"/>
                                  </a:lnTo>
                                </a:path>
                              </a:pathLst>
                            </a:custGeom>
                            <a:noFill/>
                            <a:ln w="6096" cap="flat" cmpd="sng">
                              <a:solidFill>
                                <a:srgbClr val="000000"/>
                              </a:solidFill>
                              <a:prstDash val="solid"/>
                              <a:headEnd type="none" w="med" len="med"/>
                              <a:tailEnd type="none" w="med" len="med"/>
                            </a:ln>
                            <a:effectLst/>
                          </wps:spPr>
                          <wps:bodyPr upright="1"/>
                        </wps:wsp>
                        <wps:wsp>
                          <wps:cNvPr id="9" name="文本框 9"/>
                          <wps:cNvSpPr txBox="1"/>
                          <wps:spPr>
                            <a:xfrm>
                              <a:off x="2220" y="744"/>
                              <a:ext cx="3972" cy="720"/>
                            </a:xfrm>
                            <a:prstGeom prst="rect">
                              <a:avLst/>
                            </a:prstGeom>
                            <a:noFill/>
                            <a:ln>
                              <a:noFill/>
                            </a:ln>
                            <a:effectLst/>
                          </wps:spPr>
                          <wps:txbx>
                            <w:txbxContent>
                              <w:p>
                                <w:pPr>
                                  <w:spacing w:line="720" w:lineRule="exact"/>
                                  <w:rPr>
                                    <w:rFonts w:ascii="黑体" w:hAnsi="黑体" w:eastAsia="黑体" w:cs="黑体"/>
                                    <w:sz w:val="72"/>
                                    <w:szCs w:val="72"/>
                                  </w:rPr>
                                </w:pPr>
                                <w:r>
                                  <w:rPr>
                                    <w:rFonts w:ascii="黑体" w:hAnsi="黑体" w:eastAsia="黑体" w:cs="黑体"/>
                                    <w:b/>
                                    <w:bCs/>
                                    <w:w w:val="99"/>
                                    <w:sz w:val="72"/>
                                    <w:szCs w:val="72"/>
                                  </w:rPr>
                                  <w:t>投</w:t>
                                </w:r>
                                <w:r>
                                  <w:rPr>
                                    <w:rFonts w:ascii="黑体" w:hAnsi="黑体" w:eastAsia="黑体" w:cs="黑体"/>
                                    <w:b/>
                                    <w:bCs/>
                                    <w:spacing w:val="1"/>
                                    <w:sz w:val="72"/>
                                    <w:szCs w:val="72"/>
                                  </w:rPr>
                                  <w:t xml:space="preserve"> </w:t>
                                </w:r>
                                <w:r>
                                  <w:rPr>
                                    <w:rFonts w:ascii="黑体" w:hAnsi="黑体" w:eastAsia="黑体" w:cs="黑体"/>
                                    <w:b/>
                                    <w:bCs/>
                                    <w:w w:val="99"/>
                                    <w:sz w:val="72"/>
                                    <w:szCs w:val="72"/>
                                  </w:rPr>
                                  <w:t>标</w:t>
                                </w:r>
                                <w:r>
                                  <w:rPr>
                                    <w:rFonts w:ascii="黑体" w:hAnsi="黑体" w:eastAsia="黑体" w:cs="黑体"/>
                                    <w:b/>
                                    <w:bCs/>
                                    <w:spacing w:val="1"/>
                                    <w:sz w:val="72"/>
                                    <w:szCs w:val="72"/>
                                  </w:rPr>
                                  <w:t xml:space="preserve"> </w:t>
                                </w:r>
                                <w:r>
                                  <w:rPr>
                                    <w:rFonts w:ascii="黑体" w:hAnsi="黑体" w:eastAsia="黑体" w:cs="黑体"/>
                                    <w:b/>
                                    <w:bCs/>
                                    <w:w w:val="99"/>
                                    <w:sz w:val="72"/>
                                    <w:szCs w:val="72"/>
                                  </w:rPr>
                                  <w:t>文</w:t>
                                </w:r>
                                <w:r>
                                  <w:rPr>
                                    <w:rFonts w:ascii="黑体" w:hAnsi="黑体" w:eastAsia="黑体" w:cs="黑体"/>
                                    <w:b/>
                                    <w:bCs/>
                                    <w:spacing w:val="-1"/>
                                    <w:sz w:val="72"/>
                                    <w:szCs w:val="72"/>
                                  </w:rPr>
                                  <w:t xml:space="preserve"> </w:t>
                                </w:r>
                                <w:r>
                                  <w:rPr>
                                    <w:rFonts w:ascii="黑体" w:hAnsi="黑体" w:eastAsia="黑体" w:cs="黑体"/>
                                    <w:b/>
                                    <w:bCs/>
                                    <w:w w:val="99"/>
                                    <w:sz w:val="72"/>
                                    <w:szCs w:val="72"/>
                                  </w:rPr>
                                  <w:t>件</w:t>
                                </w:r>
                              </w:p>
                            </w:txbxContent>
                          </wps:txbx>
                          <wps:bodyPr lIns="0" tIns="0" rIns="0" bIns="0" upright="1"/>
                        </wps:wsp>
                        <wps:wsp>
                          <wps:cNvPr id="10" name="文本框 10"/>
                          <wps:cNvSpPr txBox="1"/>
                          <wps:spPr>
                            <a:xfrm>
                              <a:off x="3758" y="3123"/>
                              <a:ext cx="521" cy="1534"/>
                            </a:xfrm>
                            <a:prstGeom prst="rect">
                              <a:avLst/>
                            </a:prstGeom>
                            <a:noFill/>
                            <a:ln>
                              <a:noFill/>
                            </a:ln>
                            <a:effectLst/>
                          </wps:spPr>
                          <wps:txbx>
                            <w:txbxContent>
                              <w:p>
                                <w:pPr>
                                  <w:spacing w:line="521" w:lineRule="exact"/>
                                  <w:rPr>
                                    <w:rFonts w:ascii="黑体" w:hAnsi="黑体" w:eastAsia="黑体" w:cs="黑体"/>
                                    <w:sz w:val="52"/>
                                    <w:szCs w:val="52"/>
                                  </w:rPr>
                                </w:pPr>
                                <w:r>
                                  <w:rPr>
                                    <w:rFonts w:ascii="黑体" w:hAnsi="黑体" w:eastAsia="黑体" w:cs="黑体"/>
                                    <w:b/>
                                    <w:bCs/>
                                    <w:w w:val="99"/>
                                    <w:sz w:val="52"/>
                                    <w:szCs w:val="52"/>
                                  </w:rPr>
                                  <w:t>口</w:t>
                                </w:r>
                              </w:p>
                              <w:p>
                                <w:pPr>
                                  <w:spacing w:before="332"/>
                                  <w:rPr>
                                    <w:rFonts w:ascii="黑体" w:hAnsi="黑体" w:eastAsia="黑体" w:cs="黑体"/>
                                    <w:sz w:val="52"/>
                                    <w:szCs w:val="52"/>
                                  </w:rPr>
                                </w:pPr>
                                <w:r>
                                  <w:rPr>
                                    <w:rFonts w:ascii="黑体" w:hAnsi="黑体" w:eastAsia="黑体" w:cs="黑体"/>
                                    <w:b/>
                                    <w:bCs/>
                                    <w:w w:val="99"/>
                                    <w:sz w:val="52"/>
                                    <w:szCs w:val="52"/>
                                  </w:rPr>
                                  <w:t>口</w:t>
                                </w:r>
                              </w:p>
                            </w:txbxContent>
                          </wps:txbx>
                          <wps:bodyPr lIns="0" tIns="0" rIns="0" bIns="0" upright="1"/>
                        </wps:wsp>
                        <wps:wsp>
                          <wps:cNvPr id="11" name="文本框 11"/>
                          <wps:cNvSpPr txBox="1"/>
                          <wps:spPr>
                            <a:xfrm>
                              <a:off x="4541" y="3299"/>
                              <a:ext cx="641" cy="319"/>
                            </a:xfrm>
                            <a:prstGeom prst="rect">
                              <a:avLst/>
                            </a:prstGeom>
                            <a:noFill/>
                            <a:ln>
                              <a:noFill/>
                            </a:ln>
                            <a:effectLst/>
                          </wps:spPr>
                          <wps:txbx>
                            <w:txbxContent>
                              <w:p>
                                <w:pPr>
                                  <w:spacing w:line="319" w:lineRule="exact"/>
                                  <w:rPr>
                                    <w:rFonts w:ascii="黑体" w:hAnsi="黑体" w:eastAsia="黑体" w:cs="黑体"/>
                                    <w:sz w:val="32"/>
                                    <w:szCs w:val="32"/>
                                  </w:rPr>
                                </w:pPr>
                                <w:r>
                                  <w:rPr>
                                    <w:rFonts w:ascii="黑体" w:hAnsi="黑体" w:eastAsia="黑体" w:cs="黑体"/>
                                    <w:b/>
                                    <w:bCs/>
                                    <w:spacing w:val="2"/>
                                    <w:w w:val="99"/>
                                    <w:sz w:val="32"/>
                                    <w:szCs w:val="32"/>
                                  </w:rPr>
                                  <w:t>正</w:t>
                                </w:r>
                                <w:r>
                                  <w:rPr>
                                    <w:rFonts w:ascii="黑体" w:hAnsi="黑体" w:eastAsia="黑体" w:cs="黑体"/>
                                    <w:b/>
                                    <w:bCs/>
                                    <w:w w:val="99"/>
                                    <w:sz w:val="32"/>
                                    <w:szCs w:val="32"/>
                                  </w:rPr>
                                  <w:t>本</w:t>
                                </w:r>
                              </w:p>
                            </w:txbxContent>
                          </wps:txbx>
                          <wps:bodyPr lIns="0" tIns="0" rIns="0" bIns="0" upright="1"/>
                        </wps:wsp>
                        <wps:wsp>
                          <wps:cNvPr id="12" name="文本框 12"/>
                          <wps:cNvSpPr txBox="1"/>
                          <wps:spPr>
                            <a:xfrm>
                              <a:off x="4541" y="4312"/>
                              <a:ext cx="641" cy="319"/>
                            </a:xfrm>
                            <a:prstGeom prst="rect">
                              <a:avLst/>
                            </a:prstGeom>
                            <a:noFill/>
                            <a:ln>
                              <a:noFill/>
                            </a:ln>
                            <a:effectLst/>
                          </wps:spPr>
                          <wps:txbx>
                            <w:txbxContent>
                              <w:p>
                                <w:pPr>
                                  <w:spacing w:line="319" w:lineRule="exact"/>
                                  <w:rPr>
                                    <w:rFonts w:ascii="黑体" w:hAnsi="黑体" w:eastAsia="黑体" w:cs="黑体"/>
                                    <w:sz w:val="32"/>
                                    <w:szCs w:val="32"/>
                                  </w:rPr>
                                </w:pPr>
                                <w:r>
                                  <w:rPr>
                                    <w:rFonts w:ascii="黑体" w:hAnsi="黑体" w:eastAsia="黑体" w:cs="黑体"/>
                                    <w:b/>
                                    <w:bCs/>
                                    <w:spacing w:val="2"/>
                                    <w:w w:val="99"/>
                                    <w:sz w:val="32"/>
                                    <w:szCs w:val="32"/>
                                  </w:rPr>
                                  <w:t>副</w:t>
                                </w:r>
                                <w:r>
                                  <w:rPr>
                                    <w:rFonts w:ascii="黑体" w:hAnsi="黑体" w:eastAsia="黑体" w:cs="黑体"/>
                                    <w:b/>
                                    <w:bCs/>
                                    <w:w w:val="99"/>
                                    <w:sz w:val="32"/>
                                    <w:szCs w:val="32"/>
                                  </w:rPr>
                                  <w:t>本</w:t>
                                </w:r>
                              </w:p>
                            </w:txbxContent>
                          </wps:txbx>
                          <wps:bodyPr lIns="0" tIns="0" rIns="0" bIns="0" upright="1"/>
                        </wps:wsp>
                        <wps:wsp>
                          <wps:cNvPr id="13" name="文本框 13"/>
                          <wps:cNvSpPr txBox="1"/>
                          <wps:spPr>
                            <a:xfrm>
                              <a:off x="1130" y="6396"/>
                              <a:ext cx="4217" cy="1481"/>
                            </a:xfrm>
                            <a:prstGeom prst="rect">
                              <a:avLst/>
                            </a:prstGeom>
                            <a:noFill/>
                            <a:ln>
                              <a:noFill/>
                            </a:ln>
                            <a:effectLst/>
                          </wps:spPr>
                          <wps:txbx>
                            <w:txbxContent>
                              <w:p>
                                <w:pPr>
                                  <w:spacing w:line="281" w:lineRule="exact"/>
                                  <w:rPr>
                                    <w:rFonts w:ascii="仿宋_GB2312" w:hAnsi="仿宋_GB2312" w:eastAsia="仿宋_GB2312" w:cs="仿宋_GB2312"/>
                                    <w:sz w:val="28"/>
                                    <w:szCs w:val="28"/>
                                  </w:rPr>
                                </w:pPr>
                                <w:r>
                                  <w:rPr>
                                    <w:rFonts w:ascii="仿宋_GB2312" w:hAnsi="仿宋_GB2312" w:eastAsia="仿宋_GB2312" w:cs="仿宋_GB2312"/>
                                    <w:b/>
                                    <w:bCs/>
                                    <w:spacing w:val="-1"/>
                                    <w:w w:val="99"/>
                                    <w:sz w:val="28"/>
                                    <w:szCs w:val="28"/>
                                  </w:rPr>
                                  <w:t>项目名称</w:t>
                                </w:r>
                                <w:r>
                                  <w:rPr>
                                    <w:rFonts w:ascii="仿宋_GB2312" w:hAnsi="仿宋_GB2312" w:eastAsia="仿宋_GB2312" w:cs="仿宋_GB2312"/>
                                    <w:b/>
                                    <w:bCs/>
                                    <w:spacing w:val="2"/>
                                    <w:w w:val="99"/>
                                    <w:sz w:val="28"/>
                                    <w:szCs w:val="28"/>
                                  </w:rPr>
                                  <w:t>：</w:t>
                                </w:r>
                                <w:r>
                                  <w:rPr>
                                    <w:rFonts w:ascii="仿宋_GB2312" w:hAnsi="仿宋_GB2312" w:eastAsia="仿宋_GB2312" w:cs="仿宋_GB2312"/>
                                    <w:sz w:val="28"/>
                                    <w:szCs w:val="28"/>
                                  </w:rPr>
                                  <w:t xml:space="preserve"> </w:t>
                                </w:r>
                              </w:p>
                              <w:p>
                                <w:pPr>
                                  <w:spacing w:before="39" w:line="400" w:lineRule="exact"/>
                                  <w:ind w:right="2527"/>
                                  <w:rPr>
                                    <w:rFonts w:ascii="仿宋_GB2312" w:hAnsi="仿宋_GB2312" w:eastAsia="仿宋_GB2312" w:cs="仿宋_GB2312"/>
                                    <w:sz w:val="28"/>
                                    <w:szCs w:val="28"/>
                                  </w:rPr>
                                </w:pPr>
                                <w:r>
                                  <w:rPr>
                                    <w:rFonts w:ascii="仿宋_GB2312" w:hAnsi="仿宋_GB2312" w:eastAsia="仿宋_GB2312" w:cs="仿宋_GB2312"/>
                                    <w:b/>
                                    <w:bCs/>
                                    <w:spacing w:val="-1"/>
                                    <w:w w:val="99"/>
                                    <w:sz w:val="28"/>
                                    <w:szCs w:val="28"/>
                                  </w:rPr>
                                  <w:t>项目编号</w:t>
                                </w:r>
                                <w:r>
                                  <w:rPr>
                                    <w:rFonts w:ascii="仿宋_GB2312" w:hAnsi="仿宋_GB2312" w:eastAsia="仿宋_GB2312" w:cs="仿宋_GB2312"/>
                                    <w:b/>
                                    <w:bCs/>
                                    <w:w w:val="99"/>
                                    <w:sz w:val="28"/>
                                    <w:szCs w:val="28"/>
                                  </w:rPr>
                                  <w:t xml:space="preserve">： </w:t>
                                </w:r>
                                <w:r>
                                  <w:rPr>
                                    <w:rFonts w:ascii="仿宋_GB2312" w:hAnsi="仿宋_GB2312" w:eastAsia="仿宋_GB2312" w:cs="仿宋_GB2312"/>
                                    <w:b/>
                                    <w:bCs/>
                                    <w:spacing w:val="-1"/>
                                    <w:w w:val="99"/>
                                    <w:sz w:val="28"/>
                                    <w:szCs w:val="28"/>
                                  </w:rPr>
                                  <w:t>投标人名</w:t>
                                </w:r>
                                <w:r>
                                  <w:rPr>
                                    <w:rFonts w:ascii="仿宋_GB2312" w:hAnsi="仿宋_GB2312" w:eastAsia="仿宋_GB2312" w:cs="仿宋_GB2312"/>
                                    <w:b/>
                                    <w:bCs/>
                                    <w:spacing w:val="2"/>
                                    <w:w w:val="99"/>
                                    <w:sz w:val="28"/>
                                    <w:szCs w:val="28"/>
                                  </w:rPr>
                                  <w:t>称</w:t>
                                </w:r>
                                <w:r>
                                  <w:rPr>
                                    <w:rFonts w:ascii="仿宋_GB2312" w:hAnsi="仿宋_GB2312" w:eastAsia="仿宋_GB2312" w:cs="仿宋_GB2312"/>
                                    <w:b/>
                                    <w:bCs/>
                                    <w:w w:val="99"/>
                                    <w:sz w:val="28"/>
                                    <w:szCs w:val="28"/>
                                  </w:rPr>
                                  <w:t xml:space="preserve">： </w:t>
                                </w:r>
                                <w:r>
                                  <w:rPr>
                                    <w:rFonts w:ascii="仿宋_GB2312" w:hAnsi="仿宋_GB2312" w:eastAsia="仿宋_GB2312" w:cs="仿宋_GB2312"/>
                                    <w:b/>
                                    <w:bCs/>
                                    <w:spacing w:val="-1"/>
                                    <w:w w:val="99"/>
                                    <w:sz w:val="28"/>
                                    <w:szCs w:val="28"/>
                                  </w:rPr>
                                  <w:t>投标人地</w:t>
                                </w:r>
                                <w:r>
                                  <w:rPr>
                                    <w:rFonts w:ascii="仿宋_GB2312" w:hAnsi="仿宋_GB2312" w:eastAsia="仿宋_GB2312" w:cs="仿宋_GB2312"/>
                                    <w:b/>
                                    <w:bCs/>
                                    <w:spacing w:val="2"/>
                                    <w:w w:val="99"/>
                                    <w:sz w:val="28"/>
                                    <w:szCs w:val="28"/>
                                  </w:rPr>
                                  <w:t>址</w:t>
                                </w:r>
                                <w:r>
                                  <w:rPr>
                                    <w:rFonts w:ascii="仿宋_GB2312" w:hAnsi="仿宋_GB2312" w:eastAsia="仿宋_GB2312" w:cs="仿宋_GB2312"/>
                                    <w:b/>
                                    <w:bCs/>
                                    <w:w w:val="99"/>
                                    <w:sz w:val="28"/>
                                    <w:szCs w:val="28"/>
                                  </w:rPr>
                                  <w:t>：</w:t>
                                </w:r>
                              </w:p>
                            </w:txbxContent>
                          </wps:txbx>
                          <wps:bodyPr lIns="0" tIns="0" rIns="0" bIns="0" upright="1"/>
                        </wps:wsp>
                        <wps:wsp>
                          <wps:cNvPr id="14" name="文本框 14"/>
                          <wps:cNvSpPr txBox="1"/>
                          <wps:spPr>
                            <a:xfrm>
                              <a:off x="960" y="9156"/>
                              <a:ext cx="6188" cy="297"/>
                            </a:xfrm>
                            <a:prstGeom prst="rect">
                              <a:avLst/>
                            </a:prstGeom>
                            <a:noFill/>
                            <a:ln>
                              <a:noFill/>
                            </a:ln>
                            <a:effectLst/>
                          </wps:spPr>
                          <wps:txbx>
                            <w:txbxContent>
                              <w:p>
                                <w:pPr>
                                  <w:tabs>
                                    <w:tab w:val="left" w:pos="703"/>
                                    <w:tab w:val="left" w:pos="1545"/>
                                    <w:tab w:val="left" w:pos="2390"/>
                                    <w:tab w:val="left" w:pos="3232"/>
                                    <w:tab w:val="left" w:pos="4077"/>
                                  </w:tabs>
                                  <w:spacing w:line="281" w:lineRule="exact"/>
                                  <w:rPr>
                                    <w:rFonts w:ascii="仿宋_GB2312" w:hAnsi="仿宋_GB2312" w:eastAsia="仿宋_GB2312" w:cs="仿宋_GB2312"/>
                                    <w:sz w:val="28"/>
                                    <w:szCs w:val="28"/>
                                  </w:rPr>
                                </w:pPr>
                                <w:r>
                                  <w:rPr>
                                    <w:rFonts w:ascii="仿宋_GB2312" w:hAnsi="仿宋_GB2312" w:eastAsia="仿宋_GB2312" w:cs="仿宋_GB2312"/>
                                    <w:b/>
                                    <w:bCs/>
                                    <w:spacing w:val="1"/>
                                    <w:w w:val="99"/>
                                    <w:sz w:val="28"/>
                                    <w:szCs w:val="28"/>
                                  </w:rPr>
                                  <w:t>(</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年</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2"/>
                                    <w:w w:val="99"/>
                                    <w:sz w:val="28"/>
                                    <w:szCs w:val="28"/>
                                  </w:rPr>
                                  <w:t>月</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日</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时</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分</w:t>
                                </w:r>
                                <w:r>
                                  <w:rPr>
                                    <w:rFonts w:ascii="仿宋_GB2312" w:hAnsi="仿宋_GB2312" w:eastAsia="仿宋_GB2312" w:cs="仿宋_GB2312"/>
                                    <w:b/>
                                    <w:bCs/>
                                    <w:spacing w:val="1"/>
                                    <w:w w:val="99"/>
                                    <w:sz w:val="28"/>
                                    <w:szCs w:val="28"/>
                                  </w:rPr>
                                  <w:t>)</w:t>
                                </w:r>
                                <w:r>
                                  <w:rPr>
                                    <w:rFonts w:ascii="仿宋_GB2312" w:hAnsi="仿宋_GB2312" w:eastAsia="仿宋_GB2312" w:cs="仿宋_GB2312"/>
                                    <w:b/>
                                    <w:bCs/>
                                    <w:spacing w:val="-1"/>
                                    <w:w w:val="99"/>
                                    <w:sz w:val="28"/>
                                    <w:szCs w:val="28"/>
                                  </w:rPr>
                                  <w:t>之前不得</w:t>
                                </w:r>
                                <w:r>
                                  <w:rPr>
                                    <w:rFonts w:ascii="仿宋_GB2312" w:hAnsi="仿宋_GB2312" w:eastAsia="仿宋_GB2312" w:cs="仿宋_GB2312"/>
                                    <w:b/>
                                    <w:bCs/>
                                    <w:spacing w:val="2"/>
                                    <w:w w:val="99"/>
                                    <w:sz w:val="28"/>
                                    <w:szCs w:val="28"/>
                                  </w:rPr>
                                  <w:t>启</w:t>
                                </w:r>
                                <w:r>
                                  <w:rPr>
                                    <w:rFonts w:ascii="仿宋_GB2312" w:hAnsi="仿宋_GB2312" w:eastAsia="仿宋_GB2312" w:cs="仿宋_GB2312"/>
                                    <w:b/>
                                    <w:bCs/>
                                    <w:w w:val="99"/>
                                    <w:sz w:val="28"/>
                                    <w:szCs w:val="28"/>
                                  </w:rPr>
                                  <w:t>封</w:t>
                                </w:r>
                              </w:p>
                            </w:txbxContent>
                          </wps:txbx>
                          <wps:bodyPr lIns="0" tIns="0" rIns="0" bIns="0" upright="1"/>
                        </wps:wsp>
                      </wpg:grpSp>
                    </wpg:wgp>
                  </a:graphicData>
                </a:graphic>
              </wp:inline>
            </w:drawing>
          </mc:Choice>
          <mc:Fallback>
            <w:pict>
              <v:group id="_x0000_s1026" o:spid="_x0000_s1026" o:spt="203" style="height:488.15pt;width:420.9pt;" coordsize="8418,9763" o:gfxdata="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">
                <o:lock v:ext="edit" rotation="t" aspectratio="f"/>
                <v:group id="_x0000_s1026" o:spid="_x0000_s1026" o:spt="203" style="position:absolute;left:5;top:10;height:2;width:8408;" coordorigin="5,10" coordsize="8408,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100" style="position:absolute;left:5;top:10;height:2;width:8408;" filled="f" stroked="t" coordsize="8408,1" o:gfxdata="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yWsvQAA&#10;ANoAAAAPAAAAAAAAAAEAIAAAACIAAABkcnMvZG93bnJldi54bWxQSwECFAAUAAAACACHTuJAMy8F&#10;njsAAAA5AAAAEAAAAAAAAAABACAAAAAMAQAAZHJzL3NoYXBleG1sLnhtbFBLBQYAAAAABgAGAFsB&#10;AAC2AwAAAAA=&#10;" path="m0,0l8407,0e">
                    <v:fill on="f" focussize="0,0"/>
                    <v:stroke weight="0.48pt" color="#000000" joinstyle="round"/>
                    <v:imagedata o:title=""/>
                    <o:lock v:ext="edit" aspectratio="f"/>
                  </v:shape>
                </v:group>
                <v:group id="_x0000_s1026" o:spid="_x0000_s1026" o:spt="203" style="position:absolute;left:5;top:9758;height:2;width:8408;" coordorigin="5,9758" coordsize="8408,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100" style="position:absolute;left:5;top:9758;height:2;width:8408;" filled="f" stroked="t" coordsize="8408,1" o:gfxdata="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GEO8AAAA&#10;2gAAAA8AAAAAAAAAAQAgAAAAIgAAAGRycy9kb3ducmV2LnhtbFBLAQIUABQAAAAIAIdO4kAzLwWe&#10;OwAAADkAAAAQAAAAAAAAAAEAIAAAAAsBAABkcnMvc2hhcGV4bWwueG1sUEsFBgAAAAAGAAYAWwEA&#10;ALUDAAAAAA==&#10;" path="m0,0l8407,0e">
                    <v:fill on="f" focussize="0,0"/>
                    <v:stroke weight="0.48pt" color="#000000" joinstyle="round"/>
                    <v:imagedata o:title=""/>
                    <o:lock v:ext="edit" aspectratio="f"/>
                  </v:shape>
                </v:group>
                <v:group id="_x0000_s1026" o:spid="_x0000_s1026" o:spt="203" style="position:absolute;left:10;top:5;height:9748;width:2;" coordorigin="10,5" coordsize="2,9748"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10;top:5;height:9748;width:2;" filled="f" stroked="t" coordsize="1,9748" o:gfxdata="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0rzqbsAAADa&#10;AAAADwAAAAAAAAABACAAAAAiAAAAZHJzL2Rvd25yZXYueG1sUEsBAhQAFAAAAAgAh07iQDMvBZ47&#10;AAAAOQAAABAAAAAAAAAAAQAgAAAACgEAAGRycy9zaGFwZXhtbC54bWxQSwUGAAAAAAYABgBbAQAA&#10;tAMAAAAA&#10;" path="m0,0l0,9748e">
                    <v:fill on="f" focussize="0,0"/>
                    <v:stroke weight="0.48pt" color="#000000" joinstyle="round"/>
                    <v:imagedata o:title=""/>
                    <o:lock v:ext="edit" aspectratio="f"/>
                  </v:shape>
                </v:group>
                <v:group id="_x0000_s1026" o:spid="_x0000_s1026" o:spt="203" style="position:absolute;left:8408;top:5;height:9748;width:2;" coordorigin="8408,5" coordsize="2,974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100" style="position:absolute;left:8408;top:5;height:9748;width:2;" filled="f" stroked="t" coordsize="1,9748" o:gfxdata="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ZnCQLgAAADaAAAA&#10;DwAAAAAAAAABACAAAAAiAAAAZHJzL2Rvd25yZXYueG1sUEsBAhQAFAAAAAgAh07iQDMvBZ47AAAA&#10;OQAAABAAAAAAAAAAAQAgAAAABwEAAGRycy9zaGFwZXhtbC54bWxQSwUGAAAAAAYABgBbAQAAsQMA&#10;AAAA&#10;" path="m0,0l0,9748e">
                    <v:fill on="f" focussize="0,0"/>
                    <v:stroke weight="0.48pt" color="#000000" joinstyle="round"/>
                    <v:imagedata o:title=""/>
                    <o:lock v:ext="edit" aspectratio="f"/>
                  </v:shape>
                  <v:shape id="_x0000_s1026" o:spid="_x0000_s1026" o:spt="202" type="#_x0000_t202" style="position:absolute;left:2220;top:744;height:720;width:3972;"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720" w:lineRule="exact"/>
                            <w:rPr>
                              <w:rFonts w:ascii="黑体" w:hAnsi="黑体" w:eastAsia="黑体" w:cs="黑体"/>
                              <w:sz w:val="72"/>
                              <w:szCs w:val="72"/>
                            </w:rPr>
                          </w:pPr>
                          <w:r>
                            <w:rPr>
                              <w:rFonts w:ascii="黑体" w:hAnsi="黑体" w:eastAsia="黑体" w:cs="黑体"/>
                              <w:b/>
                              <w:bCs/>
                              <w:w w:val="99"/>
                              <w:sz w:val="72"/>
                              <w:szCs w:val="72"/>
                            </w:rPr>
                            <w:t>投</w:t>
                          </w:r>
                          <w:r>
                            <w:rPr>
                              <w:rFonts w:ascii="黑体" w:hAnsi="黑体" w:eastAsia="黑体" w:cs="黑体"/>
                              <w:b/>
                              <w:bCs/>
                              <w:spacing w:val="1"/>
                              <w:sz w:val="72"/>
                              <w:szCs w:val="72"/>
                            </w:rPr>
                            <w:t xml:space="preserve"> </w:t>
                          </w:r>
                          <w:r>
                            <w:rPr>
                              <w:rFonts w:ascii="黑体" w:hAnsi="黑体" w:eastAsia="黑体" w:cs="黑体"/>
                              <w:b/>
                              <w:bCs/>
                              <w:w w:val="99"/>
                              <w:sz w:val="72"/>
                              <w:szCs w:val="72"/>
                            </w:rPr>
                            <w:t>标</w:t>
                          </w:r>
                          <w:r>
                            <w:rPr>
                              <w:rFonts w:ascii="黑体" w:hAnsi="黑体" w:eastAsia="黑体" w:cs="黑体"/>
                              <w:b/>
                              <w:bCs/>
                              <w:spacing w:val="1"/>
                              <w:sz w:val="72"/>
                              <w:szCs w:val="72"/>
                            </w:rPr>
                            <w:t xml:space="preserve"> </w:t>
                          </w:r>
                          <w:r>
                            <w:rPr>
                              <w:rFonts w:ascii="黑体" w:hAnsi="黑体" w:eastAsia="黑体" w:cs="黑体"/>
                              <w:b/>
                              <w:bCs/>
                              <w:w w:val="99"/>
                              <w:sz w:val="72"/>
                              <w:szCs w:val="72"/>
                            </w:rPr>
                            <w:t>文</w:t>
                          </w:r>
                          <w:r>
                            <w:rPr>
                              <w:rFonts w:ascii="黑体" w:hAnsi="黑体" w:eastAsia="黑体" w:cs="黑体"/>
                              <w:b/>
                              <w:bCs/>
                              <w:spacing w:val="-1"/>
                              <w:sz w:val="72"/>
                              <w:szCs w:val="72"/>
                            </w:rPr>
                            <w:t xml:space="preserve"> </w:t>
                          </w:r>
                          <w:r>
                            <w:rPr>
                              <w:rFonts w:ascii="黑体" w:hAnsi="黑体" w:eastAsia="黑体" w:cs="黑体"/>
                              <w:b/>
                              <w:bCs/>
                              <w:w w:val="99"/>
                              <w:sz w:val="72"/>
                              <w:szCs w:val="72"/>
                            </w:rPr>
                            <w:t>件</w:t>
                          </w:r>
                        </w:p>
                      </w:txbxContent>
                    </v:textbox>
                  </v:shape>
                  <v:shape id="_x0000_s1026" o:spid="_x0000_s1026" o:spt="202" type="#_x0000_t202" style="position:absolute;left:3758;top:3123;height:1534;width:521;"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521" w:lineRule="exact"/>
                            <w:rPr>
                              <w:rFonts w:ascii="黑体" w:hAnsi="黑体" w:eastAsia="黑体" w:cs="黑体"/>
                              <w:sz w:val="52"/>
                              <w:szCs w:val="52"/>
                            </w:rPr>
                          </w:pPr>
                          <w:r>
                            <w:rPr>
                              <w:rFonts w:ascii="黑体" w:hAnsi="黑体" w:eastAsia="黑体" w:cs="黑体"/>
                              <w:b/>
                              <w:bCs/>
                              <w:w w:val="99"/>
                              <w:sz w:val="52"/>
                              <w:szCs w:val="52"/>
                            </w:rPr>
                            <w:t>口</w:t>
                          </w:r>
                        </w:p>
                        <w:p>
                          <w:pPr>
                            <w:spacing w:before="332"/>
                            <w:rPr>
                              <w:rFonts w:ascii="黑体" w:hAnsi="黑体" w:eastAsia="黑体" w:cs="黑体"/>
                              <w:sz w:val="52"/>
                              <w:szCs w:val="52"/>
                            </w:rPr>
                          </w:pPr>
                          <w:r>
                            <w:rPr>
                              <w:rFonts w:ascii="黑体" w:hAnsi="黑体" w:eastAsia="黑体" w:cs="黑体"/>
                              <w:b/>
                              <w:bCs/>
                              <w:w w:val="99"/>
                              <w:sz w:val="52"/>
                              <w:szCs w:val="52"/>
                            </w:rPr>
                            <w:t>口</w:t>
                          </w:r>
                        </w:p>
                      </w:txbxContent>
                    </v:textbox>
                  </v:shape>
                  <v:shape id="_x0000_s1026" o:spid="_x0000_s1026" o:spt="202" type="#_x0000_t202" style="position:absolute;left:4541;top:3299;height:319;width:641;"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319" w:lineRule="exact"/>
                            <w:rPr>
                              <w:rFonts w:ascii="黑体" w:hAnsi="黑体" w:eastAsia="黑体" w:cs="黑体"/>
                              <w:sz w:val="32"/>
                              <w:szCs w:val="32"/>
                            </w:rPr>
                          </w:pPr>
                          <w:r>
                            <w:rPr>
                              <w:rFonts w:ascii="黑体" w:hAnsi="黑体" w:eastAsia="黑体" w:cs="黑体"/>
                              <w:b/>
                              <w:bCs/>
                              <w:spacing w:val="2"/>
                              <w:w w:val="99"/>
                              <w:sz w:val="32"/>
                              <w:szCs w:val="32"/>
                            </w:rPr>
                            <w:t>正</w:t>
                          </w:r>
                          <w:r>
                            <w:rPr>
                              <w:rFonts w:ascii="黑体" w:hAnsi="黑体" w:eastAsia="黑体" w:cs="黑体"/>
                              <w:b/>
                              <w:bCs/>
                              <w:w w:val="99"/>
                              <w:sz w:val="32"/>
                              <w:szCs w:val="32"/>
                            </w:rPr>
                            <w:t>本</w:t>
                          </w:r>
                        </w:p>
                      </w:txbxContent>
                    </v:textbox>
                  </v:shape>
                  <v:shape id="_x0000_s1026" o:spid="_x0000_s1026" o:spt="202" type="#_x0000_t202" style="position:absolute;left:4541;top:4312;height:319;width:641;"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19" w:lineRule="exact"/>
                            <w:rPr>
                              <w:rFonts w:ascii="黑体" w:hAnsi="黑体" w:eastAsia="黑体" w:cs="黑体"/>
                              <w:sz w:val="32"/>
                              <w:szCs w:val="32"/>
                            </w:rPr>
                          </w:pPr>
                          <w:r>
                            <w:rPr>
                              <w:rFonts w:ascii="黑体" w:hAnsi="黑体" w:eastAsia="黑体" w:cs="黑体"/>
                              <w:b/>
                              <w:bCs/>
                              <w:spacing w:val="2"/>
                              <w:w w:val="99"/>
                              <w:sz w:val="32"/>
                              <w:szCs w:val="32"/>
                            </w:rPr>
                            <w:t>副</w:t>
                          </w:r>
                          <w:r>
                            <w:rPr>
                              <w:rFonts w:ascii="黑体" w:hAnsi="黑体" w:eastAsia="黑体" w:cs="黑体"/>
                              <w:b/>
                              <w:bCs/>
                              <w:w w:val="99"/>
                              <w:sz w:val="32"/>
                              <w:szCs w:val="32"/>
                            </w:rPr>
                            <w:t>本</w:t>
                          </w:r>
                        </w:p>
                      </w:txbxContent>
                    </v:textbox>
                  </v:shape>
                  <v:shape id="_x0000_s1026" o:spid="_x0000_s1026" o:spt="202" type="#_x0000_t202" style="position:absolute;left:1130;top:6396;height:1481;width:4217;"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rFonts w:ascii="仿宋_GB2312" w:hAnsi="仿宋_GB2312" w:eastAsia="仿宋_GB2312" w:cs="仿宋_GB2312"/>
                              <w:sz w:val="28"/>
                              <w:szCs w:val="28"/>
                            </w:rPr>
                          </w:pPr>
                          <w:r>
                            <w:rPr>
                              <w:rFonts w:ascii="仿宋_GB2312" w:hAnsi="仿宋_GB2312" w:eastAsia="仿宋_GB2312" w:cs="仿宋_GB2312"/>
                              <w:b/>
                              <w:bCs/>
                              <w:spacing w:val="-1"/>
                              <w:w w:val="99"/>
                              <w:sz w:val="28"/>
                              <w:szCs w:val="28"/>
                            </w:rPr>
                            <w:t>项目名称</w:t>
                          </w:r>
                          <w:r>
                            <w:rPr>
                              <w:rFonts w:ascii="仿宋_GB2312" w:hAnsi="仿宋_GB2312" w:eastAsia="仿宋_GB2312" w:cs="仿宋_GB2312"/>
                              <w:b/>
                              <w:bCs/>
                              <w:spacing w:val="2"/>
                              <w:w w:val="99"/>
                              <w:sz w:val="28"/>
                              <w:szCs w:val="28"/>
                            </w:rPr>
                            <w:t>：</w:t>
                          </w:r>
                          <w:r>
                            <w:rPr>
                              <w:rFonts w:ascii="仿宋_GB2312" w:hAnsi="仿宋_GB2312" w:eastAsia="仿宋_GB2312" w:cs="仿宋_GB2312"/>
                              <w:sz w:val="28"/>
                              <w:szCs w:val="28"/>
                            </w:rPr>
                            <w:t xml:space="preserve"> </w:t>
                          </w:r>
                        </w:p>
                        <w:p>
                          <w:pPr>
                            <w:spacing w:before="39" w:line="400" w:lineRule="exact"/>
                            <w:ind w:right="2527"/>
                            <w:rPr>
                              <w:rFonts w:ascii="仿宋_GB2312" w:hAnsi="仿宋_GB2312" w:eastAsia="仿宋_GB2312" w:cs="仿宋_GB2312"/>
                              <w:sz w:val="28"/>
                              <w:szCs w:val="28"/>
                            </w:rPr>
                          </w:pPr>
                          <w:r>
                            <w:rPr>
                              <w:rFonts w:ascii="仿宋_GB2312" w:hAnsi="仿宋_GB2312" w:eastAsia="仿宋_GB2312" w:cs="仿宋_GB2312"/>
                              <w:b/>
                              <w:bCs/>
                              <w:spacing w:val="-1"/>
                              <w:w w:val="99"/>
                              <w:sz w:val="28"/>
                              <w:szCs w:val="28"/>
                            </w:rPr>
                            <w:t>项目编号</w:t>
                          </w:r>
                          <w:r>
                            <w:rPr>
                              <w:rFonts w:ascii="仿宋_GB2312" w:hAnsi="仿宋_GB2312" w:eastAsia="仿宋_GB2312" w:cs="仿宋_GB2312"/>
                              <w:b/>
                              <w:bCs/>
                              <w:w w:val="99"/>
                              <w:sz w:val="28"/>
                              <w:szCs w:val="28"/>
                            </w:rPr>
                            <w:t xml:space="preserve">： </w:t>
                          </w:r>
                          <w:r>
                            <w:rPr>
                              <w:rFonts w:ascii="仿宋_GB2312" w:hAnsi="仿宋_GB2312" w:eastAsia="仿宋_GB2312" w:cs="仿宋_GB2312"/>
                              <w:b/>
                              <w:bCs/>
                              <w:spacing w:val="-1"/>
                              <w:w w:val="99"/>
                              <w:sz w:val="28"/>
                              <w:szCs w:val="28"/>
                            </w:rPr>
                            <w:t>投标人名</w:t>
                          </w:r>
                          <w:r>
                            <w:rPr>
                              <w:rFonts w:ascii="仿宋_GB2312" w:hAnsi="仿宋_GB2312" w:eastAsia="仿宋_GB2312" w:cs="仿宋_GB2312"/>
                              <w:b/>
                              <w:bCs/>
                              <w:spacing w:val="2"/>
                              <w:w w:val="99"/>
                              <w:sz w:val="28"/>
                              <w:szCs w:val="28"/>
                            </w:rPr>
                            <w:t>称</w:t>
                          </w:r>
                          <w:r>
                            <w:rPr>
                              <w:rFonts w:ascii="仿宋_GB2312" w:hAnsi="仿宋_GB2312" w:eastAsia="仿宋_GB2312" w:cs="仿宋_GB2312"/>
                              <w:b/>
                              <w:bCs/>
                              <w:w w:val="99"/>
                              <w:sz w:val="28"/>
                              <w:szCs w:val="28"/>
                            </w:rPr>
                            <w:t xml:space="preserve">： </w:t>
                          </w:r>
                          <w:r>
                            <w:rPr>
                              <w:rFonts w:ascii="仿宋_GB2312" w:hAnsi="仿宋_GB2312" w:eastAsia="仿宋_GB2312" w:cs="仿宋_GB2312"/>
                              <w:b/>
                              <w:bCs/>
                              <w:spacing w:val="-1"/>
                              <w:w w:val="99"/>
                              <w:sz w:val="28"/>
                              <w:szCs w:val="28"/>
                            </w:rPr>
                            <w:t>投标人地</w:t>
                          </w:r>
                          <w:r>
                            <w:rPr>
                              <w:rFonts w:ascii="仿宋_GB2312" w:hAnsi="仿宋_GB2312" w:eastAsia="仿宋_GB2312" w:cs="仿宋_GB2312"/>
                              <w:b/>
                              <w:bCs/>
                              <w:spacing w:val="2"/>
                              <w:w w:val="99"/>
                              <w:sz w:val="28"/>
                              <w:szCs w:val="28"/>
                            </w:rPr>
                            <w:t>址</w:t>
                          </w:r>
                          <w:r>
                            <w:rPr>
                              <w:rFonts w:ascii="仿宋_GB2312" w:hAnsi="仿宋_GB2312" w:eastAsia="仿宋_GB2312" w:cs="仿宋_GB2312"/>
                              <w:b/>
                              <w:bCs/>
                              <w:w w:val="99"/>
                              <w:sz w:val="28"/>
                              <w:szCs w:val="28"/>
                            </w:rPr>
                            <w:t>：</w:t>
                          </w:r>
                        </w:p>
                      </w:txbxContent>
                    </v:textbox>
                  </v:shape>
                  <v:shape id="_x0000_s1026" o:spid="_x0000_s1026" o:spt="202" type="#_x0000_t202" style="position:absolute;left:960;top:9156;height:297;width:6188;"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703"/>
                              <w:tab w:val="left" w:pos="1545"/>
                              <w:tab w:val="left" w:pos="2390"/>
                              <w:tab w:val="left" w:pos="3232"/>
                              <w:tab w:val="left" w:pos="4077"/>
                            </w:tabs>
                            <w:spacing w:line="281" w:lineRule="exact"/>
                            <w:rPr>
                              <w:rFonts w:ascii="仿宋_GB2312" w:hAnsi="仿宋_GB2312" w:eastAsia="仿宋_GB2312" w:cs="仿宋_GB2312"/>
                              <w:sz w:val="28"/>
                              <w:szCs w:val="28"/>
                            </w:rPr>
                          </w:pPr>
                          <w:r>
                            <w:rPr>
                              <w:rFonts w:ascii="仿宋_GB2312" w:hAnsi="仿宋_GB2312" w:eastAsia="仿宋_GB2312" w:cs="仿宋_GB2312"/>
                              <w:b/>
                              <w:bCs/>
                              <w:spacing w:val="1"/>
                              <w:w w:val="99"/>
                              <w:sz w:val="28"/>
                              <w:szCs w:val="28"/>
                            </w:rPr>
                            <w:t>(</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年</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2"/>
                              <w:w w:val="99"/>
                              <w:sz w:val="28"/>
                              <w:szCs w:val="28"/>
                            </w:rPr>
                            <w:t>月</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日</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时</w:t>
                          </w:r>
                          <w:r>
                            <w:rPr>
                              <w:rFonts w:ascii="Times New Roman" w:hAnsi="Times New Roman" w:eastAsia="Times New Roman"/>
                              <w:b/>
                              <w:bCs/>
                              <w:sz w:val="28"/>
                              <w:szCs w:val="28"/>
                              <w:u w:val="single" w:color="000000"/>
                            </w:rPr>
                            <w:t xml:space="preserve"> </w:t>
                          </w:r>
                          <w:r>
                            <w:rPr>
                              <w:rFonts w:ascii="Times New Roman" w:hAnsi="Times New Roman" w:eastAsia="Times New Roman"/>
                              <w:b/>
                              <w:bCs/>
                              <w:sz w:val="28"/>
                              <w:szCs w:val="28"/>
                              <w:u w:val="single" w:color="000000"/>
                            </w:rPr>
                            <w:tab/>
                          </w:r>
                          <w:r>
                            <w:rPr>
                              <w:rFonts w:ascii="仿宋_GB2312" w:hAnsi="仿宋_GB2312" w:eastAsia="仿宋_GB2312" w:cs="仿宋_GB2312"/>
                              <w:b/>
                              <w:bCs/>
                              <w:spacing w:val="-1"/>
                              <w:w w:val="99"/>
                              <w:sz w:val="28"/>
                              <w:szCs w:val="28"/>
                            </w:rPr>
                            <w:t>分</w:t>
                          </w:r>
                          <w:r>
                            <w:rPr>
                              <w:rFonts w:ascii="仿宋_GB2312" w:hAnsi="仿宋_GB2312" w:eastAsia="仿宋_GB2312" w:cs="仿宋_GB2312"/>
                              <w:b/>
                              <w:bCs/>
                              <w:spacing w:val="1"/>
                              <w:w w:val="99"/>
                              <w:sz w:val="28"/>
                              <w:szCs w:val="28"/>
                            </w:rPr>
                            <w:t>)</w:t>
                          </w:r>
                          <w:r>
                            <w:rPr>
                              <w:rFonts w:ascii="仿宋_GB2312" w:hAnsi="仿宋_GB2312" w:eastAsia="仿宋_GB2312" w:cs="仿宋_GB2312"/>
                              <w:b/>
                              <w:bCs/>
                              <w:spacing w:val="-1"/>
                              <w:w w:val="99"/>
                              <w:sz w:val="28"/>
                              <w:szCs w:val="28"/>
                            </w:rPr>
                            <w:t>之前不得</w:t>
                          </w:r>
                          <w:r>
                            <w:rPr>
                              <w:rFonts w:ascii="仿宋_GB2312" w:hAnsi="仿宋_GB2312" w:eastAsia="仿宋_GB2312" w:cs="仿宋_GB2312"/>
                              <w:b/>
                              <w:bCs/>
                              <w:spacing w:val="2"/>
                              <w:w w:val="99"/>
                              <w:sz w:val="28"/>
                              <w:szCs w:val="28"/>
                            </w:rPr>
                            <w:t>启</w:t>
                          </w:r>
                          <w:r>
                            <w:rPr>
                              <w:rFonts w:ascii="仿宋_GB2312" w:hAnsi="仿宋_GB2312" w:eastAsia="仿宋_GB2312" w:cs="仿宋_GB2312"/>
                              <w:b/>
                              <w:bCs/>
                              <w:w w:val="99"/>
                              <w:sz w:val="28"/>
                              <w:szCs w:val="28"/>
                            </w:rPr>
                            <w:t>封</w:t>
                          </w:r>
                        </w:p>
                      </w:txbxContent>
                    </v:textbox>
                  </v:shape>
                </v:group>
                <w10:wrap type="none"/>
                <w10:anchorlock/>
              </v:group>
            </w:pict>
          </mc:Fallback>
        </mc:AlternateContent>
      </w:r>
    </w:p>
    <w:p>
      <w:pPr>
        <w:spacing w:line="9762" w:lineRule="exact"/>
        <w:rPr>
          <w:rFonts w:ascii="宋体" w:hAnsi="宋体" w:cs="宋体"/>
          <w:sz w:val="20"/>
        </w:rPr>
        <w:sectPr>
          <w:pgSz w:w="11910" w:h="16840"/>
          <w:pgMar w:top="1380" w:right="1680" w:bottom="1140" w:left="1580" w:header="0" w:footer="958" w:gutter="0"/>
          <w:cols w:space="720" w:num="1"/>
        </w:sectPr>
      </w:pPr>
    </w:p>
    <w:p>
      <w:pPr>
        <w:spacing w:line="362" w:lineRule="exact"/>
        <w:ind w:left="60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1</w:t>
      </w:r>
    </w:p>
    <w:p>
      <w:pPr>
        <w:spacing w:before="11"/>
        <w:rPr>
          <w:rFonts w:ascii="黑体" w:hAnsi="黑体" w:eastAsia="黑体" w:cs="黑体"/>
          <w:sz w:val="33"/>
          <w:szCs w:val="33"/>
        </w:rPr>
      </w:pPr>
      <w:r>
        <w:br w:type="column"/>
      </w:r>
    </w:p>
    <w:p>
      <w:pPr>
        <w:ind w:left="600"/>
        <w:rPr>
          <w:rFonts w:ascii="宋体" w:hAnsi="宋体" w:cs="宋体"/>
          <w:sz w:val="24"/>
          <w:szCs w:val="24"/>
        </w:rPr>
      </w:pPr>
      <w:r>
        <w:rPr>
          <w:rFonts w:ascii="宋体" w:hAnsi="宋体" w:cs="宋体"/>
          <w:b/>
          <w:bCs/>
          <w:sz w:val="24"/>
          <w:szCs w:val="24"/>
        </w:rPr>
        <w:t>评审要素投标资料表</w:t>
      </w:r>
    </w:p>
    <w:p>
      <w:pPr>
        <w:rPr>
          <w:rFonts w:ascii="宋体" w:hAnsi="宋体" w:cs="宋体"/>
          <w:sz w:val="24"/>
          <w:szCs w:val="24"/>
        </w:rPr>
        <w:sectPr>
          <w:pgSz w:w="11910" w:h="16840"/>
          <w:pgMar w:top="1420" w:right="1180" w:bottom="1140" w:left="1200" w:header="0" w:footer="958" w:gutter="0"/>
          <w:cols w:equalWidth="0" w:num="2">
            <w:col w:w="1370" w:space="1510"/>
            <w:col w:w="6650"/>
          </w:cols>
        </w:sectPr>
      </w:pPr>
    </w:p>
    <w:p>
      <w:pPr>
        <w:spacing w:before="6"/>
        <w:rPr>
          <w:rFonts w:ascii="宋体" w:hAnsi="宋体" w:cs="宋体"/>
          <w:b/>
          <w:bCs/>
          <w:sz w:val="3"/>
          <w:szCs w:val="3"/>
        </w:rPr>
      </w:pPr>
    </w:p>
    <w:tbl>
      <w:tblPr>
        <w:tblStyle w:val="15"/>
        <w:tblW w:w="0" w:type="auto"/>
        <w:tblInd w:w="104" w:type="dxa"/>
        <w:tblLayout w:type="fixed"/>
        <w:tblCellMar>
          <w:top w:w="0" w:type="dxa"/>
          <w:left w:w="0" w:type="dxa"/>
          <w:bottom w:w="0" w:type="dxa"/>
          <w:right w:w="0" w:type="dxa"/>
        </w:tblCellMar>
      </w:tblPr>
      <w:tblGrid>
        <w:gridCol w:w="2192"/>
        <w:gridCol w:w="4936"/>
        <w:gridCol w:w="2160"/>
      </w:tblGrid>
      <w:tr>
        <w:tblPrEx>
          <w:tblCellMar>
            <w:top w:w="0" w:type="dxa"/>
            <w:left w:w="0" w:type="dxa"/>
            <w:bottom w:w="0" w:type="dxa"/>
            <w:right w:w="0" w:type="dxa"/>
          </w:tblCellMar>
        </w:tblPrEx>
        <w:trPr>
          <w:trHeight w:val="539"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26"/>
              <w:ind w:left="563"/>
              <w:rPr>
                <w:rFonts w:ascii="宋体" w:hAnsi="宋体" w:cs="宋体"/>
                <w:szCs w:val="21"/>
              </w:rPr>
            </w:pPr>
            <w:r>
              <w:rPr>
                <w:rFonts w:ascii="宋体" w:hAnsi="宋体" w:cs="宋体"/>
                <w:b/>
                <w:bCs/>
                <w:szCs w:val="21"/>
              </w:rPr>
              <w:t>技术评分项</w:t>
            </w:r>
          </w:p>
        </w:tc>
        <w:tc>
          <w:tcPr>
            <w:tcW w:w="4936"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26"/>
              <w:ind w:right="3"/>
              <w:jc w:val="center"/>
              <w:rPr>
                <w:rFonts w:ascii="宋体" w:hAnsi="宋体" w:cs="宋体"/>
                <w:szCs w:val="21"/>
              </w:rPr>
            </w:pPr>
            <w:r>
              <w:rPr>
                <w:rFonts w:ascii="宋体" w:hAnsi="宋体" w:cs="宋体"/>
                <w:b/>
                <w:bCs/>
                <w:szCs w:val="21"/>
              </w:rPr>
              <w:t>技术评审细则</w:t>
            </w: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26"/>
              <w:ind w:left="654"/>
              <w:rPr>
                <w:rFonts w:ascii="宋体" w:hAnsi="宋体" w:cs="宋体"/>
                <w:szCs w:val="21"/>
              </w:rPr>
            </w:pPr>
            <w:r>
              <w:rPr>
                <w:rFonts w:ascii="宋体" w:hAnsi="宋体" w:cs="宋体"/>
                <w:b/>
                <w:bCs/>
                <w:szCs w:val="21"/>
              </w:rPr>
              <w:t>证明文件</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5"/>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6"/>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4"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6"/>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6"/>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4"/>
              <w:ind w:left="102"/>
              <w:rPr>
                <w:rFonts w:ascii="宋体" w:hAnsi="宋体" w:cs="宋体"/>
                <w:szCs w:val="21"/>
              </w:rPr>
            </w:pPr>
            <w:r>
              <w:rPr>
                <w:rFonts w:ascii="宋体" w:hAnsi="宋体" w:cs="宋体"/>
                <w:szCs w:val="21"/>
              </w:rPr>
              <w:t>……</w:t>
            </w:r>
          </w:p>
        </w:tc>
        <w:tc>
          <w:tcPr>
            <w:tcW w:w="4936"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4"/>
              <w:ind w:left="113"/>
              <w:rPr>
                <w:rFonts w:ascii="宋体" w:hAnsi="宋体" w:cs="宋体"/>
                <w:szCs w:val="21"/>
              </w:rPr>
            </w:pPr>
            <w:r>
              <w:rPr>
                <w:rFonts w:ascii="宋体" w:hAnsi="宋体" w:cs="宋体"/>
                <w:szCs w:val="21"/>
              </w:rPr>
              <w:t>……</w:t>
            </w: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4"/>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5"/>
              <w:ind w:left="522"/>
              <w:rPr>
                <w:rFonts w:ascii="宋体" w:hAnsi="宋体" w:cs="宋体"/>
                <w:szCs w:val="21"/>
              </w:rPr>
            </w:pPr>
            <w:r>
              <w:rPr>
                <w:rFonts w:ascii="宋体" w:hAnsi="宋体" w:cs="宋体"/>
                <w:b/>
                <w:bCs/>
                <w:szCs w:val="21"/>
              </w:rPr>
              <w:t>商务评分项</w:t>
            </w:r>
          </w:p>
        </w:tc>
        <w:tc>
          <w:tcPr>
            <w:tcW w:w="4936"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5"/>
              <w:ind w:right="75"/>
              <w:jc w:val="center"/>
              <w:rPr>
                <w:rFonts w:ascii="宋体" w:hAnsi="宋体" w:cs="宋体"/>
                <w:szCs w:val="21"/>
              </w:rPr>
            </w:pPr>
            <w:r>
              <w:rPr>
                <w:rFonts w:ascii="宋体" w:hAnsi="宋体" w:cs="宋体"/>
                <w:b/>
                <w:bCs/>
                <w:szCs w:val="21"/>
              </w:rPr>
              <w:t>商务评审细则</w:t>
            </w: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5"/>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6"/>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4"/>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5"/>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tc>
        <w:tc>
          <w:tcPr>
            <w:tcW w:w="4936" w:type="dxa"/>
            <w:tcBorders>
              <w:top w:val="single" w:color="000000" w:sz="4" w:space="0"/>
              <w:left w:val="single" w:color="000000" w:sz="4" w:space="0"/>
              <w:bottom w:val="single" w:color="000000" w:sz="4" w:space="0"/>
              <w:right w:val="single" w:color="000000" w:sz="4" w:space="0"/>
            </w:tcBorders>
            <w:noWrap w:val="0"/>
            <w:vAlign w:val="top"/>
          </w:tc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6"/>
              <w:ind w:left="102"/>
              <w:rPr>
                <w:rFonts w:ascii="宋体" w:hAnsi="宋体" w:cs="宋体"/>
                <w:szCs w:val="21"/>
              </w:rPr>
            </w:pPr>
            <w:r>
              <w:rPr>
                <w:rFonts w:ascii="宋体" w:hAnsi="宋体" w:cs="宋体"/>
                <w:szCs w:val="21"/>
              </w:rPr>
              <w:t>见投标文件第（）页</w:t>
            </w:r>
          </w:p>
        </w:tc>
      </w:tr>
      <w:tr>
        <w:tblPrEx>
          <w:tblCellMar>
            <w:top w:w="0" w:type="dxa"/>
            <w:left w:w="0" w:type="dxa"/>
            <w:bottom w:w="0" w:type="dxa"/>
            <w:right w:w="0" w:type="dxa"/>
          </w:tblCellMar>
        </w:tblPrEx>
        <w:trPr>
          <w:trHeight w:val="520" w:hRule="exact"/>
        </w:trPr>
        <w:tc>
          <w:tcPr>
            <w:tcW w:w="2192"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4"/>
              <w:ind w:left="102"/>
              <w:rPr>
                <w:rFonts w:ascii="宋体" w:hAnsi="宋体" w:cs="宋体"/>
                <w:szCs w:val="21"/>
              </w:rPr>
            </w:pPr>
            <w:r>
              <w:rPr>
                <w:rFonts w:ascii="宋体" w:hAnsi="宋体" w:cs="宋体"/>
                <w:szCs w:val="21"/>
              </w:rPr>
              <w:t>……</w:t>
            </w:r>
          </w:p>
        </w:tc>
        <w:tc>
          <w:tcPr>
            <w:tcW w:w="4936"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4"/>
              <w:ind w:left="113"/>
              <w:rPr>
                <w:rFonts w:ascii="宋体" w:hAnsi="宋体" w:cs="宋体"/>
                <w:szCs w:val="21"/>
              </w:rPr>
            </w:pPr>
            <w:r>
              <w:rPr>
                <w:rFonts w:ascii="宋体" w:hAnsi="宋体" w:cs="宋体"/>
                <w:szCs w:val="21"/>
              </w:rPr>
              <w:t>……</w:t>
            </w: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14"/>
              <w:ind w:left="102"/>
              <w:rPr>
                <w:rFonts w:ascii="宋体" w:hAnsi="宋体" w:cs="宋体"/>
                <w:szCs w:val="21"/>
              </w:rPr>
            </w:pPr>
            <w:r>
              <w:rPr>
                <w:rFonts w:ascii="宋体" w:hAnsi="宋体" w:cs="宋体"/>
                <w:szCs w:val="21"/>
              </w:rPr>
              <w:t>见投标文件第（）页</w:t>
            </w:r>
          </w:p>
        </w:tc>
      </w:tr>
    </w:tbl>
    <w:p>
      <w:pPr>
        <w:pStyle w:val="10"/>
        <w:spacing w:line="240" w:lineRule="exact"/>
        <w:ind w:left="600"/>
      </w:pPr>
      <w:r>
        <w:t>注：1、投标供应商应根据《技术评分表》《商务评分表》的各项内容填写此表，表格可延</w:t>
      </w:r>
    </w:p>
    <w:p>
      <w:pPr>
        <w:pStyle w:val="10"/>
        <w:spacing w:before="135" w:line="355" w:lineRule="auto"/>
        <w:ind w:left="600" w:right="6111"/>
      </w:pPr>
      <w:r>
        <w:t>长。</w:t>
      </w:r>
      <w:r>
        <w:rPr>
          <w:w w:val="99"/>
        </w:rPr>
        <w:t xml:space="preserve"> </w:t>
      </w:r>
      <w:r>
        <w:t>2、按评审项的顺序填写。</w:t>
      </w:r>
    </w:p>
    <w:p>
      <w:pPr>
        <w:spacing w:line="355" w:lineRule="auto"/>
        <w:sectPr>
          <w:type w:val="continuous"/>
          <w:pgSz w:w="11910" w:h="16840"/>
          <w:pgMar w:top="1580" w:right="1180" w:bottom="280" w:left="1200" w:header="720" w:footer="720" w:gutter="0"/>
          <w:cols w:space="720" w:num="1"/>
        </w:sectPr>
      </w:pPr>
    </w:p>
    <w:p>
      <w:pPr>
        <w:spacing w:line="355" w:lineRule="exact"/>
        <w:ind w:left="12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2</w:t>
      </w:r>
    </w:p>
    <w:p>
      <w:pPr>
        <w:spacing w:before="5"/>
        <w:rPr>
          <w:rFonts w:ascii="黑体" w:hAnsi="黑体" w:eastAsia="黑体" w:cs="黑体"/>
          <w:sz w:val="27"/>
          <w:szCs w:val="27"/>
        </w:rPr>
      </w:pPr>
      <w:r>
        <w:br w:type="column"/>
      </w:r>
    </w:p>
    <w:p>
      <w:pPr>
        <w:tabs>
          <w:tab w:val="left" w:pos="681"/>
          <w:tab w:val="left" w:pos="1240"/>
        </w:tabs>
        <w:ind w:left="120"/>
        <w:rPr>
          <w:rFonts w:ascii="宋体" w:hAnsi="宋体" w:cs="宋体"/>
          <w:sz w:val="28"/>
          <w:szCs w:val="28"/>
        </w:rPr>
      </w:pPr>
      <w:r>
        <w:rPr>
          <w:rFonts w:ascii="宋体" w:hAnsi="宋体" w:cs="宋体"/>
          <w:b/>
          <w:bCs/>
          <w:w w:val="95"/>
          <w:sz w:val="28"/>
          <w:szCs w:val="28"/>
        </w:rPr>
        <w:t>投</w:t>
      </w:r>
      <w:r>
        <w:rPr>
          <w:rFonts w:ascii="宋体" w:hAnsi="宋体" w:cs="宋体"/>
          <w:b/>
          <w:bCs/>
          <w:w w:val="95"/>
          <w:sz w:val="28"/>
          <w:szCs w:val="28"/>
        </w:rPr>
        <w:tab/>
      </w:r>
      <w:r>
        <w:rPr>
          <w:rFonts w:ascii="宋体" w:hAnsi="宋体" w:cs="宋体"/>
          <w:b/>
          <w:bCs/>
          <w:w w:val="95"/>
          <w:sz w:val="28"/>
          <w:szCs w:val="28"/>
        </w:rPr>
        <w:t>标</w:t>
      </w:r>
      <w:r>
        <w:rPr>
          <w:rFonts w:ascii="宋体" w:hAnsi="宋体" w:cs="宋体"/>
          <w:b/>
          <w:bCs/>
          <w:w w:val="95"/>
          <w:sz w:val="28"/>
          <w:szCs w:val="28"/>
        </w:rPr>
        <w:tab/>
      </w:r>
      <w:r>
        <w:rPr>
          <w:rFonts w:ascii="宋体" w:hAnsi="宋体" w:cs="宋体"/>
          <w:b/>
          <w:bCs/>
          <w:sz w:val="28"/>
          <w:szCs w:val="28"/>
        </w:rPr>
        <w:t>函</w:t>
      </w:r>
    </w:p>
    <w:p>
      <w:pPr>
        <w:rPr>
          <w:rFonts w:ascii="宋体" w:hAnsi="宋体" w:cs="宋体"/>
          <w:sz w:val="28"/>
          <w:szCs w:val="28"/>
        </w:rPr>
        <w:sectPr>
          <w:pgSz w:w="11910" w:h="16840"/>
          <w:pgMar w:top="1460" w:right="1580" w:bottom="1140" w:left="1680" w:header="0" w:footer="958" w:gutter="0"/>
          <w:cols w:equalWidth="0" w:num="2">
            <w:col w:w="890" w:space="2561"/>
            <w:col w:w="5199"/>
          </w:cols>
        </w:sectPr>
      </w:pPr>
    </w:p>
    <w:p>
      <w:pPr>
        <w:spacing w:before="5"/>
        <w:rPr>
          <w:rFonts w:ascii="宋体" w:hAnsi="宋体" w:cs="宋体"/>
          <w:b/>
          <w:bCs/>
        </w:rPr>
      </w:pPr>
    </w:p>
    <w:p>
      <w:pPr>
        <w:pStyle w:val="10"/>
        <w:spacing w:after="0" w:line="360" w:lineRule="auto"/>
        <w:ind w:firstLine="420" w:firstLineChars="200"/>
      </w:pPr>
      <w:r>
        <w:t>致：广东省消防救援总队</w:t>
      </w:r>
    </w:p>
    <w:p>
      <w:pPr>
        <w:pStyle w:val="10"/>
        <w:tabs>
          <w:tab w:val="left" w:pos="7447"/>
        </w:tabs>
        <w:spacing w:after="0" w:line="360" w:lineRule="auto"/>
        <w:ind w:firstLine="420" w:firstLineChars="200"/>
      </w:pPr>
      <w:r>
        <w:t>我</w:t>
      </w:r>
      <w:r>
        <w:rPr>
          <w:spacing w:val="-66"/>
        </w:rPr>
        <w:t xml:space="preserve"> </w:t>
      </w:r>
      <w:r>
        <w:t>方</w:t>
      </w:r>
      <w:r>
        <w:rPr>
          <w:spacing w:val="-66"/>
        </w:rPr>
        <w:t xml:space="preserve"> </w:t>
      </w:r>
      <w:r>
        <w:t>收</w:t>
      </w:r>
      <w:r>
        <w:rPr>
          <w:spacing w:val="-66"/>
        </w:rPr>
        <w:t xml:space="preserve"> </w:t>
      </w:r>
      <w:r>
        <w:t>到</w:t>
      </w:r>
      <w:r>
        <w:rPr>
          <w:spacing w:val="-63"/>
        </w:rPr>
        <w:t xml:space="preserve"> </w:t>
      </w:r>
      <w:r>
        <w:t>贵</w:t>
      </w:r>
      <w:r>
        <w:rPr>
          <w:spacing w:val="-66"/>
        </w:rPr>
        <w:t xml:space="preserve"> </w:t>
      </w:r>
      <w:r>
        <w:t>方</w:t>
      </w:r>
      <w:r>
        <w:rPr>
          <w:spacing w:val="-66"/>
        </w:rPr>
        <w:t xml:space="preserve"> </w:t>
      </w:r>
      <w:r>
        <w:t>关</w:t>
      </w:r>
      <w:r>
        <w:rPr>
          <w:spacing w:val="-66"/>
        </w:rPr>
        <w:t xml:space="preserve"> </w:t>
      </w:r>
      <w:r>
        <w:t xml:space="preserve">于  </w:t>
      </w:r>
      <w:r>
        <w:rPr>
          <w:spacing w:val="16"/>
        </w:rPr>
        <w:t xml:space="preserve"> </w:t>
      </w:r>
      <w:r>
        <w:rPr>
          <w:u w:val="single" w:color="000000"/>
        </w:rPr>
        <w:t xml:space="preserve">（项目名称）  </w:t>
      </w:r>
      <w:r>
        <w:rPr>
          <w:spacing w:val="57"/>
          <w:u w:val="single" w:color="000000"/>
        </w:rPr>
        <w:t xml:space="preserve"> </w:t>
      </w:r>
      <w:r>
        <w:t>（</w:t>
      </w:r>
      <w:r>
        <w:rPr>
          <w:spacing w:val="-66"/>
        </w:rPr>
        <w:t xml:space="preserve"> </w:t>
      </w:r>
      <w:r>
        <w:t>项</w:t>
      </w:r>
      <w:r>
        <w:rPr>
          <w:spacing w:val="-66"/>
        </w:rPr>
        <w:t xml:space="preserve"> </w:t>
      </w:r>
      <w:r>
        <w:t>目</w:t>
      </w:r>
      <w:r>
        <w:rPr>
          <w:spacing w:val="-66"/>
        </w:rPr>
        <w:t xml:space="preserve"> </w:t>
      </w:r>
      <w:r>
        <w:t>编</w:t>
      </w:r>
      <w:r>
        <w:rPr>
          <w:spacing w:val="-66"/>
        </w:rPr>
        <w:t xml:space="preserve"> </w:t>
      </w:r>
      <w:r>
        <w:t>号</w:t>
      </w:r>
      <w:r>
        <w:rPr>
          <w:spacing w:val="-63"/>
        </w:rPr>
        <w:t xml:space="preserve"> </w:t>
      </w:r>
      <w:r>
        <w:rPr>
          <w:spacing w:val="16"/>
        </w:rPr>
        <w:t>：</w:t>
      </w:r>
      <w:r>
        <w:rPr>
          <w:rFonts w:ascii="Times New Roman" w:hAnsi="Times New Roman" w:eastAsia="Times New Roman"/>
          <w:spacing w:val="16"/>
          <w:u w:val="single" w:color="000000"/>
        </w:rPr>
        <w:tab/>
      </w:r>
      <w:r>
        <w:t>）</w:t>
      </w:r>
      <w:r>
        <w:rPr>
          <w:spacing w:val="-87"/>
        </w:rPr>
        <w:t xml:space="preserve"> </w:t>
      </w:r>
      <w:r>
        <w:t>的</w:t>
      </w:r>
      <w:r>
        <w:rPr>
          <w:spacing w:val="-67"/>
        </w:rPr>
        <w:t xml:space="preserve"> </w:t>
      </w:r>
      <w:r>
        <w:t>遴</w:t>
      </w:r>
      <w:r>
        <w:rPr>
          <w:spacing w:val="-67"/>
        </w:rPr>
        <w:t xml:space="preserve"> </w:t>
      </w:r>
      <w:r>
        <w:t>选</w:t>
      </w:r>
      <w:r>
        <w:rPr>
          <w:w w:val="99"/>
        </w:rPr>
        <w:t xml:space="preserve"> </w:t>
      </w:r>
      <w:r>
        <w:t>采</w:t>
      </w:r>
      <w:r>
        <w:rPr>
          <w:spacing w:val="-74"/>
        </w:rPr>
        <w:t xml:space="preserve"> </w:t>
      </w:r>
      <w:r>
        <w:t>购</w:t>
      </w:r>
      <w:r>
        <w:rPr>
          <w:spacing w:val="-74"/>
        </w:rPr>
        <w:t xml:space="preserve"> </w:t>
      </w:r>
      <w:r>
        <w:t>文</w:t>
      </w:r>
      <w:r>
        <w:rPr>
          <w:spacing w:val="-74"/>
        </w:rPr>
        <w:t xml:space="preserve"> </w:t>
      </w:r>
      <w:r>
        <w:t>件</w:t>
      </w:r>
      <w:r>
        <w:rPr>
          <w:spacing w:val="-74"/>
        </w:rPr>
        <w:t xml:space="preserve"> </w:t>
      </w:r>
      <w:r>
        <w:t>，</w:t>
      </w:r>
      <w:r>
        <w:rPr>
          <w:spacing w:val="-81"/>
        </w:rPr>
        <w:t xml:space="preserve"> </w:t>
      </w:r>
      <w:r>
        <w:t>我方完全理解遴选采购文件的所有内容，现决定投标本项目，据此我方承诺</w:t>
      </w:r>
      <w:r>
        <w:rPr>
          <w:w w:val="99"/>
        </w:rPr>
        <w:t xml:space="preserve"> </w:t>
      </w:r>
      <w:r>
        <w:t>如下：</w:t>
      </w:r>
    </w:p>
    <w:p>
      <w:pPr>
        <w:pStyle w:val="10"/>
        <w:spacing w:after="0" w:line="360" w:lineRule="auto"/>
        <w:ind w:firstLine="420" w:firstLineChars="200"/>
      </w:pPr>
      <w:r>
        <w:t>1、 我方的投标文件在投标截止日后 90</w:t>
      </w:r>
      <w:r>
        <w:rPr>
          <w:spacing w:val="-26"/>
        </w:rPr>
        <w:t xml:space="preserve"> </w:t>
      </w:r>
      <w:r>
        <w:rPr>
          <w:spacing w:val="-4"/>
        </w:rPr>
        <w:t>天（日历天）内保持有效，如中标，有效期将延至</w:t>
      </w:r>
      <w:r>
        <w:rPr>
          <w:w w:val="99"/>
        </w:rPr>
        <w:t xml:space="preserve"> </w:t>
      </w:r>
      <w:r>
        <w:t>本项目《采购合同》执行期满日为止。</w:t>
      </w:r>
    </w:p>
    <w:p>
      <w:pPr>
        <w:pStyle w:val="10"/>
        <w:spacing w:after="0" w:line="360" w:lineRule="auto"/>
        <w:ind w:firstLine="420" w:firstLineChars="200"/>
      </w:pPr>
      <w:r>
        <w:t>2、我方在参与投标前已仔细研究了遴选采购文件和所有相关资料，我方完全明白并认为</w:t>
      </w:r>
      <w:r>
        <w:rPr>
          <w:w w:val="99"/>
        </w:rPr>
        <w:t xml:space="preserve"> </w:t>
      </w:r>
      <w:r>
        <w:t>此遴选采购文件没有倾向性，也没有存在排斥潜在投标人的内容，我方同意遴选采购</w:t>
      </w:r>
      <w:r>
        <w:rPr>
          <w:w w:val="99"/>
        </w:rPr>
        <w:t xml:space="preserve"> </w:t>
      </w:r>
      <w:r>
        <w:t>文件的相关条款，放弃对遴选采购文件提出误解和质疑的一切权利。</w:t>
      </w:r>
    </w:p>
    <w:p>
      <w:pPr>
        <w:pStyle w:val="10"/>
        <w:spacing w:after="0" w:line="360" w:lineRule="auto"/>
        <w:ind w:firstLine="420" w:firstLineChars="200"/>
      </w:pPr>
      <w:r>
        <w:t>3、我方作为在法律、财务和运作上独立于采购方的投标供应商，在此保证所提交的所有</w:t>
      </w:r>
      <w:r>
        <w:rPr>
          <w:w w:val="99"/>
        </w:rPr>
        <w:t xml:space="preserve"> </w:t>
      </w:r>
      <w:r>
        <w:t>文件和全部说明是真实的和正确的。由于我方提供资料不实而造成的责任和后果由我</w:t>
      </w:r>
      <w:r>
        <w:rPr>
          <w:w w:val="99"/>
        </w:rPr>
        <w:t xml:space="preserve"> </w:t>
      </w:r>
      <w:r>
        <w:t>方承担。我方同意按照贵方提出的要求，提供与投标有关的任何其它数据或信息。</w:t>
      </w:r>
    </w:p>
    <w:p>
      <w:pPr>
        <w:pStyle w:val="10"/>
        <w:spacing w:after="0" w:line="360" w:lineRule="auto"/>
        <w:ind w:firstLine="420" w:firstLineChars="200"/>
      </w:pPr>
      <w:r>
        <w:t>4、我方理解贵方不一定接受最低报价的投标。</w:t>
      </w:r>
    </w:p>
    <w:p>
      <w:pPr>
        <w:pStyle w:val="10"/>
        <w:spacing w:after="0" w:line="360" w:lineRule="auto"/>
        <w:ind w:firstLine="420" w:firstLineChars="200"/>
      </w:pPr>
      <w:r>
        <w:t>5、我方同意如在本项目开标后、投标有效期之内撤回投标的，贵方将不退还投标保证金</w:t>
      </w:r>
    </w:p>
    <w:p>
      <w:pPr>
        <w:pStyle w:val="10"/>
        <w:spacing w:after="0" w:line="360" w:lineRule="auto"/>
        <w:ind w:firstLine="420" w:firstLineChars="200"/>
      </w:pPr>
      <w:r>
        <w:t>（如有）。</w:t>
      </w:r>
    </w:p>
    <w:p>
      <w:pPr>
        <w:pStyle w:val="10"/>
        <w:spacing w:after="0" w:line="360" w:lineRule="auto"/>
        <w:ind w:firstLine="420" w:firstLineChars="200"/>
      </w:pPr>
      <w:r>
        <w:t>6、我方如果中标，保证履行投标文件中承诺的全部责任和义务，切实履行《采购合同》</w:t>
      </w:r>
      <w:r>
        <w:rPr>
          <w:w w:val="99"/>
        </w:rPr>
        <w:t xml:space="preserve"> </w:t>
      </w:r>
      <w:r>
        <w:t>中的全部条款并按照《遴选采购文件》的要求向贵司足额交纳招标代理服务费。</w:t>
      </w:r>
    </w:p>
    <w:p>
      <w:pPr>
        <w:pStyle w:val="10"/>
        <w:spacing w:after="0" w:line="360" w:lineRule="auto"/>
        <w:ind w:firstLine="420" w:firstLineChars="200"/>
      </w:pPr>
      <w:r>
        <w:t>7、我方保证，招标人在中华人民共和国境内使用我方投标货物、资料、技术、服务或其</w:t>
      </w:r>
      <w:r>
        <w:rPr>
          <w:spacing w:val="-100"/>
        </w:rPr>
        <w:t xml:space="preserve"> </w:t>
      </w:r>
      <w:r>
        <w:rPr>
          <w:spacing w:val="-2"/>
          <w:w w:val="95"/>
        </w:rPr>
        <w:t>任何一部分时，享有不受限制的无偿使用权，如有第三方向招标人提出侵犯其专利权、</w:t>
      </w:r>
      <w:r>
        <w:rPr>
          <w:w w:val="99"/>
        </w:rPr>
        <w:t xml:space="preserve"> </w:t>
      </w:r>
      <w:r>
        <w:t>商标权或其它知识产权的主张，该责任由我方承担。我方的投标报价已包含所有应向</w:t>
      </w:r>
      <w:r>
        <w:rPr>
          <w:w w:val="99"/>
        </w:rPr>
        <w:t xml:space="preserve"> </w:t>
      </w:r>
      <w:r>
        <w:t>所有权人支付的专利权、商标权或其它知识产权的一切相关费用。</w:t>
      </w:r>
    </w:p>
    <w:p>
      <w:pPr>
        <w:pStyle w:val="10"/>
        <w:spacing w:after="0" w:line="360" w:lineRule="auto"/>
        <w:ind w:firstLine="420" w:firstLineChars="200"/>
      </w:pPr>
      <w:r>
        <w:t>8、与本投标有关的一切正式往来通讯请寄：</w:t>
      </w:r>
    </w:p>
    <w:p>
      <w:pPr>
        <w:pStyle w:val="10"/>
        <w:tabs>
          <w:tab w:val="left" w:pos="5649"/>
        </w:tabs>
        <w:spacing w:after="0" w:line="360" w:lineRule="auto"/>
        <w:ind w:firstLine="398" w:firstLineChars="200"/>
      </w:pPr>
      <w:r>
        <w:rPr>
          <w:w w:val="95"/>
        </w:rPr>
        <w:t>地址：</w:t>
      </w:r>
      <w:r>
        <w:rPr>
          <w:w w:val="95"/>
        </w:rPr>
        <w:tab/>
      </w:r>
      <w:r>
        <w:t>邮编：</w:t>
      </w:r>
    </w:p>
    <w:p>
      <w:pPr>
        <w:pStyle w:val="10"/>
        <w:tabs>
          <w:tab w:val="left" w:pos="5649"/>
        </w:tabs>
        <w:spacing w:after="0" w:line="360" w:lineRule="auto"/>
        <w:ind w:firstLine="398" w:firstLineChars="200"/>
      </w:pPr>
      <w:r>
        <w:rPr>
          <w:w w:val="95"/>
        </w:rPr>
        <w:t>电话：</w:t>
      </w:r>
      <w:r>
        <w:rPr>
          <w:w w:val="95"/>
        </w:rPr>
        <w:tab/>
      </w:r>
      <w:r>
        <w:t>传真：</w:t>
      </w:r>
    </w:p>
    <w:p>
      <w:pPr>
        <w:pStyle w:val="10"/>
        <w:tabs>
          <w:tab w:val="left" w:pos="6171"/>
        </w:tabs>
        <w:spacing w:after="0" w:line="360" w:lineRule="auto"/>
        <w:ind w:firstLine="420" w:firstLineChars="200"/>
        <w:rPr>
          <w:rFonts w:ascii="Times New Roman" w:hAnsi="Times New Roman" w:eastAsia="Times New Roman"/>
        </w:rPr>
      </w:pPr>
      <w:r>
        <w:t>投标人代表姓名、职务（印刷体）：</w:t>
      </w:r>
      <w:r>
        <w:rPr>
          <w:rFonts w:ascii="Times New Roman" w:hAnsi="Times New Roman" w:eastAsia="Times New Roman"/>
          <w:u w:val="single" w:color="000000"/>
        </w:rPr>
        <w:t xml:space="preserve"> </w:t>
      </w:r>
      <w:r>
        <w:rPr>
          <w:rFonts w:ascii="Times New Roman" w:hAnsi="Times New Roman" w:eastAsia="Times New Roman"/>
          <w:u w:val="single" w:color="000000"/>
        </w:rPr>
        <w:tab/>
      </w:r>
    </w:p>
    <w:p>
      <w:pPr>
        <w:spacing w:line="360" w:lineRule="auto"/>
        <w:ind w:firstLine="220" w:firstLineChars="200"/>
        <w:rPr>
          <w:rFonts w:ascii="Times New Roman" w:hAnsi="Times New Roman" w:eastAsia="Times New Roman"/>
          <w:sz w:val="11"/>
          <w:szCs w:val="11"/>
        </w:rPr>
      </w:pPr>
    </w:p>
    <w:p>
      <w:pPr>
        <w:pStyle w:val="10"/>
        <w:tabs>
          <w:tab w:val="left" w:pos="6573"/>
        </w:tabs>
        <w:spacing w:after="0" w:line="360" w:lineRule="auto"/>
        <w:ind w:firstLine="420" w:firstLineChars="200"/>
        <w:rPr>
          <w:rFonts w:ascii="Times New Roman" w:hAnsi="Times New Roman" w:eastAsia="Times New Roman"/>
        </w:rPr>
      </w:pPr>
      <w:r>
        <w:t>投标人名称：（并加盖公章）</w:t>
      </w:r>
      <w:r>
        <w:rPr>
          <w:w w:val="99"/>
        </w:rPr>
        <w:t xml:space="preserve"> </w:t>
      </w:r>
      <w:r>
        <w:t>投标人法定代表人或其委托人签字或印鉴：</w:t>
      </w:r>
      <w:r>
        <w:rPr>
          <w:rFonts w:ascii="Times New Roman" w:hAnsi="Times New Roman" w:eastAsia="Times New Roman"/>
          <w:u w:val="single" w:color="000000"/>
        </w:rPr>
        <w:t xml:space="preserve"> </w:t>
      </w:r>
      <w:r>
        <w:rPr>
          <w:rFonts w:ascii="Times New Roman" w:hAnsi="Times New Roman" w:eastAsia="Times New Roman"/>
          <w:u w:val="single" w:color="000000"/>
        </w:rPr>
        <w:tab/>
      </w:r>
      <w:r>
        <w:rPr>
          <w:rFonts w:ascii="Times New Roman" w:hAnsi="Times New Roman" w:eastAsia="Times New Roman"/>
          <w:w w:val="34"/>
          <w:u w:val="single" w:color="000000"/>
        </w:rPr>
        <w:t xml:space="preserve"> </w:t>
      </w:r>
    </w:p>
    <w:p>
      <w:pPr>
        <w:tabs>
          <w:tab w:val="left" w:pos="1814"/>
          <w:tab w:val="left" w:pos="2445"/>
          <w:tab w:val="left" w:pos="3074"/>
        </w:tabs>
        <w:spacing w:line="360" w:lineRule="auto"/>
        <w:ind w:firstLine="398" w:firstLineChars="200"/>
        <w:rPr>
          <w:rFonts w:ascii="宋体" w:hAnsi="宋体" w:cs="宋体"/>
          <w:w w:val="99"/>
          <w:szCs w:val="21"/>
        </w:rPr>
      </w:pPr>
      <w:r>
        <w:rPr>
          <w:rFonts w:ascii="宋体" w:hAnsi="宋体" w:cs="宋体"/>
          <w:w w:val="95"/>
          <w:szCs w:val="21"/>
        </w:rPr>
        <w:t>日期：</w:t>
      </w:r>
      <w:r>
        <w:rPr>
          <w:rFonts w:ascii="Times New Roman" w:hAnsi="Times New Roman" w:eastAsia="Times New Roman"/>
          <w:w w:val="95"/>
          <w:szCs w:val="21"/>
          <w:u w:val="single" w:color="000000"/>
        </w:rPr>
        <w:tab/>
      </w:r>
      <w:r>
        <w:rPr>
          <w:rFonts w:ascii="宋体" w:hAnsi="宋体" w:cs="宋体"/>
          <w:spacing w:val="1"/>
          <w:w w:val="95"/>
          <w:szCs w:val="21"/>
        </w:rPr>
        <w:t>年</w:t>
      </w:r>
      <w:r>
        <w:rPr>
          <w:rFonts w:ascii="Times New Roman" w:hAnsi="Times New Roman" w:eastAsia="Times New Roman"/>
          <w:spacing w:val="1"/>
          <w:w w:val="95"/>
          <w:szCs w:val="21"/>
          <w:u w:val="single" w:color="000000"/>
        </w:rPr>
        <w:tab/>
      </w:r>
      <w:r>
        <w:rPr>
          <w:rFonts w:ascii="宋体" w:hAnsi="宋体" w:cs="宋体"/>
          <w:spacing w:val="-1"/>
          <w:w w:val="95"/>
          <w:szCs w:val="21"/>
        </w:rPr>
        <w:t>月</w:t>
      </w:r>
      <w:r>
        <w:rPr>
          <w:rFonts w:ascii="Times New Roman" w:hAnsi="Times New Roman" w:eastAsia="Times New Roman"/>
          <w:spacing w:val="-1"/>
          <w:w w:val="95"/>
          <w:szCs w:val="21"/>
          <w:u w:val="single" w:color="000000"/>
        </w:rPr>
        <w:tab/>
      </w:r>
      <w:r>
        <w:rPr>
          <w:rFonts w:ascii="宋体" w:hAnsi="宋体" w:cs="宋体"/>
          <w:szCs w:val="21"/>
        </w:rPr>
        <w:t>日</w:t>
      </w:r>
      <w:r>
        <w:rPr>
          <w:rFonts w:ascii="宋体" w:hAnsi="宋体" w:cs="宋体"/>
          <w:w w:val="99"/>
          <w:szCs w:val="21"/>
        </w:rPr>
        <w:t xml:space="preserve"> </w:t>
      </w:r>
    </w:p>
    <w:p>
      <w:pPr>
        <w:tabs>
          <w:tab w:val="left" w:pos="1814"/>
          <w:tab w:val="left" w:pos="2445"/>
          <w:tab w:val="left" w:pos="3074"/>
        </w:tabs>
        <w:spacing w:line="360" w:lineRule="auto"/>
        <w:ind w:firstLine="400" w:firstLineChars="200"/>
        <w:rPr>
          <w:rFonts w:ascii="宋体" w:hAnsi="宋体" w:cs="宋体"/>
          <w:szCs w:val="21"/>
        </w:rPr>
      </w:pPr>
      <w:r>
        <w:rPr>
          <w:rFonts w:ascii="宋体" w:hAnsi="宋体" w:cs="宋体"/>
          <w:b/>
          <w:bCs/>
          <w:w w:val="95"/>
          <w:szCs w:val="21"/>
        </w:rPr>
        <w:t>注：法定代表人委托全权代表人，需附法定代表人签字或印鉴的授权书。</w:t>
      </w:r>
    </w:p>
    <w:p>
      <w:pPr>
        <w:spacing w:line="261" w:lineRule="auto"/>
        <w:rPr>
          <w:rFonts w:ascii="宋体" w:hAnsi="宋体" w:cs="宋体"/>
          <w:szCs w:val="21"/>
        </w:rPr>
        <w:sectPr>
          <w:type w:val="continuous"/>
          <w:pgSz w:w="11910" w:h="16840"/>
          <w:pgMar w:top="1580" w:right="1580" w:bottom="280" w:left="1680" w:header="720" w:footer="720" w:gutter="0"/>
          <w:cols w:space="720" w:num="1"/>
        </w:sectPr>
      </w:pPr>
    </w:p>
    <w:p>
      <w:pPr>
        <w:spacing w:line="355" w:lineRule="exact"/>
        <w:ind w:left="60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3</w:t>
      </w:r>
    </w:p>
    <w:p>
      <w:pPr>
        <w:spacing w:before="5"/>
        <w:rPr>
          <w:rFonts w:ascii="黑体" w:hAnsi="黑体" w:eastAsia="黑体" w:cs="黑体"/>
          <w:sz w:val="27"/>
          <w:szCs w:val="27"/>
        </w:rPr>
      </w:pPr>
      <w:r>
        <w:br w:type="column"/>
      </w:r>
    </w:p>
    <w:p>
      <w:pPr>
        <w:ind w:left="600"/>
        <w:rPr>
          <w:rFonts w:ascii="宋体" w:hAnsi="宋体" w:cs="宋体"/>
          <w:sz w:val="28"/>
          <w:szCs w:val="28"/>
        </w:rPr>
      </w:pPr>
      <w:r>
        <w:rPr>
          <w:rFonts w:ascii="宋体" w:hAnsi="宋体" w:cs="宋体"/>
          <w:b/>
          <w:bCs/>
          <w:sz w:val="28"/>
          <w:szCs w:val="28"/>
        </w:rPr>
        <w:t>法定代表人资格证明书</w:t>
      </w:r>
    </w:p>
    <w:p>
      <w:pPr>
        <w:rPr>
          <w:rFonts w:ascii="宋体" w:hAnsi="宋体" w:cs="宋体"/>
          <w:sz w:val="28"/>
          <w:szCs w:val="28"/>
        </w:rPr>
        <w:sectPr>
          <w:pgSz w:w="11910" w:h="16840"/>
          <w:pgMar w:top="1460" w:right="1380" w:bottom="1140" w:left="1200" w:header="0" w:footer="958" w:gutter="0"/>
          <w:cols w:equalWidth="0" w:num="2">
            <w:col w:w="1370" w:space="1378"/>
            <w:col w:w="6582"/>
          </w:cols>
        </w:sectPr>
      </w:pPr>
    </w:p>
    <w:p>
      <w:pPr>
        <w:spacing w:before="7"/>
        <w:rPr>
          <w:rFonts w:ascii="宋体" w:hAnsi="宋体" w:cs="宋体"/>
          <w:b/>
          <w:bCs/>
          <w:sz w:val="11"/>
          <w:szCs w:val="11"/>
        </w:rPr>
      </w:pPr>
    </w:p>
    <w:p>
      <w:pPr>
        <w:pStyle w:val="6"/>
        <w:spacing w:before="34"/>
        <w:ind w:left="708" w:right="955"/>
        <w:rPr>
          <w:b w:val="0"/>
          <w:bCs w:val="0"/>
        </w:rPr>
      </w:pPr>
      <w:r>
        <w:t>致：广东省消防救援总队</w:t>
      </w:r>
    </w:p>
    <w:p>
      <w:pPr>
        <w:pStyle w:val="10"/>
        <w:tabs>
          <w:tab w:val="left" w:pos="2594"/>
          <w:tab w:val="left" w:pos="5219"/>
        </w:tabs>
        <w:spacing w:before="135" w:line="475" w:lineRule="auto"/>
        <w:ind w:left="600" w:right="955" w:firstLine="525"/>
      </w:pPr>
      <w:r>
        <w:rPr>
          <w:rFonts w:ascii="Times New Roman" w:hAnsi="Times New Roman" w:eastAsia="Times New Roman"/>
          <w:w w:val="99"/>
          <w:u w:val="single" w:color="000000"/>
        </w:rPr>
        <w:t xml:space="preserve"> </w:t>
      </w:r>
      <w:r>
        <w:rPr>
          <w:rFonts w:ascii="Times New Roman" w:hAnsi="Times New Roman" w:eastAsia="Times New Roman"/>
          <w:u w:val="single" w:color="000000"/>
        </w:rPr>
        <w:tab/>
      </w:r>
      <w:r>
        <w:rPr>
          <w:w w:val="95"/>
        </w:rPr>
        <w:t>同志，现任我单位</w:t>
      </w:r>
      <w:r>
        <w:rPr>
          <w:rFonts w:ascii="Times New Roman" w:hAnsi="Times New Roman" w:eastAsia="Times New Roman"/>
          <w:w w:val="95"/>
          <w:u w:val="single" w:color="000000"/>
        </w:rPr>
        <w:tab/>
      </w:r>
      <w:r>
        <w:t>职务，为法定代表人，特此证明。</w:t>
      </w:r>
      <w:r>
        <w:rPr>
          <w:w w:val="99"/>
        </w:rPr>
        <w:t xml:space="preserve"> </w:t>
      </w:r>
      <w:r>
        <w:t>有效日期与本公司投标文件中标注的投标有效期相同。</w:t>
      </w:r>
    </w:p>
    <w:p>
      <w:pPr>
        <w:pStyle w:val="10"/>
        <w:spacing w:before="64"/>
        <w:ind w:left="1020" w:right="955"/>
      </w:pPr>
      <w:r>
        <w:t>附：</w:t>
      </w:r>
    </w:p>
    <w:p>
      <w:pPr>
        <w:spacing w:before="8"/>
        <w:rPr>
          <w:rFonts w:ascii="宋体" w:hAnsi="宋体" w:cs="宋体"/>
          <w:sz w:val="20"/>
        </w:rPr>
      </w:pPr>
    </w:p>
    <w:p>
      <w:pPr>
        <w:pStyle w:val="10"/>
        <w:tabs>
          <w:tab w:val="left" w:pos="4168"/>
          <w:tab w:val="left" w:pos="6165"/>
        </w:tabs>
        <w:spacing w:line="472" w:lineRule="auto"/>
        <w:ind w:left="1440" w:right="1900"/>
      </w:pPr>
      <w:r>
        <w:rPr>
          <w:w w:val="95"/>
        </w:rPr>
        <w:t>代表人性别：</w:t>
      </w:r>
      <w:r>
        <w:rPr>
          <w:w w:val="95"/>
        </w:rPr>
        <w:tab/>
      </w:r>
      <w:r>
        <w:rPr>
          <w:w w:val="95"/>
        </w:rPr>
        <w:t>年龄：</w:t>
      </w:r>
      <w:r>
        <w:rPr>
          <w:w w:val="95"/>
        </w:rPr>
        <w:tab/>
      </w:r>
      <w:r>
        <w:t>身份证号码：</w:t>
      </w:r>
      <w:r>
        <w:rPr>
          <w:w w:val="99"/>
        </w:rPr>
        <w:t xml:space="preserve"> </w:t>
      </w:r>
      <w:r>
        <w:t>联系电话：</w:t>
      </w:r>
    </w:p>
    <w:p>
      <w:pPr>
        <w:pStyle w:val="10"/>
        <w:spacing w:before="66" w:line="475" w:lineRule="auto"/>
        <w:ind w:left="1440" w:right="5786"/>
      </w:pPr>
      <w:r>
        <w:t>营业执照（注册号）：</w:t>
      </w:r>
      <w:r>
        <w:rPr>
          <w:w w:val="99"/>
        </w:rPr>
        <w:t xml:space="preserve"> </w:t>
      </w:r>
      <w:r>
        <w:t>经济性质：</w:t>
      </w:r>
      <w:r>
        <w:rPr>
          <w:w w:val="99"/>
        </w:rPr>
        <w:t xml:space="preserve"> </w:t>
      </w:r>
      <w:r>
        <w:t>主营（产）：</w:t>
      </w:r>
      <w:r>
        <w:rPr>
          <w:w w:val="99"/>
        </w:rPr>
        <w:t xml:space="preserve"> </w:t>
      </w:r>
      <w:r>
        <w:t>兼营（产）：</w:t>
      </w:r>
    </w:p>
    <w:p>
      <w:pPr>
        <w:pStyle w:val="10"/>
        <w:spacing w:before="40" w:line="440" w:lineRule="atLeast"/>
        <w:ind w:left="1228" w:right="955" w:hanging="629"/>
      </w:pPr>
      <w:r>
        <w:t>说明：1、法定代表人为企业的主要行政负责人。</w:t>
      </w:r>
      <w:r>
        <w:rPr>
          <w:w w:val="99"/>
        </w:rPr>
        <w:t xml:space="preserve"> </w:t>
      </w:r>
      <w:r>
        <w:t>2、内容必须填写真实、清楚、涂改无效，不得转让。</w:t>
      </w:r>
    </w:p>
    <w:p>
      <w:pPr>
        <w:pStyle w:val="6"/>
        <w:spacing w:before="25"/>
        <w:ind w:left="1440" w:right="955"/>
        <w:rPr>
          <w:b w:val="0"/>
          <w:bCs w:val="0"/>
        </w:rPr>
      </w:pPr>
      <w:r>
        <w:t>（为避免废标，请投标人务必提供本附件）</w:t>
      </w:r>
    </w:p>
    <w:p>
      <w:pPr>
        <w:spacing w:before="3"/>
        <w:rPr>
          <w:rFonts w:ascii="宋体" w:hAnsi="宋体" w:cs="宋体"/>
          <w:b/>
          <w:bCs/>
          <w:sz w:val="26"/>
          <w:szCs w:val="26"/>
        </w:rPr>
      </w:pPr>
    </w:p>
    <w:p>
      <w:pPr>
        <w:tabs>
          <w:tab w:val="left" w:pos="4912"/>
        </w:tabs>
        <w:spacing w:line="2979" w:lineRule="exact"/>
        <w:ind w:left="112"/>
        <w:rPr>
          <w:rFonts w:ascii="宋体" w:hAnsi="宋体" w:cs="宋体"/>
          <w:sz w:val="20"/>
        </w:rPr>
      </w:pPr>
      <w:r>
        <w:rPr>
          <w:rFonts w:ascii="宋体" w:eastAsia="Calibri"/>
          <w:position w:val="-59"/>
          <w:sz w:val="20"/>
        </w:rPr>
        <mc:AlternateContent>
          <mc:Choice Requires="wpg">
            <w:drawing>
              <wp:inline distT="0" distB="0" distL="114300" distR="114300">
                <wp:extent cx="2734310" cy="1891665"/>
                <wp:effectExtent l="0" t="0" r="8890" b="13335"/>
                <wp:docPr id="27" name="组合 27"/>
                <wp:cNvGraphicFramePr/>
                <a:graphic xmlns:a="http://schemas.openxmlformats.org/drawingml/2006/main">
                  <a:graphicData uri="http://schemas.microsoft.com/office/word/2010/wordprocessingGroup">
                    <wpg:wgp>
                      <wpg:cNvGrpSpPr>
                        <a:grpSpLocks noRot="1"/>
                      </wpg:cNvGrpSpPr>
                      <wpg:grpSpPr>
                        <a:xfrm>
                          <a:off x="0" y="0"/>
                          <a:ext cx="2734310" cy="1891665"/>
                          <a:chOff x="0" y="0"/>
                          <a:chExt cx="4306" cy="2979"/>
                        </a:xfrm>
                        <a:effectLst/>
                      </wpg:grpSpPr>
                      <wpg:grpSp>
                        <wpg:cNvPr id="26" name="组合 26"/>
                        <wpg:cNvGrpSpPr/>
                        <wpg:grpSpPr>
                          <a:xfrm>
                            <a:off x="0" y="0"/>
                            <a:ext cx="4306" cy="2979"/>
                            <a:chOff x="0" y="0"/>
                            <a:chExt cx="4306" cy="2979"/>
                          </a:xfrm>
                          <a:effectLst/>
                        </wpg:grpSpPr>
                        <wps:wsp>
                          <wps:cNvPr id="17" name="任意多边形 17"/>
                          <wps:cNvSpPr/>
                          <wps:spPr>
                            <a:xfrm>
                              <a:off x="0" y="0"/>
                              <a:ext cx="4306" cy="2979"/>
                            </a:xfrm>
                            <a:custGeom>
                              <a:avLst/>
                              <a:gdLst/>
                              <a:ahLst/>
                              <a:cxnLst/>
                              <a:pathLst>
                                <a:path w="4306" h="2979">
                                  <a:moveTo>
                                    <a:pt x="4306" y="2979"/>
                                  </a:moveTo>
                                  <a:lnTo>
                                    <a:pt x="0" y="2979"/>
                                  </a:lnTo>
                                  <a:lnTo>
                                    <a:pt x="0" y="0"/>
                                  </a:lnTo>
                                  <a:lnTo>
                                    <a:pt x="4306" y="0"/>
                                  </a:lnTo>
                                  <a:lnTo>
                                    <a:pt x="4306" y="8"/>
                                  </a:lnTo>
                                  <a:lnTo>
                                    <a:pt x="15" y="8"/>
                                  </a:lnTo>
                                  <a:lnTo>
                                    <a:pt x="8" y="15"/>
                                  </a:lnTo>
                                  <a:lnTo>
                                    <a:pt x="15" y="15"/>
                                  </a:lnTo>
                                  <a:lnTo>
                                    <a:pt x="15" y="2964"/>
                                  </a:lnTo>
                                  <a:lnTo>
                                    <a:pt x="8" y="2964"/>
                                  </a:lnTo>
                                  <a:lnTo>
                                    <a:pt x="15" y="2972"/>
                                  </a:lnTo>
                                  <a:lnTo>
                                    <a:pt x="4306" y="2972"/>
                                  </a:lnTo>
                                  <a:lnTo>
                                    <a:pt x="4306" y="2979"/>
                                  </a:lnTo>
                                  <a:close/>
                                </a:path>
                              </a:pathLst>
                            </a:custGeom>
                            <a:solidFill>
                              <a:srgbClr val="000000"/>
                            </a:solidFill>
                            <a:ln>
                              <a:noFill/>
                            </a:ln>
                            <a:effectLst/>
                          </wps:spPr>
                          <wps:bodyPr upright="1"/>
                        </wps:wsp>
                        <wps:wsp>
                          <wps:cNvPr id="18" name="任意多边形 18"/>
                          <wps:cNvSpPr/>
                          <wps:spPr>
                            <a:xfrm>
                              <a:off x="0" y="0"/>
                              <a:ext cx="4306" cy="2979"/>
                            </a:xfrm>
                            <a:custGeom>
                              <a:avLst/>
                              <a:gdLst/>
                              <a:ahLst/>
                              <a:cxnLst/>
                              <a:pathLst>
                                <a:path w="4306" h="2979">
                                  <a:moveTo>
                                    <a:pt x="15" y="15"/>
                                  </a:moveTo>
                                  <a:lnTo>
                                    <a:pt x="8" y="15"/>
                                  </a:lnTo>
                                  <a:lnTo>
                                    <a:pt x="15" y="8"/>
                                  </a:lnTo>
                                  <a:lnTo>
                                    <a:pt x="15" y="15"/>
                                  </a:lnTo>
                                  <a:close/>
                                </a:path>
                              </a:pathLst>
                            </a:custGeom>
                            <a:solidFill>
                              <a:srgbClr val="000000"/>
                            </a:solidFill>
                            <a:ln>
                              <a:noFill/>
                            </a:ln>
                            <a:effectLst/>
                          </wps:spPr>
                          <wps:bodyPr upright="1"/>
                        </wps:wsp>
                        <wps:wsp>
                          <wps:cNvPr id="19" name="任意多边形 19"/>
                          <wps:cNvSpPr/>
                          <wps:spPr>
                            <a:xfrm>
                              <a:off x="0" y="0"/>
                              <a:ext cx="4306" cy="2979"/>
                            </a:xfrm>
                            <a:custGeom>
                              <a:avLst/>
                              <a:gdLst/>
                              <a:ahLst/>
                              <a:cxnLst/>
                              <a:pathLst>
                                <a:path w="4306" h="2979">
                                  <a:moveTo>
                                    <a:pt x="4291" y="15"/>
                                  </a:moveTo>
                                  <a:lnTo>
                                    <a:pt x="15" y="15"/>
                                  </a:lnTo>
                                  <a:lnTo>
                                    <a:pt x="15" y="8"/>
                                  </a:lnTo>
                                  <a:lnTo>
                                    <a:pt x="4291" y="8"/>
                                  </a:lnTo>
                                  <a:lnTo>
                                    <a:pt x="4291" y="15"/>
                                  </a:lnTo>
                                  <a:close/>
                                </a:path>
                              </a:pathLst>
                            </a:custGeom>
                            <a:solidFill>
                              <a:srgbClr val="000000"/>
                            </a:solidFill>
                            <a:ln>
                              <a:noFill/>
                            </a:ln>
                            <a:effectLst/>
                          </wps:spPr>
                          <wps:bodyPr upright="1"/>
                        </wps:wsp>
                        <wps:wsp>
                          <wps:cNvPr id="20" name="任意多边形 20"/>
                          <wps:cNvSpPr/>
                          <wps:spPr>
                            <a:xfrm>
                              <a:off x="0" y="0"/>
                              <a:ext cx="4306" cy="2979"/>
                            </a:xfrm>
                            <a:custGeom>
                              <a:avLst/>
                              <a:gdLst/>
                              <a:ahLst/>
                              <a:cxnLst/>
                              <a:pathLst>
                                <a:path w="4306" h="2979">
                                  <a:moveTo>
                                    <a:pt x="4291" y="2972"/>
                                  </a:moveTo>
                                  <a:lnTo>
                                    <a:pt x="4291" y="8"/>
                                  </a:lnTo>
                                  <a:lnTo>
                                    <a:pt x="4299" y="15"/>
                                  </a:lnTo>
                                  <a:lnTo>
                                    <a:pt x="4306" y="15"/>
                                  </a:lnTo>
                                  <a:lnTo>
                                    <a:pt x="4306" y="2964"/>
                                  </a:lnTo>
                                  <a:lnTo>
                                    <a:pt x="4299" y="2964"/>
                                  </a:lnTo>
                                  <a:lnTo>
                                    <a:pt x="4291" y="2972"/>
                                  </a:lnTo>
                                  <a:close/>
                                </a:path>
                              </a:pathLst>
                            </a:custGeom>
                            <a:solidFill>
                              <a:srgbClr val="000000"/>
                            </a:solidFill>
                            <a:ln>
                              <a:noFill/>
                            </a:ln>
                            <a:effectLst/>
                          </wps:spPr>
                          <wps:bodyPr upright="1"/>
                        </wps:wsp>
                        <wps:wsp>
                          <wps:cNvPr id="21" name="任意多边形 21"/>
                          <wps:cNvSpPr/>
                          <wps:spPr>
                            <a:xfrm>
                              <a:off x="0" y="0"/>
                              <a:ext cx="4306" cy="2979"/>
                            </a:xfrm>
                            <a:custGeom>
                              <a:avLst/>
                              <a:gdLst/>
                              <a:ahLst/>
                              <a:cxnLst/>
                              <a:pathLst>
                                <a:path w="4306" h="2979">
                                  <a:moveTo>
                                    <a:pt x="4306" y="15"/>
                                  </a:moveTo>
                                  <a:lnTo>
                                    <a:pt x="4299" y="15"/>
                                  </a:lnTo>
                                  <a:lnTo>
                                    <a:pt x="4291" y="8"/>
                                  </a:lnTo>
                                  <a:lnTo>
                                    <a:pt x="4306" y="8"/>
                                  </a:lnTo>
                                  <a:lnTo>
                                    <a:pt x="4306" y="15"/>
                                  </a:lnTo>
                                  <a:close/>
                                </a:path>
                              </a:pathLst>
                            </a:custGeom>
                            <a:solidFill>
                              <a:srgbClr val="000000"/>
                            </a:solidFill>
                            <a:ln>
                              <a:noFill/>
                            </a:ln>
                            <a:effectLst/>
                          </wps:spPr>
                          <wps:bodyPr upright="1"/>
                        </wps:wsp>
                        <wps:wsp>
                          <wps:cNvPr id="22" name="任意多边形 22"/>
                          <wps:cNvSpPr/>
                          <wps:spPr>
                            <a:xfrm>
                              <a:off x="0" y="0"/>
                              <a:ext cx="4306" cy="2979"/>
                            </a:xfrm>
                            <a:custGeom>
                              <a:avLst/>
                              <a:gdLst/>
                              <a:ahLst/>
                              <a:cxnLst/>
                              <a:pathLst>
                                <a:path w="4306" h="2979">
                                  <a:moveTo>
                                    <a:pt x="15" y="2972"/>
                                  </a:moveTo>
                                  <a:lnTo>
                                    <a:pt x="8" y="2964"/>
                                  </a:lnTo>
                                  <a:lnTo>
                                    <a:pt x="15" y="2964"/>
                                  </a:lnTo>
                                  <a:lnTo>
                                    <a:pt x="15" y="2972"/>
                                  </a:lnTo>
                                  <a:close/>
                                </a:path>
                              </a:pathLst>
                            </a:custGeom>
                            <a:solidFill>
                              <a:srgbClr val="000000"/>
                            </a:solidFill>
                            <a:ln>
                              <a:noFill/>
                            </a:ln>
                            <a:effectLst/>
                          </wps:spPr>
                          <wps:bodyPr upright="1"/>
                        </wps:wsp>
                        <wps:wsp>
                          <wps:cNvPr id="23" name="任意多边形 23"/>
                          <wps:cNvSpPr/>
                          <wps:spPr>
                            <a:xfrm>
                              <a:off x="0" y="0"/>
                              <a:ext cx="4306" cy="2979"/>
                            </a:xfrm>
                            <a:custGeom>
                              <a:avLst/>
                              <a:gdLst/>
                              <a:ahLst/>
                              <a:cxnLst/>
                              <a:pathLst>
                                <a:path w="4306" h="2979">
                                  <a:moveTo>
                                    <a:pt x="4291" y="2972"/>
                                  </a:moveTo>
                                  <a:lnTo>
                                    <a:pt x="15" y="2972"/>
                                  </a:lnTo>
                                  <a:lnTo>
                                    <a:pt x="15" y="2964"/>
                                  </a:lnTo>
                                  <a:lnTo>
                                    <a:pt x="4291" y="2964"/>
                                  </a:lnTo>
                                  <a:lnTo>
                                    <a:pt x="4291" y="2972"/>
                                  </a:lnTo>
                                  <a:close/>
                                </a:path>
                              </a:pathLst>
                            </a:custGeom>
                            <a:solidFill>
                              <a:srgbClr val="000000"/>
                            </a:solidFill>
                            <a:ln>
                              <a:noFill/>
                            </a:ln>
                            <a:effectLst/>
                          </wps:spPr>
                          <wps:bodyPr upright="1"/>
                        </wps:wsp>
                        <wps:wsp>
                          <wps:cNvPr id="24" name="任意多边形 24"/>
                          <wps:cNvSpPr/>
                          <wps:spPr>
                            <a:xfrm>
                              <a:off x="0" y="0"/>
                              <a:ext cx="4306" cy="2979"/>
                            </a:xfrm>
                            <a:custGeom>
                              <a:avLst/>
                              <a:gdLst/>
                              <a:ahLst/>
                              <a:cxnLst/>
                              <a:pathLst>
                                <a:path w="4306" h="2979">
                                  <a:moveTo>
                                    <a:pt x="4306" y="2972"/>
                                  </a:moveTo>
                                  <a:lnTo>
                                    <a:pt x="4291" y="2972"/>
                                  </a:lnTo>
                                  <a:lnTo>
                                    <a:pt x="4299" y="2964"/>
                                  </a:lnTo>
                                  <a:lnTo>
                                    <a:pt x="4306" y="2964"/>
                                  </a:lnTo>
                                  <a:lnTo>
                                    <a:pt x="4306" y="2972"/>
                                  </a:lnTo>
                                  <a:close/>
                                </a:path>
                              </a:pathLst>
                            </a:custGeom>
                            <a:solidFill>
                              <a:srgbClr val="000000"/>
                            </a:solidFill>
                            <a:ln>
                              <a:noFill/>
                            </a:ln>
                            <a:effectLst/>
                          </wps:spPr>
                          <wps:bodyPr upright="1"/>
                        </wps:wsp>
                        <wps:wsp>
                          <wps:cNvPr id="25" name="文本框 25"/>
                          <wps:cNvSpPr txBox="1"/>
                          <wps:spPr>
                            <a:xfrm>
                              <a:off x="0" y="0"/>
                              <a:ext cx="4306" cy="2979"/>
                            </a:xfrm>
                            <a:prstGeom prst="rect">
                              <a:avLst/>
                            </a:prstGeom>
                            <a:noFill/>
                            <a:ln>
                              <a:noFill/>
                            </a:ln>
                            <a:effectLst/>
                          </wps:spPr>
                          <wps:txbx>
                            <w:txbxContent>
                              <w:p>
                                <w:pPr>
                                  <w:rPr>
                                    <w:rFonts w:ascii="宋体" w:hAnsi="宋体" w:cs="宋体"/>
                                    <w:b/>
                                    <w:bCs/>
                                    <w:sz w:val="20"/>
                                  </w:rPr>
                                </w:pPr>
                              </w:p>
                              <w:p>
                                <w:pPr>
                                  <w:rPr>
                                    <w:rFonts w:ascii="宋体" w:hAnsi="宋体" w:cs="宋体"/>
                                    <w:b/>
                                    <w:bCs/>
                                    <w:sz w:val="20"/>
                                  </w:rPr>
                                </w:pPr>
                              </w:p>
                              <w:p>
                                <w:pPr>
                                  <w:spacing w:before="4"/>
                                  <w:rPr>
                                    <w:rFonts w:ascii="宋体" w:hAnsi="宋体" w:cs="宋体"/>
                                    <w:b/>
                                    <w:bCs/>
                                    <w:sz w:val="19"/>
                                    <w:szCs w:val="19"/>
                                  </w:rPr>
                                </w:pPr>
                              </w:p>
                              <w:p>
                                <w:pPr>
                                  <w:ind w:left="996" w:right="998" w:firstLine="2"/>
                                  <w:jc w:val="center"/>
                                  <w:rPr>
                                    <w:rFonts w:ascii="宋体" w:hAnsi="宋体" w:cs="宋体"/>
                                    <w:szCs w:val="21"/>
                                  </w:rPr>
                                </w:pPr>
                                <w:r>
                                  <w:rPr>
                                    <w:rFonts w:ascii="宋体" w:hAnsi="宋体" w:cs="宋体"/>
                                    <w:spacing w:val="-1"/>
                                    <w:w w:val="99"/>
                                    <w:szCs w:val="21"/>
                                  </w:rPr>
                                  <w:t>法</w:t>
                                </w:r>
                                <w:r>
                                  <w:rPr>
                                    <w:rFonts w:ascii="宋体" w:hAnsi="宋体" w:cs="宋体"/>
                                    <w:spacing w:val="2"/>
                                    <w:w w:val="99"/>
                                    <w:szCs w:val="21"/>
                                  </w:rPr>
                                  <w:t>定</w:t>
                                </w:r>
                                <w:r>
                                  <w:rPr>
                                    <w:rFonts w:ascii="宋体" w:hAnsi="宋体" w:cs="宋体"/>
                                    <w:spacing w:val="-1"/>
                                    <w:w w:val="99"/>
                                    <w:szCs w:val="21"/>
                                  </w:rPr>
                                  <w:t>代</w:t>
                                </w:r>
                                <w:r>
                                  <w:rPr>
                                    <w:rFonts w:ascii="宋体" w:hAnsi="宋体" w:cs="宋体"/>
                                    <w:spacing w:val="2"/>
                                    <w:w w:val="99"/>
                                    <w:szCs w:val="21"/>
                                  </w:rPr>
                                  <w:t>表</w:t>
                                </w:r>
                                <w:r>
                                  <w:rPr>
                                    <w:rFonts w:ascii="宋体" w:hAnsi="宋体" w:cs="宋体"/>
                                    <w:w w:val="99"/>
                                    <w:szCs w:val="21"/>
                                  </w:rPr>
                                  <w:t xml:space="preserve">人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3"/>
                                  <w:rPr>
                                    <w:rFonts w:ascii="宋体" w:hAnsi="宋体" w:cs="宋体"/>
                                    <w:b/>
                                    <w:bCs/>
                                    <w:sz w:val="18"/>
                                    <w:szCs w:val="18"/>
                                  </w:rPr>
                                </w:pPr>
                              </w:p>
                              <w:p>
                                <w:pPr>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正</w:t>
                                </w:r>
                                <w:r>
                                  <w:rPr>
                                    <w:rFonts w:ascii="宋体" w:hAnsi="宋体" w:cs="宋体"/>
                                    <w:spacing w:val="-1"/>
                                    <w:w w:val="99"/>
                                    <w:szCs w:val="21"/>
                                  </w:rPr>
                                  <w:t>面</w:t>
                                </w:r>
                                <w:r>
                                  <w:rPr>
                                    <w:rFonts w:ascii="宋体" w:hAnsi="宋体" w:cs="宋体"/>
                                    <w:w w:val="99"/>
                                    <w:szCs w:val="21"/>
                                  </w:rPr>
                                  <w:t>）</w:t>
                                </w:r>
                              </w:p>
                            </w:txbxContent>
                          </wps:txbx>
                          <wps:bodyPr lIns="0" tIns="0" rIns="0" bIns="0" upright="1"/>
                        </wps:wsp>
                      </wpg:grpSp>
                    </wpg:wgp>
                  </a:graphicData>
                </a:graphic>
              </wp:inline>
            </w:drawing>
          </mc:Choice>
          <mc:Fallback>
            <w:pict>
              <v:group id="_x0000_s1026" o:spid="_x0000_s1026" o:spt="203" style="height:148.95pt;width:215.3pt;" coordsize="4306,2979" o:gfxdata="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">
                <o:lock v:ext="edit" rotation="t" aspectratio="f"/>
                <v:group id="_x0000_s1026" o:spid="_x0000_s1026" o:spt="203" style="position:absolute;left:0;top:0;height:2979;width:4306;" coordsize="4306,2979"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0;top:0;height:2979;width:4306;" fillcolor="#000000" filled="t" stroked="f" coordsize="4306,2979" o:gfxdata="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F309bgAAADbAAAA&#10;DwAAAAAAAAABACAAAAAiAAAAZHJzL2Rvd25yZXYueG1sUEsBAhQAFAAAAAgAh07iQDMvBZ47AAAA&#10;OQAAABAAAAAAAAAAAQAgAAAABwEAAGRycy9zaGFwZXhtbC54bWxQSwUGAAAAAAYABgBbAQAAsQMA&#10;AAAA&#10;" path="m4306,2979l0,2979,0,0,4306,0,4306,8,15,8,8,15,15,15,15,2964,8,2964,15,2972,4306,2972,4306,2979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zcJgh78AAADb&#10;AAAADwAAAGRycy9kb3ducmV2LnhtbEWPT2vCQBDF74V+h2UKvdWNHmqJrlIKSqDx4J+D3obsmESz&#10;syG7RvPtOwehtxnem/d+M18+XKN66kLt2cB4lIAiLrytuTRw2K8+vkCFiGyx8UwGBgqwXLy+zDG1&#10;/s5b6nexVBLCIUUDVYxtqnUoKnIYRr4lFu3sO4dR1q7UtsO7hLtGT5LkUzusWRoqbOmnouK6uzkD&#10;J70p9bDOLpPvaX78jS5f7a/BmPe3cTIDFekR/83P68wKvsDKLzKAX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CYIe/&#10;AAAA2wAAAA8AAAAAAAAAAQAgAAAAIgAAAGRycy9kb3ducmV2LnhtbFBLAQIUABQAAAAIAIdO4kAz&#10;LwWeOwAAADkAAAAQAAAAAAAAAAEAIAAAAA4BAABkcnMvc2hhcGV4bWwueG1sUEsFBgAAAAAGAAYA&#10;WwEAALgDAAAAAA==&#10;" path="m15,15l8,15,15,8,15,15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oo7FHLgAAADb&#10;AAAADwAAAGRycy9kb3ducmV2LnhtbEVPyQrCMBC9C/5DGMGbpnpwqUYRQRHUg8tBb0MzttVmUpq4&#10;/b0RBG/zeOuMpy9TiAdVLresoNOOQBAnVuecKjgeFq0BCOeRNRaWScGbHEwn9doYY22fvKPH3qci&#10;hLCLUUHmfRlL6ZKMDLq2LYkDd7GVQR9glUpd4TOEm0J2o6gnDeYcGjIsaZ5RctvfjYKz3KbyvVxd&#10;u7P+5rT2ZrM43JxSzUYnGoHw9PJ/8c+90mH+EL6/hAPk5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o7FHLgAAADbAAAA&#10;DwAAAAAAAAABACAAAAAiAAAAZHJzL2Rvd25yZXYueG1sUEsBAhQAFAAAAAgAh07iQDMvBZ47AAAA&#10;OQAAABAAAAAAAAAAAQAgAAAABwEAAGRycy9zaGFwZXhtbC54bWxQSwUGAAAAAAYABgBbAQAAsQMA&#10;AAAA&#10;" path="m4291,15l15,15,15,8,4291,8,4291,15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dimPLcAAADb&#10;AAAADwAAAGRycy9kb3ducmV2LnhtbEVPuwrCMBTdBf8hXMFNUzuoVKOIoAjqoHXQ7dJc22pzU5r4&#10;+nszCI6H857O36YST2pcaVnBoB+BIM6sLjlXcEpXvTEI55E1VpZJwYcczGft1hQTbV98oOfR5yKE&#10;sEtQQeF9nUjpsoIMur6tiQN3tY1BH2CTS93gK4SbSsZRNJQGSw4NBda0LCi7Hx9GwUXuc/lZb27x&#10;YrQ7b73ZrdK7U6rbGUQTEJ7e/i/+uTdaQRzWhy/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92KY8twAAANsAAAAP&#10;AAAAAAAAAAEAIAAAACIAAABkcnMvZG93bnJldi54bWxQSwECFAAUAAAACACHTuJAMy8FnjsAAAA5&#10;AAAAEAAAAAAAAAABACAAAAAGAQAAZHJzL3NoYXBleG1sLnhtbFBLBQYAAAAABgAGAFsBAACwAwAA&#10;AAA=&#10;" path="m4291,2972l4291,8,4299,15,4306,15,4306,2964,4299,2964,4291,2972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kpQDp7sAAADb&#10;AAAADwAAAGRycy9kb3ducmV2LnhtbEWPS6vCMBSE94L/IRzBnabtwivVKCIogrrwsdDdoTm21eak&#10;NPH1780FweUwM98w4+nLVOJBjSstK4j7EQjizOqScwXHw6I3BOE8ssbKMil4k4PppN0aY6rtk3f0&#10;2PtcBAi7FBUU3teplC4ryKDr25o4eBfbGPRBNrnUDT4D3FQyiaKBNFhyWCiwpnlB2W1/NwrOcpvL&#10;93J1TWZ/m9Pam83icHNKdTtxNALh6eV/4W97pRUkMfx/CT9AT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QDp7sAAADb&#10;AAAADwAAAAAAAAABACAAAAAiAAAAZHJzL2Rvd25yZXYueG1sUEsBAhQAFAAAAAgAh07iQDMvBZ47&#10;AAAAOQAAABAAAAAAAAAAAQAgAAAACgEAAGRycy9zaGFwZXhtbC54bWxQSwUGAAAAAAYABgBbAQAA&#10;tAMAAAAA&#10;" path="m4306,15l4299,15,4291,8,4306,8,4306,15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Ykad0LoAAADb&#10;AAAADwAAAGRycy9kb3ducmV2LnhtbEWPSwvCMBCE74L/IazgTVN7UKlGEUER1IOPg96WZm2rzaY0&#10;8fXvjSB4HGbmG2Y8fZlSPKh2hWUFvW4Egji1uuBMwfGw6AxBOI+ssbRMCt7kYDppNsaYaPvkHT32&#10;PhMBwi5BBbn3VSKlS3My6Lq2Ig7exdYGfZB1JnWNzwA3pYyjqC8NFhwWcqxonlN629+NgrPcZvK9&#10;XF3j2WBzWnuzWRxuTql2qxeNQHh6+X/4115pBXEM3y/hB8jJ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Rp3QugAAANsA&#10;AAAPAAAAAAAAAAEAIAAAACIAAABkcnMvZG93bnJldi54bWxQSwECFAAUAAAACACHTuJAMy8FnjsA&#10;AAA5AAAAEAAAAAAAAAABACAAAAAJAQAAZHJzL3NoYXBleG1sLnhtbFBLBQYAAAAABgAGAFsBAACz&#10;AwAAAAA=&#10;" path="m15,2972l8,2964,15,2964,15,2972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DQo4S74AAADb&#10;AAAADwAAAGRycy9kb3ducmV2LnhtbEWPQWvCQBSE7wX/w/IEb3VjBCupaxBBEbSHqgd7e2RfkzTZ&#10;tyG7GvPvu4LgcZiZb5hFeje1uFHrSssKJuMIBHFmdcm5gvNp8z4H4TyyxtoyKejJQbocvC0w0bbj&#10;b7odfS4ChF2CCgrvm0RKlxVk0I1tQxy8X9sa9EG2udQtdgFuahlH0UwaLDksFNjQuqCsOl6Ngh/5&#10;lct+u/uLVx+Hy96bw+ZUOaVGw0n0CcLT3b/Cz/ZOK4in8PgSfo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o4S74A&#10;AADbAAAADwAAAAAAAAABACAAAAAiAAAAZHJzL2Rvd25yZXYueG1sUEsBAhQAFAAAAAgAh07iQDMv&#10;BZ47AAAAOQAAABAAAAAAAAAAAQAgAAAADQEAAGRycy9zaGFwZXhtbC54bWxQSwUGAAAAAAYABgBb&#10;AQAAtwMAAAAA&#10;" path="m4291,2972l15,2972,15,2964,4291,2964,4291,2972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guOgP74AAADb&#10;AAAADwAAAGRycy9kb3ducmV2LnhtbEWPQWvCQBSE7wX/w/IEb3VjECupaxBBEbSHqgd7e2RfkzTZ&#10;tyG7GvPvu4LgcZiZb5hFeje1uFHrSssKJuMIBHFmdcm5gvNp8z4H4TyyxtoyKejJQbocvC0w0bbj&#10;b7odfS4ChF2CCgrvm0RKlxVk0I1tQxy8X9sa9EG2udQtdgFuahlH0UwaLDksFNjQuqCsOl6Ngh/5&#10;lct+u/uLVx+Hy96bw+ZUOaVGw0n0CcLT3b/Cz/ZOK4in8PgSfo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OgP74A&#10;AADbAAAADwAAAAAAAAABACAAAAAiAAAAZHJzL2Rvd25yZXYueG1sUEsBAhQAFAAAAAgAh07iQDMv&#10;BZ47AAAAOQAAABAAAAAAAAAAAQAgAAAADQEAAGRycy9zaGFwZXhtbC54bWxQSwUGAAAAAAYABgBb&#10;AQAAtwMAAAAA&#10;" path="m4306,2972l4291,2972,4299,2964,4306,2964,4306,2972xe">
                    <v:fill on="t" focussize="0,0"/>
                    <v:stroke on="f"/>
                    <v:imagedata o:title=""/>
                    <o:lock v:ext="edit" aspectratio="f"/>
                  </v:shape>
                  <v:shape id="_x0000_s1026" o:spid="_x0000_s1026" o:spt="202" type="#_x0000_t202" style="position:absolute;left:0;top:0;height:2979;width:4306;"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宋体" w:hAnsi="宋体" w:cs="宋体"/>
                              <w:b/>
                              <w:bCs/>
                              <w:sz w:val="20"/>
                            </w:rPr>
                          </w:pPr>
                        </w:p>
                        <w:p>
                          <w:pPr>
                            <w:rPr>
                              <w:rFonts w:ascii="宋体" w:hAnsi="宋体" w:cs="宋体"/>
                              <w:b/>
                              <w:bCs/>
                              <w:sz w:val="20"/>
                            </w:rPr>
                          </w:pPr>
                        </w:p>
                        <w:p>
                          <w:pPr>
                            <w:spacing w:before="4"/>
                            <w:rPr>
                              <w:rFonts w:ascii="宋体" w:hAnsi="宋体" w:cs="宋体"/>
                              <w:b/>
                              <w:bCs/>
                              <w:sz w:val="19"/>
                              <w:szCs w:val="19"/>
                            </w:rPr>
                          </w:pPr>
                        </w:p>
                        <w:p>
                          <w:pPr>
                            <w:ind w:left="996" w:right="998" w:firstLine="2"/>
                            <w:jc w:val="center"/>
                            <w:rPr>
                              <w:rFonts w:ascii="宋体" w:hAnsi="宋体" w:cs="宋体"/>
                              <w:szCs w:val="21"/>
                            </w:rPr>
                          </w:pPr>
                          <w:r>
                            <w:rPr>
                              <w:rFonts w:ascii="宋体" w:hAnsi="宋体" w:cs="宋体"/>
                              <w:spacing w:val="-1"/>
                              <w:w w:val="99"/>
                              <w:szCs w:val="21"/>
                            </w:rPr>
                            <w:t>法</w:t>
                          </w:r>
                          <w:r>
                            <w:rPr>
                              <w:rFonts w:ascii="宋体" w:hAnsi="宋体" w:cs="宋体"/>
                              <w:spacing w:val="2"/>
                              <w:w w:val="99"/>
                              <w:szCs w:val="21"/>
                            </w:rPr>
                            <w:t>定</w:t>
                          </w:r>
                          <w:r>
                            <w:rPr>
                              <w:rFonts w:ascii="宋体" w:hAnsi="宋体" w:cs="宋体"/>
                              <w:spacing w:val="-1"/>
                              <w:w w:val="99"/>
                              <w:szCs w:val="21"/>
                            </w:rPr>
                            <w:t>代</w:t>
                          </w:r>
                          <w:r>
                            <w:rPr>
                              <w:rFonts w:ascii="宋体" w:hAnsi="宋体" w:cs="宋体"/>
                              <w:spacing w:val="2"/>
                              <w:w w:val="99"/>
                              <w:szCs w:val="21"/>
                            </w:rPr>
                            <w:t>表</w:t>
                          </w:r>
                          <w:r>
                            <w:rPr>
                              <w:rFonts w:ascii="宋体" w:hAnsi="宋体" w:cs="宋体"/>
                              <w:w w:val="99"/>
                              <w:szCs w:val="21"/>
                            </w:rPr>
                            <w:t xml:space="preserve">人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3"/>
                            <w:rPr>
                              <w:rFonts w:ascii="宋体" w:hAnsi="宋体" w:cs="宋体"/>
                              <w:b/>
                              <w:bCs/>
                              <w:sz w:val="18"/>
                              <w:szCs w:val="18"/>
                            </w:rPr>
                          </w:pPr>
                        </w:p>
                        <w:p>
                          <w:pPr>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正</w:t>
                          </w:r>
                          <w:r>
                            <w:rPr>
                              <w:rFonts w:ascii="宋体" w:hAnsi="宋体" w:cs="宋体"/>
                              <w:spacing w:val="-1"/>
                              <w:w w:val="99"/>
                              <w:szCs w:val="21"/>
                            </w:rPr>
                            <w:t>面</w:t>
                          </w:r>
                          <w:r>
                            <w:rPr>
                              <w:rFonts w:ascii="宋体" w:hAnsi="宋体" w:cs="宋体"/>
                              <w:w w:val="99"/>
                              <w:szCs w:val="21"/>
                            </w:rPr>
                            <w:t>）</w:t>
                          </w:r>
                        </w:p>
                      </w:txbxContent>
                    </v:textbox>
                  </v:shape>
                </v:group>
                <w10:wrap type="none"/>
                <w10:anchorlock/>
              </v:group>
            </w:pict>
          </mc:Fallback>
        </mc:AlternateContent>
      </w:r>
      <w:r>
        <w:rPr>
          <w:rFonts w:ascii="宋体"/>
          <w:position w:val="-59"/>
          <w:sz w:val="20"/>
        </w:rPr>
        <w:tab/>
      </w:r>
      <w:r>
        <w:rPr>
          <w:rFonts w:ascii="宋体"/>
          <w:position w:val="-59"/>
          <w:sz w:val="20"/>
        </w:rPr>
        <mc:AlternateContent>
          <mc:Choice Requires="wpg">
            <w:drawing>
              <wp:inline distT="0" distB="0" distL="114300" distR="114300">
                <wp:extent cx="2734310" cy="1891665"/>
                <wp:effectExtent l="0" t="0" r="8890" b="13335"/>
                <wp:docPr id="39" name="组合 39"/>
                <wp:cNvGraphicFramePr/>
                <a:graphic xmlns:a="http://schemas.openxmlformats.org/drawingml/2006/main">
                  <a:graphicData uri="http://schemas.microsoft.com/office/word/2010/wordprocessingGroup">
                    <wpg:wgp>
                      <wpg:cNvGrpSpPr>
                        <a:grpSpLocks noRot="1"/>
                      </wpg:cNvGrpSpPr>
                      <wpg:grpSpPr>
                        <a:xfrm>
                          <a:off x="0" y="0"/>
                          <a:ext cx="2734310" cy="1891665"/>
                          <a:chOff x="0" y="0"/>
                          <a:chExt cx="4306" cy="2979"/>
                        </a:xfrm>
                        <a:effectLst/>
                      </wpg:grpSpPr>
                      <wpg:grpSp>
                        <wpg:cNvPr id="38" name="组合 38"/>
                        <wpg:cNvGrpSpPr/>
                        <wpg:grpSpPr>
                          <a:xfrm>
                            <a:off x="0" y="0"/>
                            <a:ext cx="4306" cy="2979"/>
                            <a:chOff x="0" y="0"/>
                            <a:chExt cx="4306" cy="2979"/>
                          </a:xfrm>
                          <a:effectLst/>
                        </wpg:grpSpPr>
                        <wps:wsp>
                          <wps:cNvPr id="29" name="任意多边形 29"/>
                          <wps:cNvSpPr/>
                          <wps:spPr>
                            <a:xfrm>
                              <a:off x="0" y="0"/>
                              <a:ext cx="4306" cy="2979"/>
                            </a:xfrm>
                            <a:custGeom>
                              <a:avLst/>
                              <a:gdLst/>
                              <a:ahLst/>
                              <a:cxnLst/>
                              <a:pathLst>
                                <a:path w="4306" h="2979">
                                  <a:moveTo>
                                    <a:pt x="4306" y="2979"/>
                                  </a:moveTo>
                                  <a:lnTo>
                                    <a:pt x="0" y="2979"/>
                                  </a:lnTo>
                                  <a:lnTo>
                                    <a:pt x="0" y="0"/>
                                  </a:lnTo>
                                  <a:lnTo>
                                    <a:pt x="4306" y="0"/>
                                  </a:lnTo>
                                  <a:lnTo>
                                    <a:pt x="4306" y="8"/>
                                  </a:lnTo>
                                  <a:lnTo>
                                    <a:pt x="15" y="8"/>
                                  </a:lnTo>
                                  <a:lnTo>
                                    <a:pt x="8" y="15"/>
                                  </a:lnTo>
                                  <a:lnTo>
                                    <a:pt x="15" y="15"/>
                                  </a:lnTo>
                                  <a:lnTo>
                                    <a:pt x="15" y="2964"/>
                                  </a:lnTo>
                                  <a:lnTo>
                                    <a:pt x="8" y="2964"/>
                                  </a:lnTo>
                                  <a:lnTo>
                                    <a:pt x="15" y="2972"/>
                                  </a:lnTo>
                                  <a:lnTo>
                                    <a:pt x="4306" y="2972"/>
                                  </a:lnTo>
                                  <a:lnTo>
                                    <a:pt x="4306" y="2979"/>
                                  </a:lnTo>
                                  <a:close/>
                                </a:path>
                              </a:pathLst>
                            </a:custGeom>
                            <a:solidFill>
                              <a:srgbClr val="000000"/>
                            </a:solidFill>
                            <a:ln>
                              <a:noFill/>
                            </a:ln>
                            <a:effectLst/>
                          </wps:spPr>
                          <wps:bodyPr upright="1"/>
                        </wps:wsp>
                        <wps:wsp>
                          <wps:cNvPr id="30" name="任意多边形 30"/>
                          <wps:cNvSpPr/>
                          <wps:spPr>
                            <a:xfrm>
                              <a:off x="0" y="0"/>
                              <a:ext cx="4306" cy="2979"/>
                            </a:xfrm>
                            <a:custGeom>
                              <a:avLst/>
                              <a:gdLst/>
                              <a:ahLst/>
                              <a:cxnLst/>
                              <a:pathLst>
                                <a:path w="4306" h="2979">
                                  <a:moveTo>
                                    <a:pt x="15" y="15"/>
                                  </a:moveTo>
                                  <a:lnTo>
                                    <a:pt x="8" y="15"/>
                                  </a:lnTo>
                                  <a:lnTo>
                                    <a:pt x="15" y="8"/>
                                  </a:lnTo>
                                  <a:lnTo>
                                    <a:pt x="15" y="15"/>
                                  </a:lnTo>
                                  <a:close/>
                                </a:path>
                              </a:pathLst>
                            </a:custGeom>
                            <a:solidFill>
                              <a:srgbClr val="000000"/>
                            </a:solidFill>
                            <a:ln>
                              <a:noFill/>
                            </a:ln>
                            <a:effectLst/>
                          </wps:spPr>
                          <wps:bodyPr upright="1"/>
                        </wps:wsp>
                        <wps:wsp>
                          <wps:cNvPr id="31" name="任意多边形 31"/>
                          <wps:cNvSpPr/>
                          <wps:spPr>
                            <a:xfrm>
                              <a:off x="0" y="0"/>
                              <a:ext cx="4306" cy="2979"/>
                            </a:xfrm>
                            <a:custGeom>
                              <a:avLst/>
                              <a:gdLst/>
                              <a:ahLst/>
                              <a:cxnLst/>
                              <a:pathLst>
                                <a:path w="4306" h="2979">
                                  <a:moveTo>
                                    <a:pt x="4291" y="15"/>
                                  </a:moveTo>
                                  <a:lnTo>
                                    <a:pt x="15" y="15"/>
                                  </a:lnTo>
                                  <a:lnTo>
                                    <a:pt x="15" y="8"/>
                                  </a:lnTo>
                                  <a:lnTo>
                                    <a:pt x="4291" y="8"/>
                                  </a:lnTo>
                                  <a:lnTo>
                                    <a:pt x="4291" y="15"/>
                                  </a:lnTo>
                                  <a:close/>
                                </a:path>
                              </a:pathLst>
                            </a:custGeom>
                            <a:solidFill>
                              <a:srgbClr val="000000"/>
                            </a:solidFill>
                            <a:ln>
                              <a:noFill/>
                            </a:ln>
                            <a:effectLst/>
                          </wps:spPr>
                          <wps:bodyPr upright="1"/>
                        </wps:wsp>
                        <wps:wsp>
                          <wps:cNvPr id="32" name="任意多边形 32"/>
                          <wps:cNvSpPr/>
                          <wps:spPr>
                            <a:xfrm>
                              <a:off x="0" y="0"/>
                              <a:ext cx="4306" cy="2979"/>
                            </a:xfrm>
                            <a:custGeom>
                              <a:avLst/>
                              <a:gdLst/>
                              <a:ahLst/>
                              <a:cxnLst/>
                              <a:pathLst>
                                <a:path w="4306" h="2979">
                                  <a:moveTo>
                                    <a:pt x="4291" y="2972"/>
                                  </a:moveTo>
                                  <a:lnTo>
                                    <a:pt x="4291" y="8"/>
                                  </a:lnTo>
                                  <a:lnTo>
                                    <a:pt x="4298" y="15"/>
                                  </a:lnTo>
                                  <a:lnTo>
                                    <a:pt x="4306" y="15"/>
                                  </a:lnTo>
                                  <a:lnTo>
                                    <a:pt x="4306" y="2964"/>
                                  </a:lnTo>
                                  <a:lnTo>
                                    <a:pt x="4298" y="2964"/>
                                  </a:lnTo>
                                  <a:lnTo>
                                    <a:pt x="4291" y="2972"/>
                                  </a:lnTo>
                                  <a:close/>
                                </a:path>
                              </a:pathLst>
                            </a:custGeom>
                            <a:solidFill>
                              <a:srgbClr val="000000"/>
                            </a:solidFill>
                            <a:ln>
                              <a:noFill/>
                            </a:ln>
                            <a:effectLst/>
                          </wps:spPr>
                          <wps:bodyPr upright="1"/>
                        </wps:wsp>
                        <wps:wsp>
                          <wps:cNvPr id="33" name="任意多边形 33"/>
                          <wps:cNvSpPr/>
                          <wps:spPr>
                            <a:xfrm>
                              <a:off x="0" y="0"/>
                              <a:ext cx="4306" cy="2979"/>
                            </a:xfrm>
                            <a:custGeom>
                              <a:avLst/>
                              <a:gdLst/>
                              <a:ahLst/>
                              <a:cxnLst/>
                              <a:pathLst>
                                <a:path w="4306" h="2979">
                                  <a:moveTo>
                                    <a:pt x="4306" y="15"/>
                                  </a:moveTo>
                                  <a:lnTo>
                                    <a:pt x="4298" y="15"/>
                                  </a:lnTo>
                                  <a:lnTo>
                                    <a:pt x="4291" y="8"/>
                                  </a:lnTo>
                                  <a:lnTo>
                                    <a:pt x="4306" y="8"/>
                                  </a:lnTo>
                                  <a:lnTo>
                                    <a:pt x="4306" y="15"/>
                                  </a:lnTo>
                                  <a:close/>
                                </a:path>
                              </a:pathLst>
                            </a:custGeom>
                            <a:solidFill>
                              <a:srgbClr val="000000"/>
                            </a:solidFill>
                            <a:ln>
                              <a:noFill/>
                            </a:ln>
                            <a:effectLst/>
                          </wps:spPr>
                          <wps:bodyPr upright="1"/>
                        </wps:wsp>
                        <wps:wsp>
                          <wps:cNvPr id="34" name="任意多边形 34"/>
                          <wps:cNvSpPr/>
                          <wps:spPr>
                            <a:xfrm>
                              <a:off x="0" y="0"/>
                              <a:ext cx="4306" cy="2979"/>
                            </a:xfrm>
                            <a:custGeom>
                              <a:avLst/>
                              <a:gdLst/>
                              <a:ahLst/>
                              <a:cxnLst/>
                              <a:pathLst>
                                <a:path w="4306" h="2979">
                                  <a:moveTo>
                                    <a:pt x="15" y="2972"/>
                                  </a:moveTo>
                                  <a:lnTo>
                                    <a:pt x="8" y="2964"/>
                                  </a:lnTo>
                                  <a:lnTo>
                                    <a:pt x="15" y="2964"/>
                                  </a:lnTo>
                                  <a:lnTo>
                                    <a:pt x="15" y="2972"/>
                                  </a:lnTo>
                                  <a:close/>
                                </a:path>
                              </a:pathLst>
                            </a:custGeom>
                            <a:solidFill>
                              <a:srgbClr val="000000"/>
                            </a:solidFill>
                            <a:ln>
                              <a:noFill/>
                            </a:ln>
                            <a:effectLst/>
                          </wps:spPr>
                          <wps:bodyPr upright="1"/>
                        </wps:wsp>
                        <wps:wsp>
                          <wps:cNvPr id="35" name="任意多边形 35"/>
                          <wps:cNvSpPr/>
                          <wps:spPr>
                            <a:xfrm>
                              <a:off x="0" y="0"/>
                              <a:ext cx="4306" cy="2979"/>
                            </a:xfrm>
                            <a:custGeom>
                              <a:avLst/>
                              <a:gdLst/>
                              <a:ahLst/>
                              <a:cxnLst/>
                              <a:pathLst>
                                <a:path w="4306" h="2979">
                                  <a:moveTo>
                                    <a:pt x="4291" y="2972"/>
                                  </a:moveTo>
                                  <a:lnTo>
                                    <a:pt x="15" y="2972"/>
                                  </a:lnTo>
                                  <a:lnTo>
                                    <a:pt x="15" y="2964"/>
                                  </a:lnTo>
                                  <a:lnTo>
                                    <a:pt x="4291" y="2964"/>
                                  </a:lnTo>
                                  <a:lnTo>
                                    <a:pt x="4291" y="2972"/>
                                  </a:lnTo>
                                  <a:close/>
                                </a:path>
                              </a:pathLst>
                            </a:custGeom>
                            <a:solidFill>
                              <a:srgbClr val="000000"/>
                            </a:solidFill>
                            <a:ln>
                              <a:noFill/>
                            </a:ln>
                            <a:effectLst/>
                          </wps:spPr>
                          <wps:bodyPr upright="1"/>
                        </wps:wsp>
                        <wps:wsp>
                          <wps:cNvPr id="36" name="任意多边形 36"/>
                          <wps:cNvSpPr/>
                          <wps:spPr>
                            <a:xfrm>
                              <a:off x="0" y="0"/>
                              <a:ext cx="4306" cy="2979"/>
                            </a:xfrm>
                            <a:custGeom>
                              <a:avLst/>
                              <a:gdLst/>
                              <a:ahLst/>
                              <a:cxnLst/>
                              <a:pathLst>
                                <a:path w="4306" h="2979">
                                  <a:moveTo>
                                    <a:pt x="4306" y="2972"/>
                                  </a:moveTo>
                                  <a:lnTo>
                                    <a:pt x="4291" y="2972"/>
                                  </a:lnTo>
                                  <a:lnTo>
                                    <a:pt x="4298" y="2964"/>
                                  </a:lnTo>
                                  <a:lnTo>
                                    <a:pt x="4306" y="2964"/>
                                  </a:lnTo>
                                  <a:lnTo>
                                    <a:pt x="4306" y="2972"/>
                                  </a:lnTo>
                                  <a:close/>
                                </a:path>
                              </a:pathLst>
                            </a:custGeom>
                            <a:solidFill>
                              <a:srgbClr val="000000"/>
                            </a:solidFill>
                            <a:ln>
                              <a:noFill/>
                            </a:ln>
                            <a:effectLst/>
                          </wps:spPr>
                          <wps:bodyPr upright="1"/>
                        </wps:wsp>
                        <wps:wsp>
                          <wps:cNvPr id="37" name="文本框 37"/>
                          <wps:cNvSpPr txBox="1"/>
                          <wps:spPr>
                            <a:xfrm>
                              <a:off x="0" y="0"/>
                              <a:ext cx="4306" cy="2979"/>
                            </a:xfrm>
                            <a:prstGeom prst="rect">
                              <a:avLst/>
                            </a:prstGeom>
                            <a:noFill/>
                            <a:ln>
                              <a:noFill/>
                            </a:ln>
                            <a:effectLst/>
                          </wps:spPr>
                          <wps:txbx>
                            <w:txbxContent>
                              <w:p>
                                <w:pPr>
                                  <w:rPr>
                                    <w:rFonts w:ascii="宋体" w:hAnsi="宋体" w:cs="宋体"/>
                                    <w:b/>
                                    <w:bCs/>
                                    <w:sz w:val="20"/>
                                  </w:rPr>
                                </w:pPr>
                              </w:p>
                              <w:p>
                                <w:pPr>
                                  <w:rPr>
                                    <w:rFonts w:ascii="宋体" w:hAnsi="宋体" w:cs="宋体"/>
                                    <w:b/>
                                    <w:bCs/>
                                    <w:sz w:val="20"/>
                                  </w:rPr>
                                </w:pPr>
                              </w:p>
                              <w:p>
                                <w:pPr>
                                  <w:spacing w:before="4"/>
                                  <w:rPr>
                                    <w:rFonts w:ascii="宋体" w:hAnsi="宋体" w:cs="宋体"/>
                                    <w:b/>
                                    <w:bCs/>
                                    <w:sz w:val="19"/>
                                    <w:szCs w:val="19"/>
                                  </w:rPr>
                                </w:pPr>
                              </w:p>
                              <w:p>
                                <w:pPr>
                                  <w:ind w:left="996" w:right="998" w:firstLine="2"/>
                                  <w:jc w:val="center"/>
                                  <w:rPr>
                                    <w:rFonts w:ascii="宋体" w:hAnsi="宋体" w:cs="宋体"/>
                                    <w:szCs w:val="21"/>
                                  </w:rPr>
                                </w:pPr>
                                <w:r>
                                  <w:rPr>
                                    <w:rFonts w:ascii="宋体" w:hAnsi="宋体" w:cs="宋体"/>
                                    <w:spacing w:val="-1"/>
                                    <w:w w:val="99"/>
                                    <w:szCs w:val="21"/>
                                  </w:rPr>
                                  <w:t>法</w:t>
                                </w:r>
                                <w:r>
                                  <w:rPr>
                                    <w:rFonts w:ascii="宋体" w:hAnsi="宋体" w:cs="宋体"/>
                                    <w:spacing w:val="2"/>
                                    <w:w w:val="99"/>
                                    <w:szCs w:val="21"/>
                                  </w:rPr>
                                  <w:t>定</w:t>
                                </w:r>
                                <w:r>
                                  <w:rPr>
                                    <w:rFonts w:ascii="宋体" w:hAnsi="宋体" w:cs="宋体"/>
                                    <w:spacing w:val="-1"/>
                                    <w:w w:val="99"/>
                                    <w:szCs w:val="21"/>
                                  </w:rPr>
                                  <w:t>代</w:t>
                                </w:r>
                                <w:r>
                                  <w:rPr>
                                    <w:rFonts w:ascii="宋体" w:hAnsi="宋体" w:cs="宋体"/>
                                    <w:spacing w:val="2"/>
                                    <w:w w:val="99"/>
                                    <w:szCs w:val="21"/>
                                  </w:rPr>
                                  <w:t>表</w:t>
                                </w:r>
                                <w:r>
                                  <w:rPr>
                                    <w:rFonts w:ascii="宋体" w:hAnsi="宋体" w:cs="宋体"/>
                                    <w:w w:val="99"/>
                                    <w:szCs w:val="21"/>
                                  </w:rPr>
                                  <w:t xml:space="preserve">人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3"/>
                                  <w:rPr>
                                    <w:rFonts w:ascii="宋体" w:hAnsi="宋体" w:cs="宋体"/>
                                    <w:b/>
                                    <w:bCs/>
                                    <w:sz w:val="18"/>
                                    <w:szCs w:val="18"/>
                                  </w:rPr>
                                </w:pPr>
                              </w:p>
                              <w:p>
                                <w:pPr>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反</w:t>
                                </w:r>
                                <w:r>
                                  <w:rPr>
                                    <w:rFonts w:ascii="宋体" w:hAnsi="宋体" w:cs="宋体"/>
                                    <w:spacing w:val="-1"/>
                                    <w:w w:val="99"/>
                                    <w:szCs w:val="21"/>
                                  </w:rPr>
                                  <w:t>面</w:t>
                                </w:r>
                                <w:r>
                                  <w:rPr>
                                    <w:rFonts w:ascii="宋体" w:hAnsi="宋体" w:cs="宋体"/>
                                    <w:w w:val="99"/>
                                    <w:szCs w:val="21"/>
                                  </w:rPr>
                                  <w:t>）</w:t>
                                </w:r>
                              </w:p>
                            </w:txbxContent>
                          </wps:txbx>
                          <wps:bodyPr lIns="0" tIns="0" rIns="0" bIns="0" upright="1"/>
                        </wps:wsp>
                      </wpg:grpSp>
                    </wpg:wgp>
                  </a:graphicData>
                </a:graphic>
              </wp:inline>
            </w:drawing>
          </mc:Choice>
          <mc:Fallback>
            <w:pict>
              <v:group id="_x0000_s1026" o:spid="_x0000_s1026" o:spt="203" style="height:148.95pt;width:215.3pt;" coordsize="4306,2979" o:gfxdata="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">
                <o:lock v:ext="edit" rotation="t" aspectratio="f"/>
                <v:group id="_x0000_s1026" o:spid="_x0000_s1026" o:spt="203" style="position:absolute;left:0;top:0;height:2979;width:4306;" coordsize="4306,2979"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0;top:0;height:2979;width:4306;" fillcolor="#000000" filled="t" stroked="f" coordsize="4306,2979" o:gfxdata="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IPob4A&#10;AADbAAAADwAAAAAAAAABACAAAAAiAAAAZHJzL2Rvd25yZXYueG1sUEsBAhQAFAAAAAgAh07iQDMv&#10;BZ47AAAAOQAAABAAAAAAAAAAAQAgAAAADQEAAGRycy9zaGFwZXhtbC54bWxQSwUGAAAAAAYABgBb&#10;AQAAtwMAAAAA&#10;" path="m4306,2979l0,2979,0,0,4306,0,4306,8,15,8,8,15,15,15,15,2964,8,2964,15,2972,4306,2972,4306,2979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eAEw4bcAAADb&#10;AAAADwAAAGRycy9kb3ducmV2LnhtbEVPuwrCMBTdBf8hXMFNUxVUqlFEUAR1sDrodmmubbW5KU18&#10;/b0ZBMfDeU/nb1OKJ9WusKyg141AEKdWF5wpOB1XnTEI55E1lpZJwYcczGfNxhRjbV98oGfiMxFC&#10;2MWoIPe+iqV0aU4GXddWxIG72tqgD7DOpK7xFcJNKftRNJQGCw4NOVa0zCm9Jw+j4CL3mfysN7f+&#10;YrQ7b73ZrY53p1S71YsmIDy9/V/8c2+0gkFYH76EHyBn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4ATDhtwAAANsAAAAP&#10;AAAAAAAAAAEAIAAAACIAAABkcnMvZG93bnJldi54bWxQSwECFAAUAAAACACHTuJAMy8FnjsAAAA5&#10;AAAAEAAAAAAAAAABACAAAAAGAQAAZHJzL3NoYXBleG1sLnhtbFBLBQYAAAAABgAGAFsBAACwAwAA&#10;AAA=&#10;" path="m15,15l8,15,15,8,15,15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F02Ver4AAADb&#10;AAAADwAAAGRycy9kb3ducmV2LnhtbEWPQWvCQBSE7wX/w/IEb3UTBSupaxBBEbSHqgd7e2RfkzTZ&#10;tyG7GvPvu4LgcZiZb5hFeje1uFHrSssK4nEEgjizuuRcwfm0eZ+DcB5ZY22ZFPTkIF0O3haYaNvx&#10;N92OPhcBwi5BBYX3TSKlywoy6Ma2IQ7er20N+iDbXOoWuwA3tZxE0UwaLDksFNjQuqCsOl6Ngh/5&#10;lct+u/ubrD4Ol703h82pckqNhnH0CcLT3b/Cz/ZOK5jG8PgSfo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2Ver4A&#10;AADbAAAADwAAAAAAAAABACAAAAAiAAAAZHJzL2Rvd25yZXYueG1sUEsBAhQAFAAAAAgAh07iQDMv&#10;BZ47AAAAOQAAABAAAAAAAAAAAQAgAAAADQEAAGRycy9zaGFwZXhtbC54bWxQSwUGAAAAAAYABgBb&#10;AQAAtwMAAAAA&#10;" path="m4291,15l15,15,15,8,4291,8,4291,15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558LDb4AAADb&#10;AAAADwAAAGRycy9kb3ducmV2LnhtbEWPQWvCQBSE7wX/w/IEb3VjBCupaxBBEbSHqgd7e2RfkzTZ&#10;tyG7GvPvu4LgcZiZb5hFeje1uFHrSssKJuMIBHFmdcm5gvNp8z4H4TyyxtoyKejJQbocvC0w0bbj&#10;b7odfS4ChF2CCgrvm0RKlxVk0I1tQxy8X9sa9EG2udQtdgFuahlH0UwaLDksFNjQuqCsOl6Ngh/5&#10;lct+u/uLVx+Hy96bw+ZUOaVGw0n0CcLT3b/Cz/ZOK5jG8PgSfo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58LDb4A&#10;AADbAAAADwAAAAAAAAABACAAAAAiAAAAZHJzL2Rvd25yZXYueG1sUEsBAhQAFAAAAAgAh07iQDMv&#10;BZ47AAAAOQAAABAAAAAAAAAAAQAgAAAADQEAAGRycy9zaGFwZXhtbC54bWxQSwUGAAAAAAYABgBb&#10;AQAAtwMAAAAA&#10;" path="m4291,2972l4291,8,4298,15,4306,15,4306,2964,4298,2964,4291,2972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iNOulroAAADb&#10;AAAADwAAAGRycy9kb3ducmV2LnhtbEWPSwvCMBCE74L/IazgTVMVVKpRRFAE9eDjoLelWdtqsylN&#10;fP17Iwgeh5n5hhlPX6YQD6pcbllBpx2BIE6szjlVcDwsWkMQziNrLCyTgjc5mE7qtTHG2j55R4+9&#10;T0WAsItRQeZ9GUvpkowMurYtiYN3sZVBH2SVSl3hM8BNIbtR1JcGcw4LGZY0zyi57e9GwVluU/le&#10;rq7d2WBzWnuzWRxuTqlmoxONQHh6+X/4115pBb0efL+EHyA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066WugAAANsA&#10;AAAPAAAAAAAAAAEAIAAAACIAAABkcnMvZG93bnJldi54bWxQSwECFAAUAAAACACHTuJAMy8FnjsA&#10;AAA5AAAAEAAAAAAAAAABACAAAAAJAQAAZHJzL3NoYXBleG1sLnhtbFBLBQYAAAAABgAGAFsBAACz&#10;AwAAAAA=&#10;" path="m4306,15l4298,15,4291,8,4306,8,4306,15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Bzo24r4AAADb&#10;AAAADwAAAGRycy9kb3ducmV2LnhtbEWPS4vCQBCE78L+h6EXvOnEB65EJ2FZUAT1YNyD3ppMb5I1&#10;0xMy4+vfO4Lgsaiqr6h5ejO1uFDrKssKBv0IBHFudcWFgt/9ojcF4TyyxtoyKbiTgzT56Mwx1vbK&#10;O7pkvhABwi5GBaX3TSyly0sy6Pq2IQ7en20N+iDbQuoWrwFuajmMook0WHFYKLGhn5LyU3Y2Co5y&#10;W8j7cvU//P7aHNbebBb7k1Oq+zmIZiA83fw7/GqvtILRGJ5fwg+Q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o24r4A&#10;AADbAAAADwAAAAAAAAABACAAAAAiAAAAZHJzL2Rvd25yZXYueG1sUEsBAhQAFAAAAAgAh07iQDMv&#10;BZ47AAAAOQAAABAAAAAAAAAAAQAgAAAADQEAAGRycy9zaGFwZXhtbC54bWxQSwUGAAAAAAYABgBb&#10;AQAAtwMAAAAA&#10;" path="m15,2972l8,2964,15,2964,15,2972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aHaTeb4AAADb&#10;AAAADwAAAGRycy9kb3ducmV2LnhtbEWPT4vCMBTE78J+h/AWvGmqoivVtCwLiqAerHvQ26N523Zt&#10;XkoT/317Iwgeh5n5DTNPb6YWF2pdZVnBoB+BIM6trrhQ8Ltf9KYgnEfWWFsmBXdykCYfnTnG2l55&#10;R5fMFyJA2MWooPS+iaV0eUkGXd82xMH7s61BH2RbSN3iNcBNLYdRNJEGKw4LJTb0U1J+ys5GwVFu&#10;C3lfrv6H31+bw9qbzWJ/ckp1PwfRDISnm3+HX+2VVjAaw/NL+AEy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aTeb4A&#10;AADbAAAADwAAAAAAAAABACAAAAAiAAAAZHJzL2Rvd25yZXYueG1sUEsBAhQAFAAAAAgAh07iQDMv&#10;BZ47AAAAOQAAABAAAAAAAAAAAQAgAAAADQEAAGRycy9zaGFwZXhtbC54bWxQSwUGAAAAAAYABgBb&#10;AQAAtwMAAAAA&#10;" path="m4291,2972l15,2972,15,2964,4291,2964,4291,2972xe">
                    <v:fill on="t" focussize="0,0"/>
                    <v:stroke on="f"/>
                    <v:imagedata o:title=""/>
                    <o:lock v:ext="edit" aspectratio="f"/>
                  </v:shape>
                  <v:shape id="_x0000_s1026" o:spid="_x0000_s1026" o:spt="100" style="position:absolute;left:0;top:0;height:2979;width:4306;" fillcolor="#000000" filled="t" stroked="f" coordsize="4306,2979" o:gfxdata="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pA0OugAAANsA&#10;AAAPAAAAAAAAAAEAIAAAACIAAABkcnMvZG93bnJldi54bWxQSwECFAAUAAAACACHTuJAMy8FnjsA&#10;AAA5AAAAEAAAAAAAAAABACAAAAAJAQAAZHJzL3NoYXBleG1sLnhtbFBLBQYAAAAABgAGAFsBAACz&#10;AwAAAAA=&#10;" path="m4306,2972l4291,2972,4298,2964,4306,2964,4306,2972xe">
                    <v:fill on="t" focussize="0,0"/>
                    <v:stroke on="f"/>
                    <v:imagedata o:title=""/>
                    <o:lock v:ext="edit" aspectratio="f"/>
                  </v:shape>
                  <v:shape id="_x0000_s1026" o:spid="_x0000_s1026" o:spt="202" type="#_x0000_t202" style="position:absolute;left:0;top:0;height:2979;width:4306;"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宋体" w:hAnsi="宋体" w:cs="宋体"/>
                              <w:b/>
                              <w:bCs/>
                              <w:sz w:val="20"/>
                            </w:rPr>
                          </w:pPr>
                        </w:p>
                        <w:p>
                          <w:pPr>
                            <w:rPr>
                              <w:rFonts w:ascii="宋体" w:hAnsi="宋体" w:cs="宋体"/>
                              <w:b/>
                              <w:bCs/>
                              <w:sz w:val="20"/>
                            </w:rPr>
                          </w:pPr>
                        </w:p>
                        <w:p>
                          <w:pPr>
                            <w:spacing w:before="4"/>
                            <w:rPr>
                              <w:rFonts w:ascii="宋体" w:hAnsi="宋体" w:cs="宋体"/>
                              <w:b/>
                              <w:bCs/>
                              <w:sz w:val="19"/>
                              <w:szCs w:val="19"/>
                            </w:rPr>
                          </w:pPr>
                        </w:p>
                        <w:p>
                          <w:pPr>
                            <w:ind w:left="996" w:right="998" w:firstLine="2"/>
                            <w:jc w:val="center"/>
                            <w:rPr>
                              <w:rFonts w:ascii="宋体" w:hAnsi="宋体" w:cs="宋体"/>
                              <w:szCs w:val="21"/>
                            </w:rPr>
                          </w:pPr>
                          <w:r>
                            <w:rPr>
                              <w:rFonts w:ascii="宋体" w:hAnsi="宋体" w:cs="宋体"/>
                              <w:spacing w:val="-1"/>
                              <w:w w:val="99"/>
                              <w:szCs w:val="21"/>
                            </w:rPr>
                            <w:t>法</w:t>
                          </w:r>
                          <w:r>
                            <w:rPr>
                              <w:rFonts w:ascii="宋体" w:hAnsi="宋体" w:cs="宋体"/>
                              <w:spacing w:val="2"/>
                              <w:w w:val="99"/>
                              <w:szCs w:val="21"/>
                            </w:rPr>
                            <w:t>定</w:t>
                          </w:r>
                          <w:r>
                            <w:rPr>
                              <w:rFonts w:ascii="宋体" w:hAnsi="宋体" w:cs="宋体"/>
                              <w:spacing w:val="-1"/>
                              <w:w w:val="99"/>
                              <w:szCs w:val="21"/>
                            </w:rPr>
                            <w:t>代</w:t>
                          </w:r>
                          <w:r>
                            <w:rPr>
                              <w:rFonts w:ascii="宋体" w:hAnsi="宋体" w:cs="宋体"/>
                              <w:spacing w:val="2"/>
                              <w:w w:val="99"/>
                              <w:szCs w:val="21"/>
                            </w:rPr>
                            <w:t>表</w:t>
                          </w:r>
                          <w:r>
                            <w:rPr>
                              <w:rFonts w:ascii="宋体" w:hAnsi="宋体" w:cs="宋体"/>
                              <w:w w:val="99"/>
                              <w:szCs w:val="21"/>
                            </w:rPr>
                            <w:t xml:space="preserve">人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3"/>
                            <w:rPr>
                              <w:rFonts w:ascii="宋体" w:hAnsi="宋体" w:cs="宋体"/>
                              <w:b/>
                              <w:bCs/>
                              <w:sz w:val="18"/>
                              <w:szCs w:val="18"/>
                            </w:rPr>
                          </w:pPr>
                        </w:p>
                        <w:p>
                          <w:pPr>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反</w:t>
                          </w:r>
                          <w:r>
                            <w:rPr>
                              <w:rFonts w:ascii="宋体" w:hAnsi="宋体" w:cs="宋体"/>
                              <w:spacing w:val="-1"/>
                              <w:w w:val="99"/>
                              <w:szCs w:val="21"/>
                            </w:rPr>
                            <w:t>面</w:t>
                          </w:r>
                          <w:r>
                            <w:rPr>
                              <w:rFonts w:ascii="宋体" w:hAnsi="宋体" w:cs="宋体"/>
                              <w:w w:val="99"/>
                              <w:szCs w:val="21"/>
                            </w:rPr>
                            <w:t>）</w:t>
                          </w:r>
                        </w:p>
                      </w:txbxContent>
                    </v:textbox>
                  </v:shape>
                </v:group>
                <w10:wrap type="none"/>
                <w10:anchorlock/>
              </v:group>
            </w:pict>
          </mc:Fallback>
        </mc:AlternateContent>
      </w:r>
    </w:p>
    <w:p>
      <w:pPr>
        <w:spacing w:before="11"/>
        <w:rPr>
          <w:rFonts w:ascii="宋体" w:hAnsi="宋体" w:cs="宋体"/>
          <w:b/>
          <w:bCs/>
          <w:sz w:val="28"/>
          <w:szCs w:val="28"/>
        </w:rPr>
      </w:pPr>
    </w:p>
    <w:p>
      <w:pPr>
        <w:pStyle w:val="10"/>
        <w:spacing w:line="439" w:lineRule="auto"/>
        <w:ind w:left="5114" w:right="1193"/>
      </w:pPr>
      <w:r>
        <w:t>投标人名称：</w:t>
      </w:r>
      <w:r>
        <w:rPr>
          <w:spacing w:val="-6"/>
        </w:rPr>
        <w:t xml:space="preserve"> </w:t>
      </w:r>
      <w:r>
        <w:t>（盖公章）</w:t>
      </w:r>
      <w:r>
        <w:rPr>
          <w:w w:val="99"/>
        </w:rPr>
        <w:t xml:space="preserve"> </w:t>
      </w:r>
      <w:r>
        <w:t>地址：</w:t>
      </w:r>
    </w:p>
    <w:p>
      <w:pPr>
        <w:pStyle w:val="10"/>
        <w:tabs>
          <w:tab w:val="left" w:pos="6688"/>
          <w:tab w:val="left" w:pos="7214"/>
          <w:tab w:val="left" w:pos="7739"/>
        </w:tabs>
        <w:spacing w:before="50"/>
        <w:ind w:left="5114" w:right="955"/>
      </w:pPr>
      <w:r>
        <w:rPr>
          <w:w w:val="95"/>
        </w:rPr>
        <w:t>签发日期：</w:t>
      </w:r>
      <w:r>
        <w:rPr>
          <w:rFonts w:ascii="Times New Roman" w:hAnsi="Times New Roman" w:eastAsia="Times New Roman"/>
          <w:w w:val="95"/>
          <w:u w:val="single" w:color="000000"/>
        </w:rPr>
        <w:tab/>
      </w:r>
      <w:r>
        <w:t>年</w:t>
      </w:r>
      <w:r>
        <w:rPr>
          <w:rFonts w:ascii="Times New Roman" w:hAnsi="Times New Roman" w:eastAsia="Times New Roman"/>
          <w:u w:val="single" w:color="000000"/>
        </w:rPr>
        <w:tab/>
      </w:r>
      <w:r>
        <w:t>月</w:t>
      </w:r>
      <w:r>
        <w:rPr>
          <w:rFonts w:ascii="Times New Roman" w:hAnsi="Times New Roman" w:eastAsia="Times New Roman"/>
          <w:u w:val="single" w:color="000000"/>
        </w:rPr>
        <w:tab/>
      </w:r>
      <w:r>
        <w:t>日</w:t>
      </w:r>
    </w:p>
    <w:p>
      <w:pPr>
        <w:sectPr>
          <w:type w:val="continuous"/>
          <w:pgSz w:w="11910" w:h="16840"/>
          <w:pgMar w:top="1580" w:right="1380" w:bottom="280" w:left="1200" w:header="720" w:footer="720" w:gutter="0"/>
          <w:cols w:space="720" w:num="1"/>
        </w:sectPr>
      </w:pPr>
    </w:p>
    <w:p>
      <w:pPr>
        <w:spacing w:line="355" w:lineRule="exact"/>
        <w:ind w:left="12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4</w:t>
      </w:r>
    </w:p>
    <w:p>
      <w:pPr>
        <w:spacing w:before="5"/>
        <w:rPr>
          <w:rFonts w:ascii="黑体" w:hAnsi="黑体" w:eastAsia="黑体" w:cs="黑体"/>
          <w:sz w:val="27"/>
          <w:szCs w:val="27"/>
        </w:rPr>
      </w:pPr>
      <w:r>
        <w:br w:type="column"/>
      </w:r>
    </w:p>
    <w:p>
      <w:pPr>
        <w:ind w:left="120"/>
        <w:rPr>
          <w:rFonts w:ascii="宋体" w:hAnsi="宋体" w:cs="宋体"/>
          <w:sz w:val="28"/>
          <w:szCs w:val="28"/>
        </w:rPr>
      </w:pPr>
      <w:r>
        <w:rPr>
          <w:rFonts w:ascii="宋体" w:hAnsi="宋体" w:cs="宋体"/>
          <w:b/>
          <w:bCs/>
          <w:sz w:val="28"/>
          <w:szCs w:val="28"/>
        </w:rPr>
        <w:t>法定代表人授权委托书</w:t>
      </w:r>
    </w:p>
    <w:p>
      <w:pPr>
        <w:rPr>
          <w:rFonts w:ascii="宋体" w:hAnsi="宋体" w:cs="宋体"/>
          <w:sz w:val="28"/>
          <w:szCs w:val="28"/>
        </w:rPr>
        <w:sectPr>
          <w:footerReference r:id="rId8" w:type="default"/>
          <w:pgSz w:w="11910" w:h="16840"/>
          <w:pgMar w:top="1460" w:right="1520" w:bottom="1160" w:left="1680" w:header="0" w:footer="978" w:gutter="0"/>
          <w:pgNumType w:start="30"/>
          <w:cols w:equalWidth="0" w:num="2">
            <w:col w:w="890" w:space="1858"/>
            <w:col w:w="5962"/>
          </w:cols>
        </w:sectPr>
      </w:pPr>
    </w:p>
    <w:p>
      <w:pPr>
        <w:spacing w:before="7"/>
        <w:rPr>
          <w:rFonts w:ascii="宋体" w:hAnsi="宋体" w:cs="宋体"/>
          <w:b/>
          <w:bCs/>
          <w:sz w:val="11"/>
          <w:szCs w:val="11"/>
        </w:rPr>
      </w:pPr>
    </w:p>
    <w:p>
      <w:pPr>
        <w:pStyle w:val="6"/>
        <w:spacing w:before="34"/>
        <w:ind w:left="228"/>
        <w:rPr>
          <w:b w:val="0"/>
          <w:bCs w:val="0"/>
        </w:rPr>
      </w:pPr>
      <w:r>
        <w:t>致：广东省消防救援总队</w:t>
      </w:r>
    </w:p>
    <w:p>
      <w:pPr>
        <w:pStyle w:val="10"/>
        <w:tabs>
          <w:tab w:val="left" w:pos="7163"/>
        </w:tabs>
        <w:spacing w:before="135"/>
        <w:ind w:left="540"/>
      </w:pPr>
      <w:r>
        <w:t xml:space="preserve">本授权委托书声明：注册于 </w:t>
      </w:r>
      <w:r>
        <w:rPr>
          <w:u w:val="single" w:color="000000"/>
        </w:rPr>
        <w:t xml:space="preserve">（投标人地址）  </w:t>
      </w:r>
      <w:r>
        <w:t>的</w:t>
      </w:r>
      <w:r>
        <w:rPr>
          <w:spacing w:val="100"/>
        </w:rPr>
        <w:t xml:space="preserve"> </w:t>
      </w:r>
      <w:r>
        <w:rPr>
          <w:u w:val="single" w:color="000000"/>
        </w:rPr>
        <w:t>（投标人名称）</w:t>
      </w:r>
      <w:r>
        <w:rPr>
          <w:rFonts w:ascii="Times New Roman" w:hAnsi="Times New Roman" w:eastAsia="Times New Roman"/>
          <w:u w:val="single" w:color="000000"/>
        </w:rPr>
        <w:tab/>
      </w:r>
      <w:r>
        <w:t>在下面签名的</w:t>
      </w:r>
    </w:p>
    <w:p>
      <w:pPr>
        <w:pStyle w:val="10"/>
      </w:pPr>
      <w:r>
        <w:rPr>
          <w:spacing w:val="-3"/>
          <w:u w:val="single" w:color="000000"/>
        </w:rPr>
        <w:t>（法定代表人姓名、职务）</w:t>
      </w:r>
      <w:r>
        <w:rPr>
          <w:spacing w:val="-3"/>
        </w:rPr>
        <w:t>在此授权</w:t>
      </w:r>
      <w:r>
        <w:rPr>
          <w:spacing w:val="-3"/>
          <w:u w:val="single" w:color="000000"/>
        </w:rPr>
        <w:t>（被授权人姓名、职务）</w:t>
      </w:r>
      <w:r>
        <w:rPr>
          <w:spacing w:val="-3"/>
        </w:rPr>
        <w:t>作为我公司的合法代理人，就</w:t>
      </w:r>
    </w:p>
    <w:p>
      <w:pPr>
        <w:pStyle w:val="10"/>
        <w:spacing w:line="355" w:lineRule="auto"/>
      </w:pPr>
      <w:r>
        <w:rPr>
          <w:spacing w:val="-3"/>
          <w:u w:val="single" w:color="000000"/>
        </w:rPr>
        <w:t>（项目名称、项目编号</w:t>
      </w:r>
      <w:r>
        <w:rPr>
          <w:spacing w:val="-3"/>
        </w:rPr>
        <w:t>）的招投标活动，采购合同的签订、执行、完成和售后服务，作为投</w:t>
      </w:r>
      <w:r>
        <w:rPr>
          <w:spacing w:val="-101"/>
        </w:rPr>
        <w:t xml:space="preserve"> </w:t>
      </w:r>
      <w:r>
        <w:t>标人代表以我方的名义处理一切与之有关的事务。</w:t>
      </w:r>
    </w:p>
    <w:p>
      <w:pPr>
        <w:pStyle w:val="10"/>
        <w:spacing w:before="35" w:line="355" w:lineRule="auto"/>
        <w:ind w:left="540"/>
      </w:pPr>
      <w:r>
        <w:t>被授权人（投标人授权代表）无转委托权限。</w:t>
      </w:r>
      <w:r>
        <w:rPr>
          <w:w w:val="99"/>
        </w:rPr>
        <w:t xml:space="preserve"> </w:t>
      </w:r>
      <w:r>
        <w:rPr>
          <w:w w:val="95"/>
        </w:rPr>
        <w:t>本授权书自法定代表人签字之日起生效，特此声明。</w:t>
      </w:r>
    </w:p>
    <w:p>
      <w:pPr>
        <w:rPr>
          <w:rFonts w:ascii="宋体" w:hAnsi="宋体" w:cs="宋体"/>
          <w:sz w:val="20"/>
        </w:rPr>
      </w:pPr>
    </w:p>
    <w:p>
      <w:pPr>
        <w:pStyle w:val="10"/>
        <w:tabs>
          <w:tab w:val="left" w:pos="959"/>
        </w:tabs>
        <w:spacing w:before="178" w:line="357" w:lineRule="auto"/>
        <w:ind w:right="6277"/>
      </w:pPr>
      <w:r>
        <w:rPr>
          <w:w w:val="95"/>
        </w:rPr>
        <w:t>投标人名称（盖公章）：</w:t>
      </w:r>
      <w:r>
        <w:rPr>
          <w:spacing w:val="6"/>
          <w:w w:val="95"/>
        </w:rPr>
        <w:t xml:space="preserve"> </w:t>
      </w:r>
      <w:r>
        <w:rPr>
          <w:w w:val="95"/>
        </w:rPr>
        <w:t>地</w:t>
      </w:r>
      <w:r>
        <w:rPr>
          <w:w w:val="95"/>
        </w:rPr>
        <w:tab/>
      </w:r>
      <w:r>
        <w:t>址：</w:t>
      </w:r>
    </w:p>
    <w:p>
      <w:pPr>
        <w:pStyle w:val="10"/>
        <w:tabs>
          <w:tab w:val="left" w:pos="5474"/>
          <w:tab w:val="left" w:pos="7048"/>
          <w:tab w:val="left" w:pos="7574"/>
          <w:tab w:val="left" w:pos="8099"/>
        </w:tabs>
        <w:spacing w:before="30" w:line="355" w:lineRule="auto"/>
        <w:ind w:right="396"/>
      </w:pPr>
      <w:r>
        <w:rPr>
          <w:w w:val="95"/>
        </w:rPr>
        <w:t>法定代表人（签字或盖章）：</w:t>
      </w:r>
      <w:r>
        <w:rPr>
          <w:w w:val="95"/>
        </w:rPr>
        <w:tab/>
      </w:r>
      <w:r>
        <w:rPr>
          <w:w w:val="95"/>
        </w:rPr>
        <w:t>签字日期：</w:t>
      </w:r>
      <w:r>
        <w:rPr>
          <w:rFonts w:ascii="Times New Roman" w:hAnsi="Times New Roman" w:eastAsia="Times New Roman"/>
          <w:w w:val="95"/>
          <w:u w:val="single" w:color="000000"/>
        </w:rPr>
        <w:tab/>
      </w:r>
      <w:r>
        <w:t>年</w:t>
      </w:r>
      <w:r>
        <w:rPr>
          <w:rFonts w:ascii="Times New Roman" w:hAnsi="Times New Roman" w:eastAsia="Times New Roman"/>
          <w:u w:val="single" w:color="000000"/>
        </w:rPr>
        <w:tab/>
      </w:r>
      <w:r>
        <w:t>月</w:t>
      </w:r>
      <w:r>
        <w:rPr>
          <w:rFonts w:ascii="Times New Roman" w:hAnsi="Times New Roman" w:eastAsia="Times New Roman"/>
          <w:u w:val="single" w:color="000000"/>
        </w:rPr>
        <w:tab/>
      </w:r>
      <w:r>
        <w:t>日</w:t>
      </w:r>
      <w:r>
        <w:rPr>
          <w:w w:val="99"/>
        </w:rPr>
        <w:t xml:space="preserve"> </w:t>
      </w:r>
      <w:r>
        <w:t>被授权人（投标人授权代表）（签字或盖章）：</w:t>
      </w:r>
    </w:p>
    <w:p>
      <w:pPr>
        <w:pStyle w:val="10"/>
        <w:tabs>
          <w:tab w:val="left" w:pos="4005"/>
          <w:tab w:val="left" w:pos="5159"/>
        </w:tabs>
        <w:spacing w:before="32"/>
      </w:pPr>
      <w:r>
        <w:rPr>
          <w:w w:val="95"/>
        </w:rPr>
        <w:t>被授权人（投标人授权代表）性别：</w:t>
      </w:r>
      <w:r>
        <w:rPr>
          <w:w w:val="95"/>
        </w:rPr>
        <w:tab/>
      </w:r>
      <w:r>
        <w:rPr>
          <w:w w:val="95"/>
        </w:rPr>
        <w:t>年龄：</w:t>
      </w:r>
      <w:r>
        <w:rPr>
          <w:w w:val="95"/>
        </w:rPr>
        <w:tab/>
      </w:r>
      <w:r>
        <w:t>身份证号码：</w:t>
      </w:r>
    </w:p>
    <w:p>
      <w:pPr>
        <w:rPr>
          <w:rFonts w:ascii="宋体" w:hAnsi="宋体" w:cs="宋体"/>
          <w:sz w:val="20"/>
        </w:rPr>
      </w:pPr>
    </w:p>
    <w:p>
      <w:pPr>
        <w:spacing w:before="12"/>
        <w:rPr>
          <w:rFonts w:ascii="宋体" w:hAnsi="宋体" w:cs="宋体"/>
          <w:sz w:val="16"/>
          <w:szCs w:val="16"/>
        </w:rPr>
      </w:pPr>
    </w:p>
    <w:p>
      <w:pPr>
        <w:tabs>
          <w:tab w:val="left" w:pos="4792"/>
        </w:tabs>
        <w:spacing w:line="3135" w:lineRule="exact"/>
        <w:ind w:left="112"/>
        <w:rPr>
          <w:rFonts w:ascii="宋体" w:hAnsi="宋体" w:cs="宋体"/>
          <w:sz w:val="20"/>
        </w:rPr>
      </w:pPr>
      <w:r>
        <w:rPr>
          <w:rFonts w:ascii="宋体" w:eastAsia="Calibri"/>
          <w:position w:val="-62"/>
          <w:sz w:val="20"/>
        </w:rPr>
        <mc:AlternateContent>
          <mc:Choice Requires="wpg">
            <w:drawing>
              <wp:inline distT="0" distB="0" distL="114300" distR="114300">
                <wp:extent cx="2409825" cy="1956435"/>
                <wp:effectExtent l="0" t="0" r="9525" b="5715"/>
                <wp:docPr id="50" name="组合 50"/>
                <wp:cNvGraphicFramePr/>
                <a:graphic xmlns:a="http://schemas.openxmlformats.org/drawingml/2006/main">
                  <a:graphicData uri="http://schemas.microsoft.com/office/word/2010/wordprocessingGroup">
                    <wpg:wgp>
                      <wpg:cNvGrpSpPr>
                        <a:grpSpLocks noRot="1"/>
                      </wpg:cNvGrpSpPr>
                      <wpg:grpSpPr>
                        <a:xfrm>
                          <a:off x="0" y="0"/>
                          <a:ext cx="2409825" cy="1956435"/>
                          <a:chOff x="0" y="0"/>
                          <a:chExt cx="3795" cy="3081"/>
                        </a:xfrm>
                        <a:effectLst/>
                      </wpg:grpSpPr>
                      <wpg:grpSp>
                        <wpg:cNvPr id="49" name="组合 49"/>
                        <wpg:cNvGrpSpPr/>
                        <wpg:grpSpPr>
                          <a:xfrm>
                            <a:off x="0" y="0"/>
                            <a:ext cx="3795" cy="3081"/>
                            <a:chOff x="0" y="0"/>
                            <a:chExt cx="3795" cy="3081"/>
                          </a:xfrm>
                          <a:effectLst/>
                        </wpg:grpSpPr>
                        <wps:wsp>
                          <wps:cNvPr id="40" name="任意多边形 40"/>
                          <wps:cNvSpPr/>
                          <wps:spPr>
                            <a:xfrm>
                              <a:off x="0" y="0"/>
                              <a:ext cx="3795" cy="3081"/>
                            </a:xfrm>
                            <a:custGeom>
                              <a:avLst/>
                              <a:gdLst/>
                              <a:ahLst/>
                              <a:cxnLst/>
                              <a:pathLst>
                                <a:path w="3795" h="3081">
                                  <a:moveTo>
                                    <a:pt x="3795" y="3081"/>
                                  </a:moveTo>
                                  <a:lnTo>
                                    <a:pt x="0" y="3081"/>
                                  </a:lnTo>
                                  <a:lnTo>
                                    <a:pt x="0" y="0"/>
                                  </a:lnTo>
                                  <a:lnTo>
                                    <a:pt x="3795" y="0"/>
                                  </a:lnTo>
                                  <a:lnTo>
                                    <a:pt x="3795" y="8"/>
                                  </a:lnTo>
                                  <a:lnTo>
                                    <a:pt x="15" y="8"/>
                                  </a:lnTo>
                                  <a:lnTo>
                                    <a:pt x="8" y="15"/>
                                  </a:lnTo>
                                  <a:lnTo>
                                    <a:pt x="15" y="15"/>
                                  </a:lnTo>
                                  <a:lnTo>
                                    <a:pt x="15" y="3066"/>
                                  </a:lnTo>
                                  <a:lnTo>
                                    <a:pt x="8" y="3066"/>
                                  </a:lnTo>
                                  <a:lnTo>
                                    <a:pt x="15" y="3074"/>
                                  </a:lnTo>
                                  <a:lnTo>
                                    <a:pt x="3795" y="3074"/>
                                  </a:lnTo>
                                  <a:lnTo>
                                    <a:pt x="3795" y="3081"/>
                                  </a:lnTo>
                                  <a:close/>
                                </a:path>
                              </a:pathLst>
                            </a:custGeom>
                            <a:solidFill>
                              <a:srgbClr val="000000"/>
                            </a:solidFill>
                            <a:ln>
                              <a:noFill/>
                            </a:ln>
                            <a:effectLst/>
                          </wps:spPr>
                          <wps:bodyPr upright="1"/>
                        </wps:wsp>
                        <wps:wsp>
                          <wps:cNvPr id="41" name="任意多边形 41"/>
                          <wps:cNvSpPr/>
                          <wps:spPr>
                            <a:xfrm>
                              <a:off x="0" y="0"/>
                              <a:ext cx="3795" cy="3081"/>
                            </a:xfrm>
                            <a:custGeom>
                              <a:avLst/>
                              <a:gdLst/>
                              <a:ahLst/>
                              <a:cxnLst/>
                              <a:pathLst>
                                <a:path w="3795" h="3081">
                                  <a:moveTo>
                                    <a:pt x="15" y="15"/>
                                  </a:moveTo>
                                  <a:lnTo>
                                    <a:pt x="8" y="15"/>
                                  </a:lnTo>
                                  <a:lnTo>
                                    <a:pt x="15" y="8"/>
                                  </a:lnTo>
                                  <a:lnTo>
                                    <a:pt x="15" y="15"/>
                                  </a:lnTo>
                                  <a:close/>
                                </a:path>
                              </a:pathLst>
                            </a:custGeom>
                            <a:solidFill>
                              <a:srgbClr val="000000"/>
                            </a:solidFill>
                            <a:ln>
                              <a:noFill/>
                            </a:ln>
                            <a:effectLst/>
                          </wps:spPr>
                          <wps:bodyPr upright="1"/>
                        </wps:wsp>
                        <wps:wsp>
                          <wps:cNvPr id="42" name="任意多边形 42"/>
                          <wps:cNvSpPr/>
                          <wps:spPr>
                            <a:xfrm>
                              <a:off x="0" y="0"/>
                              <a:ext cx="3795" cy="3081"/>
                            </a:xfrm>
                            <a:custGeom>
                              <a:avLst/>
                              <a:gdLst/>
                              <a:ahLst/>
                              <a:cxnLst/>
                              <a:pathLst>
                                <a:path w="3795" h="3081">
                                  <a:moveTo>
                                    <a:pt x="3780" y="15"/>
                                  </a:moveTo>
                                  <a:lnTo>
                                    <a:pt x="15" y="15"/>
                                  </a:lnTo>
                                  <a:lnTo>
                                    <a:pt x="15" y="8"/>
                                  </a:lnTo>
                                  <a:lnTo>
                                    <a:pt x="3780" y="8"/>
                                  </a:lnTo>
                                  <a:lnTo>
                                    <a:pt x="3780" y="15"/>
                                  </a:lnTo>
                                  <a:close/>
                                </a:path>
                              </a:pathLst>
                            </a:custGeom>
                            <a:solidFill>
                              <a:srgbClr val="000000"/>
                            </a:solidFill>
                            <a:ln>
                              <a:noFill/>
                            </a:ln>
                            <a:effectLst/>
                          </wps:spPr>
                          <wps:bodyPr upright="1"/>
                        </wps:wsp>
                        <wps:wsp>
                          <wps:cNvPr id="43" name="任意多边形 43"/>
                          <wps:cNvSpPr/>
                          <wps:spPr>
                            <a:xfrm>
                              <a:off x="0" y="0"/>
                              <a:ext cx="3795" cy="3081"/>
                            </a:xfrm>
                            <a:custGeom>
                              <a:avLst/>
                              <a:gdLst/>
                              <a:ahLst/>
                              <a:cxnLst/>
                              <a:pathLst>
                                <a:path w="3795" h="3081">
                                  <a:moveTo>
                                    <a:pt x="3780" y="3074"/>
                                  </a:moveTo>
                                  <a:lnTo>
                                    <a:pt x="3780" y="8"/>
                                  </a:lnTo>
                                  <a:lnTo>
                                    <a:pt x="3788" y="15"/>
                                  </a:lnTo>
                                  <a:lnTo>
                                    <a:pt x="3795" y="15"/>
                                  </a:lnTo>
                                  <a:lnTo>
                                    <a:pt x="3795" y="3066"/>
                                  </a:lnTo>
                                  <a:lnTo>
                                    <a:pt x="3788" y="3066"/>
                                  </a:lnTo>
                                  <a:lnTo>
                                    <a:pt x="3780" y="3074"/>
                                  </a:lnTo>
                                  <a:close/>
                                </a:path>
                              </a:pathLst>
                            </a:custGeom>
                            <a:solidFill>
                              <a:srgbClr val="000000"/>
                            </a:solidFill>
                            <a:ln>
                              <a:noFill/>
                            </a:ln>
                            <a:effectLst/>
                          </wps:spPr>
                          <wps:bodyPr upright="1"/>
                        </wps:wsp>
                        <wps:wsp>
                          <wps:cNvPr id="44" name="任意多边形 44"/>
                          <wps:cNvSpPr/>
                          <wps:spPr>
                            <a:xfrm>
                              <a:off x="0" y="0"/>
                              <a:ext cx="3795" cy="3081"/>
                            </a:xfrm>
                            <a:custGeom>
                              <a:avLst/>
                              <a:gdLst/>
                              <a:ahLst/>
                              <a:cxnLst/>
                              <a:pathLst>
                                <a:path w="3795" h="3081">
                                  <a:moveTo>
                                    <a:pt x="3795" y="15"/>
                                  </a:moveTo>
                                  <a:lnTo>
                                    <a:pt x="3788" y="15"/>
                                  </a:lnTo>
                                  <a:lnTo>
                                    <a:pt x="3780" y="8"/>
                                  </a:lnTo>
                                  <a:lnTo>
                                    <a:pt x="3795" y="8"/>
                                  </a:lnTo>
                                  <a:lnTo>
                                    <a:pt x="3795" y="15"/>
                                  </a:lnTo>
                                  <a:close/>
                                </a:path>
                              </a:pathLst>
                            </a:custGeom>
                            <a:solidFill>
                              <a:srgbClr val="000000"/>
                            </a:solidFill>
                            <a:ln>
                              <a:noFill/>
                            </a:ln>
                            <a:effectLst/>
                          </wps:spPr>
                          <wps:bodyPr upright="1"/>
                        </wps:wsp>
                        <wps:wsp>
                          <wps:cNvPr id="45" name="任意多边形 45"/>
                          <wps:cNvSpPr/>
                          <wps:spPr>
                            <a:xfrm>
                              <a:off x="0" y="0"/>
                              <a:ext cx="3795" cy="3081"/>
                            </a:xfrm>
                            <a:custGeom>
                              <a:avLst/>
                              <a:gdLst/>
                              <a:ahLst/>
                              <a:cxnLst/>
                              <a:pathLst>
                                <a:path w="3795" h="3081">
                                  <a:moveTo>
                                    <a:pt x="15" y="3074"/>
                                  </a:moveTo>
                                  <a:lnTo>
                                    <a:pt x="8" y="3066"/>
                                  </a:lnTo>
                                  <a:lnTo>
                                    <a:pt x="15" y="3066"/>
                                  </a:lnTo>
                                  <a:lnTo>
                                    <a:pt x="15" y="3074"/>
                                  </a:lnTo>
                                  <a:close/>
                                </a:path>
                              </a:pathLst>
                            </a:custGeom>
                            <a:solidFill>
                              <a:srgbClr val="000000"/>
                            </a:solidFill>
                            <a:ln>
                              <a:noFill/>
                            </a:ln>
                            <a:effectLst/>
                          </wps:spPr>
                          <wps:bodyPr upright="1"/>
                        </wps:wsp>
                        <wps:wsp>
                          <wps:cNvPr id="46" name="任意多边形 46"/>
                          <wps:cNvSpPr/>
                          <wps:spPr>
                            <a:xfrm>
                              <a:off x="0" y="0"/>
                              <a:ext cx="3795" cy="3081"/>
                            </a:xfrm>
                            <a:custGeom>
                              <a:avLst/>
                              <a:gdLst/>
                              <a:ahLst/>
                              <a:cxnLst/>
                              <a:pathLst>
                                <a:path w="3795" h="3081">
                                  <a:moveTo>
                                    <a:pt x="3780" y="3074"/>
                                  </a:moveTo>
                                  <a:lnTo>
                                    <a:pt x="15" y="3074"/>
                                  </a:lnTo>
                                  <a:lnTo>
                                    <a:pt x="15" y="3066"/>
                                  </a:lnTo>
                                  <a:lnTo>
                                    <a:pt x="3780" y="3066"/>
                                  </a:lnTo>
                                  <a:lnTo>
                                    <a:pt x="3780" y="3074"/>
                                  </a:lnTo>
                                  <a:close/>
                                </a:path>
                              </a:pathLst>
                            </a:custGeom>
                            <a:solidFill>
                              <a:srgbClr val="000000"/>
                            </a:solidFill>
                            <a:ln>
                              <a:noFill/>
                            </a:ln>
                            <a:effectLst/>
                          </wps:spPr>
                          <wps:bodyPr upright="1"/>
                        </wps:wsp>
                        <wps:wsp>
                          <wps:cNvPr id="47" name="任意多边形 47"/>
                          <wps:cNvSpPr/>
                          <wps:spPr>
                            <a:xfrm>
                              <a:off x="0" y="0"/>
                              <a:ext cx="3795" cy="3081"/>
                            </a:xfrm>
                            <a:custGeom>
                              <a:avLst/>
                              <a:gdLst/>
                              <a:ahLst/>
                              <a:cxnLst/>
                              <a:pathLst>
                                <a:path w="3795" h="3081">
                                  <a:moveTo>
                                    <a:pt x="3795" y="3074"/>
                                  </a:moveTo>
                                  <a:lnTo>
                                    <a:pt x="3780" y="3074"/>
                                  </a:lnTo>
                                  <a:lnTo>
                                    <a:pt x="3788" y="3066"/>
                                  </a:lnTo>
                                  <a:lnTo>
                                    <a:pt x="3795" y="3066"/>
                                  </a:lnTo>
                                  <a:lnTo>
                                    <a:pt x="3795" y="3074"/>
                                  </a:lnTo>
                                  <a:close/>
                                </a:path>
                              </a:pathLst>
                            </a:custGeom>
                            <a:solidFill>
                              <a:srgbClr val="000000"/>
                            </a:solidFill>
                            <a:ln>
                              <a:noFill/>
                            </a:ln>
                            <a:effectLst/>
                          </wps:spPr>
                          <wps:bodyPr upright="1"/>
                        </wps:wsp>
                        <wps:wsp>
                          <wps:cNvPr id="48" name="文本框 48"/>
                          <wps:cNvSpPr txBox="1"/>
                          <wps:spPr>
                            <a:xfrm>
                              <a:off x="0" y="0"/>
                              <a:ext cx="3795" cy="3081"/>
                            </a:xfrm>
                            <a:prstGeom prst="rect">
                              <a:avLst/>
                            </a:prstGeom>
                            <a:noFill/>
                            <a:ln>
                              <a:noFill/>
                            </a:ln>
                            <a:effectLst/>
                          </wps:spPr>
                          <wps:txbx>
                            <w:txbxContent>
                              <w:p>
                                <w:pPr>
                                  <w:spacing w:before="52"/>
                                  <w:ind w:left="684" w:right="799" w:firstLine="211"/>
                                  <w:rPr>
                                    <w:rFonts w:ascii="宋体" w:hAnsi="宋体" w:cs="宋体"/>
                                    <w:szCs w:val="21"/>
                                  </w:rPr>
                                </w:pPr>
                                <w:r>
                                  <w:rPr>
                                    <w:rFonts w:ascii="宋体" w:hAnsi="宋体" w:cs="宋体"/>
                                    <w:spacing w:val="-1"/>
                                    <w:w w:val="99"/>
                                    <w:szCs w:val="21"/>
                                  </w:rPr>
                                  <w:t>被</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人</w:t>
                                </w:r>
                                <w:r>
                                  <w:rPr>
                                    <w:rFonts w:ascii="宋体" w:hAnsi="宋体" w:cs="宋体"/>
                                    <w:spacing w:val="-1"/>
                                    <w:w w:val="99"/>
                                    <w:szCs w:val="21"/>
                                  </w:rPr>
                                  <w:t>（</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代</w:t>
                                </w:r>
                                <w:r>
                                  <w:rPr>
                                    <w:rFonts w:ascii="宋体" w:hAnsi="宋体" w:cs="宋体"/>
                                    <w:spacing w:val="-1"/>
                                    <w:w w:val="99"/>
                                    <w:szCs w:val="21"/>
                                  </w:rPr>
                                  <w:t>表</w:t>
                                </w:r>
                                <w:r>
                                  <w:rPr>
                                    <w:rFonts w:ascii="宋体" w:hAnsi="宋体" w:cs="宋体"/>
                                    <w:w w:val="99"/>
                                    <w:szCs w:val="21"/>
                                  </w:rPr>
                                  <w:t xml:space="preserve">）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3"/>
                                  <w:rPr>
                                    <w:rFonts w:ascii="宋体" w:hAnsi="宋体" w:cs="宋体"/>
                                    <w:sz w:val="18"/>
                                    <w:szCs w:val="18"/>
                                  </w:rPr>
                                </w:pPr>
                              </w:p>
                              <w:p>
                                <w:pPr>
                                  <w:ind w:right="324"/>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正</w:t>
                                </w:r>
                                <w:r>
                                  <w:rPr>
                                    <w:rFonts w:ascii="宋体" w:hAnsi="宋体" w:cs="宋体"/>
                                    <w:spacing w:val="-1"/>
                                    <w:w w:val="99"/>
                                    <w:szCs w:val="21"/>
                                  </w:rPr>
                                  <w:t>面</w:t>
                                </w:r>
                                <w:r>
                                  <w:rPr>
                                    <w:rFonts w:ascii="宋体" w:hAnsi="宋体" w:cs="宋体"/>
                                    <w:w w:val="99"/>
                                    <w:szCs w:val="21"/>
                                  </w:rPr>
                                  <w:t>）</w:t>
                                </w:r>
                              </w:p>
                            </w:txbxContent>
                          </wps:txbx>
                          <wps:bodyPr lIns="0" tIns="0" rIns="0" bIns="0" upright="1"/>
                        </wps:wsp>
                      </wpg:grpSp>
                    </wpg:wgp>
                  </a:graphicData>
                </a:graphic>
              </wp:inline>
            </w:drawing>
          </mc:Choice>
          <mc:Fallback>
            <w:pict>
              <v:group id="_x0000_s1026" o:spid="_x0000_s1026" o:spt="203" style="height:154.05pt;width:189.75pt;" coordsize="3795,3081" o:gfxdata="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">
                <o:lock v:ext="edit" rotation="t" aspectratio="f"/>
                <v:group id="_x0000_s1026" o:spid="_x0000_s1026" o:spt="203" style="position:absolute;left:0;top:0;height:3081;width:3795;" coordsize="3795,3081"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0;top:0;height:3081;width:3795;" fillcolor="#000000" filled="t" stroked="f" coordsize="3795,3081" o:gfxdata="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HJfLsAAADb&#10;AAAADwAAAAAAAAABACAAAAAiAAAAZHJzL2Rvd25yZXYueG1sUEsBAhQAFAAAAAgAh07iQDMvBZ47&#10;AAAAOQAAABAAAAAAAAAAAQAgAAAACgEAAGRycy9zaGFwZXhtbC54bWxQSwUGAAAAAAYABgBbAQAA&#10;tAMAAAAA&#10;" path="m3795,3081l0,3081,0,0,3795,0,3795,8,15,8,8,15,15,15,15,3066,8,3066,15,3074,3795,3074,3795,3081xe">
                    <v:fill on="t" focussize="0,0"/>
                    <v:stroke on="f"/>
                    <v:imagedata o:title=""/>
                    <o:lock v:ext="edit" aspectratio="f"/>
                  </v:shape>
                  <v:shape id="_x0000_s1026" o:spid="_x0000_s1026" o:spt="100" style="position:absolute;left:0;top:0;height:3081;width:3795;" fillcolor="#000000" filled="t" stroked="f" coordsize="3795,3081" o:gfxdata="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1s574A&#10;AADbAAAADwAAAAAAAAABACAAAAAiAAAAZHJzL2Rvd25yZXYueG1sUEsBAhQAFAAAAAgAh07iQDMv&#10;BZ47AAAAOQAAABAAAAAAAAAAAQAgAAAADQEAAGRycy9zaGFwZXhtbC54bWxQSwUGAAAAAAYABgBb&#10;AQAAtwMAAAAA&#10;" path="m15,15l8,15,15,8,15,15xe">
                    <v:fill on="t" focussize="0,0"/>
                    <v:stroke on="f"/>
                    <v:imagedata o:title=""/>
                    <o:lock v:ext="edit" aspectratio="f"/>
                  </v:shape>
                  <v:shape id="_x0000_s1026" o:spid="_x0000_s1026" o:spt="100" style="position:absolute;left:0;top:0;height:3081;width:3795;" fillcolor="#000000" filled="t" stroked="f" coordsize="3795,3081" o:gfxdata="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j/KQvQAA&#10;ANsAAAAPAAAAAAAAAAEAIAAAACIAAABkcnMvZG93bnJldi54bWxQSwECFAAUAAAACACHTuJAMy8F&#10;njsAAAA5AAAAEAAAAAAAAAABACAAAAAMAQAAZHJzL3NoYXBleG1sLnhtbFBLBQYAAAAABgAGAFsB&#10;AAC2AwAAAAA=&#10;" path="m3780,15l15,15,15,8,3780,8,3780,15xe">
                    <v:fill on="t" focussize="0,0"/>
                    <v:stroke on="f"/>
                    <v:imagedata o:title=""/>
                    <o:lock v:ext="edit" aspectratio="f"/>
                  </v:shape>
                  <v:shape id="_x0000_s1026" o:spid="_x0000_s1026" o:spt="100" style="position:absolute;left:0;top:0;height:3081;width:3795;" fillcolor="#000000" filled="t" stroked="f" coordsize="3795,3081" o:gfxdata="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8NXC74A&#10;AADbAAAADwAAAAAAAAABACAAAAAiAAAAZHJzL2Rvd25yZXYueG1sUEsBAhQAFAAAAAgAh07iQDMv&#10;BZ47AAAAOQAAABAAAAAAAAAAAQAgAAAADQEAAGRycy9zaGFwZXhtbC54bWxQSwUGAAAAAAYABgBb&#10;AQAAtwMAAAAA&#10;" path="m3780,3074l3780,8,3788,15,3795,15,3795,3066,3788,3066,3780,3074xe">
                    <v:fill on="t" focussize="0,0"/>
                    <v:stroke on="f"/>
                    <v:imagedata o:title=""/>
                    <o:lock v:ext="edit" aspectratio="f"/>
                  </v:shape>
                  <v:shape id="_x0000_s1026" o:spid="_x0000_s1026" o:spt="100" style="position:absolute;left:0;top:0;height:3081;width:3795;" fillcolor="#000000" filled="t" stroked="f" coordsize="3795,3081" o:gfxdata="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Ks9/vQAA&#10;ANsAAAAPAAAAAAAAAAEAIAAAACIAAABkcnMvZG93bnJldi54bWxQSwECFAAUAAAACACHTuJAMy8F&#10;njsAAAA5AAAAEAAAAAAAAAABACAAAAAMAQAAZHJzL3NoYXBleG1sLnhtbFBLBQYAAAAABgAGAFsB&#10;AAC2AwAAAAA=&#10;" path="m3795,15l3788,15,3780,8,3795,8,3795,15xe">
                    <v:fill on="t" focussize="0,0"/>
                    <v:stroke on="f"/>
                    <v:imagedata o:title=""/>
                    <o:lock v:ext="edit" aspectratio="f"/>
                  </v:shape>
                  <v:shape id="_x0000_s1026" o:spid="_x0000_s1026" o:spt="100" style="position:absolute;left:0;top:0;height:3081;width:3795;" fillcolor="#000000" filled="t" stroked="f" coordsize="3795,3081" o:gfxdata="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mauS/&#10;AAAA2wAAAA8AAAAAAAAAAQAgAAAAIgAAAGRycy9kb3ducmV2LnhtbFBLAQIUABQAAAAIAIdO4kAz&#10;LwWeOwAAADkAAAAQAAAAAAAAAAEAIAAAAA4BAABkcnMvc2hhcGV4bWwueG1sUEsFBgAAAAAGAAYA&#10;WwEAALgDAAAAAA==&#10;" path="m15,3074l8,3066,15,3066,15,3074xe">
                    <v:fill on="t" focussize="0,0"/>
                    <v:stroke on="f"/>
                    <v:imagedata o:title=""/>
                    <o:lock v:ext="edit" aspectratio="f"/>
                  </v:shape>
                  <v:shape id="_x0000_s1026" o:spid="_x0000_s1026" o:spt="100" style="position:absolute;left:0;top:0;height:3081;width:3795;" fillcolor="#000000" filled="t" stroked="f" coordsize="3795,3081" o:gfxdata="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tPSTvQAA&#10;ANsAAAAPAAAAAAAAAAEAIAAAACIAAABkcnMvZG93bnJldi54bWxQSwECFAAUAAAACACHTuJAMy8F&#10;njsAAAA5AAAAEAAAAAAAAAABACAAAAAMAQAAZHJzL3NoYXBleG1sLnhtbFBLBQYAAAAABgAGAFsB&#10;AAC2AwAAAAA=&#10;" path="m3780,3074l15,3074,15,3066,3780,3066,3780,3074xe">
                    <v:fill on="t" focussize="0,0"/>
                    <v:stroke on="f"/>
                    <v:imagedata o:title=""/>
                    <o:lock v:ext="edit" aspectratio="f"/>
                  </v:shape>
                  <v:shape id="_x0000_s1026" o:spid="_x0000_s1026" o:spt="100" style="position:absolute;left:0;top:0;height:3081;width:3795;" fillcolor="#000000" filled="t" stroked="f" coordsize="3795,3081" o:gfxdata="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hRCL4A&#10;AADbAAAADwAAAAAAAAABACAAAAAiAAAAZHJzL2Rvd25yZXYueG1sUEsBAhQAFAAAAAgAh07iQDMv&#10;BZ47AAAAOQAAABAAAAAAAAAAAQAgAAAADQEAAGRycy9zaGFwZXhtbC54bWxQSwUGAAAAAAYABgBb&#10;AQAAtwMAAAAA&#10;" path="m3795,3074l3780,3074,3788,3066,3795,3066,3795,3074xe">
                    <v:fill on="t" focussize="0,0"/>
                    <v:stroke on="f"/>
                    <v:imagedata o:title=""/>
                    <o:lock v:ext="edit" aspectratio="f"/>
                  </v:shape>
                  <v:shape id="_x0000_s1026" o:spid="_x0000_s1026" o:spt="202" type="#_x0000_t202" style="position:absolute;left:0;top:0;height:3081;width:379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52"/>
                            <w:ind w:left="684" w:right="799" w:firstLine="211"/>
                            <w:rPr>
                              <w:rFonts w:ascii="宋体" w:hAnsi="宋体" w:cs="宋体"/>
                              <w:szCs w:val="21"/>
                            </w:rPr>
                          </w:pPr>
                          <w:r>
                            <w:rPr>
                              <w:rFonts w:ascii="宋体" w:hAnsi="宋体" w:cs="宋体"/>
                              <w:spacing w:val="-1"/>
                              <w:w w:val="99"/>
                              <w:szCs w:val="21"/>
                            </w:rPr>
                            <w:t>被</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人</w:t>
                          </w:r>
                          <w:r>
                            <w:rPr>
                              <w:rFonts w:ascii="宋体" w:hAnsi="宋体" w:cs="宋体"/>
                              <w:spacing w:val="-1"/>
                              <w:w w:val="99"/>
                              <w:szCs w:val="21"/>
                            </w:rPr>
                            <w:t>（</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代</w:t>
                          </w:r>
                          <w:r>
                            <w:rPr>
                              <w:rFonts w:ascii="宋体" w:hAnsi="宋体" w:cs="宋体"/>
                              <w:spacing w:val="-1"/>
                              <w:w w:val="99"/>
                              <w:szCs w:val="21"/>
                            </w:rPr>
                            <w:t>表</w:t>
                          </w:r>
                          <w:r>
                            <w:rPr>
                              <w:rFonts w:ascii="宋体" w:hAnsi="宋体" w:cs="宋体"/>
                              <w:w w:val="99"/>
                              <w:szCs w:val="21"/>
                            </w:rPr>
                            <w:t xml:space="preserve">）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3"/>
                            <w:rPr>
                              <w:rFonts w:ascii="宋体" w:hAnsi="宋体" w:cs="宋体"/>
                              <w:sz w:val="18"/>
                              <w:szCs w:val="18"/>
                            </w:rPr>
                          </w:pPr>
                        </w:p>
                        <w:p>
                          <w:pPr>
                            <w:ind w:right="324"/>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正</w:t>
                          </w:r>
                          <w:r>
                            <w:rPr>
                              <w:rFonts w:ascii="宋体" w:hAnsi="宋体" w:cs="宋体"/>
                              <w:spacing w:val="-1"/>
                              <w:w w:val="99"/>
                              <w:szCs w:val="21"/>
                            </w:rPr>
                            <w:t>面</w:t>
                          </w:r>
                          <w:r>
                            <w:rPr>
                              <w:rFonts w:ascii="宋体" w:hAnsi="宋体" w:cs="宋体"/>
                              <w:w w:val="99"/>
                              <w:szCs w:val="21"/>
                            </w:rPr>
                            <w:t>）</w:t>
                          </w:r>
                        </w:p>
                      </w:txbxContent>
                    </v:textbox>
                  </v:shape>
                </v:group>
                <w10:wrap type="none"/>
                <w10:anchorlock/>
              </v:group>
            </w:pict>
          </mc:Fallback>
        </mc:AlternateContent>
      </w:r>
      <w:r>
        <w:rPr>
          <w:rFonts w:ascii="宋体"/>
          <w:position w:val="-62"/>
          <w:sz w:val="20"/>
        </w:rPr>
        <w:tab/>
      </w:r>
      <w:r>
        <w:rPr>
          <w:rFonts w:ascii="宋体"/>
          <w:position w:val="-62"/>
          <w:sz w:val="20"/>
        </w:rPr>
        <mc:AlternateContent>
          <mc:Choice Requires="wpg">
            <w:drawing>
              <wp:inline distT="0" distB="0" distL="114300" distR="114300">
                <wp:extent cx="2409825" cy="1990725"/>
                <wp:effectExtent l="0" t="0" r="9525" b="9525"/>
                <wp:docPr id="61" name="组合 61"/>
                <wp:cNvGraphicFramePr/>
                <a:graphic xmlns:a="http://schemas.openxmlformats.org/drawingml/2006/main">
                  <a:graphicData uri="http://schemas.microsoft.com/office/word/2010/wordprocessingGroup">
                    <wpg:wgp>
                      <wpg:cNvGrpSpPr>
                        <a:grpSpLocks noRot="1"/>
                      </wpg:cNvGrpSpPr>
                      <wpg:grpSpPr>
                        <a:xfrm>
                          <a:off x="0" y="0"/>
                          <a:ext cx="2409825" cy="1990725"/>
                          <a:chOff x="0" y="0"/>
                          <a:chExt cx="3795" cy="3135"/>
                        </a:xfrm>
                        <a:effectLst/>
                      </wpg:grpSpPr>
                      <wpg:grpSp>
                        <wpg:cNvPr id="60" name="组合 60"/>
                        <wpg:cNvGrpSpPr/>
                        <wpg:grpSpPr>
                          <a:xfrm>
                            <a:off x="0" y="0"/>
                            <a:ext cx="3795" cy="3135"/>
                            <a:chOff x="0" y="0"/>
                            <a:chExt cx="3795" cy="3135"/>
                          </a:xfrm>
                          <a:effectLst/>
                        </wpg:grpSpPr>
                        <wps:wsp>
                          <wps:cNvPr id="51" name="任意多边形 51"/>
                          <wps:cNvSpPr/>
                          <wps:spPr>
                            <a:xfrm>
                              <a:off x="0" y="0"/>
                              <a:ext cx="3795" cy="3135"/>
                            </a:xfrm>
                            <a:custGeom>
                              <a:avLst/>
                              <a:gdLst/>
                              <a:ahLst/>
                              <a:cxnLst/>
                              <a:pathLst>
                                <a:path w="3795" h="3135">
                                  <a:moveTo>
                                    <a:pt x="3795" y="3135"/>
                                  </a:moveTo>
                                  <a:lnTo>
                                    <a:pt x="0" y="3135"/>
                                  </a:lnTo>
                                  <a:lnTo>
                                    <a:pt x="0" y="0"/>
                                  </a:lnTo>
                                  <a:lnTo>
                                    <a:pt x="3795" y="0"/>
                                  </a:lnTo>
                                  <a:lnTo>
                                    <a:pt x="3795" y="8"/>
                                  </a:lnTo>
                                  <a:lnTo>
                                    <a:pt x="15" y="8"/>
                                  </a:lnTo>
                                  <a:lnTo>
                                    <a:pt x="8" y="15"/>
                                  </a:lnTo>
                                  <a:lnTo>
                                    <a:pt x="15" y="15"/>
                                  </a:lnTo>
                                  <a:lnTo>
                                    <a:pt x="15" y="3120"/>
                                  </a:lnTo>
                                  <a:lnTo>
                                    <a:pt x="8" y="3120"/>
                                  </a:lnTo>
                                  <a:lnTo>
                                    <a:pt x="15" y="3128"/>
                                  </a:lnTo>
                                  <a:lnTo>
                                    <a:pt x="3795" y="3128"/>
                                  </a:lnTo>
                                  <a:lnTo>
                                    <a:pt x="3795" y="3135"/>
                                  </a:lnTo>
                                  <a:close/>
                                </a:path>
                              </a:pathLst>
                            </a:custGeom>
                            <a:solidFill>
                              <a:srgbClr val="000000"/>
                            </a:solidFill>
                            <a:ln>
                              <a:noFill/>
                            </a:ln>
                            <a:effectLst/>
                          </wps:spPr>
                          <wps:bodyPr upright="1"/>
                        </wps:wsp>
                        <wps:wsp>
                          <wps:cNvPr id="52" name="任意多边形 52"/>
                          <wps:cNvSpPr/>
                          <wps:spPr>
                            <a:xfrm>
                              <a:off x="0" y="0"/>
                              <a:ext cx="3795" cy="3135"/>
                            </a:xfrm>
                            <a:custGeom>
                              <a:avLst/>
                              <a:gdLst/>
                              <a:ahLst/>
                              <a:cxnLst/>
                              <a:pathLst>
                                <a:path w="3795" h="3135">
                                  <a:moveTo>
                                    <a:pt x="15" y="15"/>
                                  </a:moveTo>
                                  <a:lnTo>
                                    <a:pt x="8" y="15"/>
                                  </a:lnTo>
                                  <a:lnTo>
                                    <a:pt x="15" y="8"/>
                                  </a:lnTo>
                                  <a:lnTo>
                                    <a:pt x="15" y="15"/>
                                  </a:lnTo>
                                  <a:close/>
                                </a:path>
                              </a:pathLst>
                            </a:custGeom>
                            <a:solidFill>
                              <a:srgbClr val="000000"/>
                            </a:solidFill>
                            <a:ln>
                              <a:noFill/>
                            </a:ln>
                            <a:effectLst/>
                          </wps:spPr>
                          <wps:bodyPr upright="1"/>
                        </wps:wsp>
                        <wps:wsp>
                          <wps:cNvPr id="53" name="任意多边形 53"/>
                          <wps:cNvSpPr/>
                          <wps:spPr>
                            <a:xfrm>
                              <a:off x="0" y="0"/>
                              <a:ext cx="3795" cy="3135"/>
                            </a:xfrm>
                            <a:custGeom>
                              <a:avLst/>
                              <a:gdLst/>
                              <a:ahLst/>
                              <a:cxnLst/>
                              <a:pathLst>
                                <a:path w="3795" h="3135">
                                  <a:moveTo>
                                    <a:pt x="3780" y="15"/>
                                  </a:moveTo>
                                  <a:lnTo>
                                    <a:pt x="15" y="15"/>
                                  </a:lnTo>
                                  <a:lnTo>
                                    <a:pt x="15" y="8"/>
                                  </a:lnTo>
                                  <a:lnTo>
                                    <a:pt x="3780" y="8"/>
                                  </a:lnTo>
                                  <a:lnTo>
                                    <a:pt x="3780" y="15"/>
                                  </a:lnTo>
                                  <a:close/>
                                </a:path>
                              </a:pathLst>
                            </a:custGeom>
                            <a:solidFill>
                              <a:srgbClr val="000000"/>
                            </a:solidFill>
                            <a:ln>
                              <a:noFill/>
                            </a:ln>
                            <a:effectLst/>
                          </wps:spPr>
                          <wps:bodyPr upright="1"/>
                        </wps:wsp>
                        <wps:wsp>
                          <wps:cNvPr id="54" name="任意多边形 54"/>
                          <wps:cNvSpPr/>
                          <wps:spPr>
                            <a:xfrm>
                              <a:off x="0" y="0"/>
                              <a:ext cx="3795" cy="3135"/>
                            </a:xfrm>
                            <a:custGeom>
                              <a:avLst/>
                              <a:gdLst/>
                              <a:ahLst/>
                              <a:cxnLst/>
                              <a:pathLst>
                                <a:path w="3795" h="3135">
                                  <a:moveTo>
                                    <a:pt x="3780" y="3128"/>
                                  </a:moveTo>
                                  <a:lnTo>
                                    <a:pt x="3780" y="8"/>
                                  </a:lnTo>
                                  <a:lnTo>
                                    <a:pt x="3788" y="15"/>
                                  </a:lnTo>
                                  <a:lnTo>
                                    <a:pt x="3795" y="15"/>
                                  </a:lnTo>
                                  <a:lnTo>
                                    <a:pt x="3795" y="3120"/>
                                  </a:lnTo>
                                  <a:lnTo>
                                    <a:pt x="3788" y="3120"/>
                                  </a:lnTo>
                                  <a:lnTo>
                                    <a:pt x="3780" y="3128"/>
                                  </a:lnTo>
                                  <a:close/>
                                </a:path>
                              </a:pathLst>
                            </a:custGeom>
                            <a:solidFill>
                              <a:srgbClr val="000000"/>
                            </a:solidFill>
                            <a:ln>
                              <a:noFill/>
                            </a:ln>
                            <a:effectLst/>
                          </wps:spPr>
                          <wps:bodyPr upright="1"/>
                        </wps:wsp>
                        <wps:wsp>
                          <wps:cNvPr id="55" name="任意多边形 55"/>
                          <wps:cNvSpPr/>
                          <wps:spPr>
                            <a:xfrm>
                              <a:off x="0" y="0"/>
                              <a:ext cx="3795" cy="3135"/>
                            </a:xfrm>
                            <a:custGeom>
                              <a:avLst/>
                              <a:gdLst/>
                              <a:ahLst/>
                              <a:cxnLst/>
                              <a:pathLst>
                                <a:path w="3795" h="3135">
                                  <a:moveTo>
                                    <a:pt x="3795" y="15"/>
                                  </a:moveTo>
                                  <a:lnTo>
                                    <a:pt x="3788" y="15"/>
                                  </a:lnTo>
                                  <a:lnTo>
                                    <a:pt x="3780" y="8"/>
                                  </a:lnTo>
                                  <a:lnTo>
                                    <a:pt x="3795" y="8"/>
                                  </a:lnTo>
                                  <a:lnTo>
                                    <a:pt x="3795" y="15"/>
                                  </a:lnTo>
                                  <a:close/>
                                </a:path>
                              </a:pathLst>
                            </a:custGeom>
                            <a:solidFill>
                              <a:srgbClr val="000000"/>
                            </a:solidFill>
                            <a:ln>
                              <a:noFill/>
                            </a:ln>
                            <a:effectLst/>
                          </wps:spPr>
                          <wps:bodyPr upright="1"/>
                        </wps:wsp>
                        <wps:wsp>
                          <wps:cNvPr id="56" name="任意多边形 56"/>
                          <wps:cNvSpPr/>
                          <wps:spPr>
                            <a:xfrm>
                              <a:off x="0" y="0"/>
                              <a:ext cx="3795" cy="3135"/>
                            </a:xfrm>
                            <a:custGeom>
                              <a:avLst/>
                              <a:gdLst/>
                              <a:ahLst/>
                              <a:cxnLst/>
                              <a:pathLst>
                                <a:path w="3795" h="3135">
                                  <a:moveTo>
                                    <a:pt x="15" y="3128"/>
                                  </a:moveTo>
                                  <a:lnTo>
                                    <a:pt x="8" y="3120"/>
                                  </a:lnTo>
                                  <a:lnTo>
                                    <a:pt x="15" y="3120"/>
                                  </a:lnTo>
                                  <a:lnTo>
                                    <a:pt x="15" y="3128"/>
                                  </a:lnTo>
                                  <a:close/>
                                </a:path>
                              </a:pathLst>
                            </a:custGeom>
                            <a:solidFill>
                              <a:srgbClr val="000000"/>
                            </a:solidFill>
                            <a:ln>
                              <a:noFill/>
                            </a:ln>
                            <a:effectLst/>
                          </wps:spPr>
                          <wps:bodyPr upright="1"/>
                        </wps:wsp>
                        <wps:wsp>
                          <wps:cNvPr id="57" name="任意多边形 57"/>
                          <wps:cNvSpPr/>
                          <wps:spPr>
                            <a:xfrm>
                              <a:off x="0" y="0"/>
                              <a:ext cx="3795" cy="3135"/>
                            </a:xfrm>
                            <a:custGeom>
                              <a:avLst/>
                              <a:gdLst/>
                              <a:ahLst/>
                              <a:cxnLst/>
                              <a:pathLst>
                                <a:path w="3795" h="3135">
                                  <a:moveTo>
                                    <a:pt x="3780" y="3128"/>
                                  </a:moveTo>
                                  <a:lnTo>
                                    <a:pt x="15" y="3128"/>
                                  </a:lnTo>
                                  <a:lnTo>
                                    <a:pt x="15" y="3120"/>
                                  </a:lnTo>
                                  <a:lnTo>
                                    <a:pt x="3780" y="3120"/>
                                  </a:lnTo>
                                  <a:lnTo>
                                    <a:pt x="3780" y="3128"/>
                                  </a:lnTo>
                                  <a:close/>
                                </a:path>
                              </a:pathLst>
                            </a:custGeom>
                            <a:solidFill>
                              <a:srgbClr val="000000"/>
                            </a:solidFill>
                            <a:ln>
                              <a:noFill/>
                            </a:ln>
                            <a:effectLst/>
                          </wps:spPr>
                          <wps:bodyPr upright="1"/>
                        </wps:wsp>
                        <wps:wsp>
                          <wps:cNvPr id="58" name="任意多边形 58"/>
                          <wps:cNvSpPr/>
                          <wps:spPr>
                            <a:xfrm>
                              <a:off x="0" y="0"/>
                              <a:ext cx="3795" cy="3135"/>
                            </a:xfrm>
                            <a:custGeom>
                              <a:avLst/>
                              <a:gdLst/>
                              <a:ahLst/>
                              <a:cxnLst/>
                              <a:pathLst>
                                <a:path w="3795" h="3135">
                                  <a:moveTo>
                                    <a:pt x="3795" y="3128"/>
                                  </a:moveTo>
                                  <a:lnTo>
                                    <a:pt x="3780" y="3128"/>
                                  </a:lnTo>
                                  <a:lnTo>
                                    <a:pt x="3788" y="3120"/>
                                  </a:lnTo>
                                  <a:lnTo>
                                    <a:pt x="3795" y="3120"/>
                                  </a:lnTo>
                                  <a:lnTo>
                                    <a:pt x="3795" y="3128"/>
                                  </a:lnTo>
                                  <a:close/>
                                </a:path>
                              </a:pathLst>
                            </a:custGeom>
                            <a:solidFill>
                              <a:srgbClr val="000000"/>
                            </a:solidFill>
                            <a:ln>
                              <a:noFill/>
                            </a:ln>
                            <a:effectLst/>
                          </wps:spPr>
                          <wps:bodyPr upright="1"/>
                        </wps:wsp>
                        <wps:wsp>
                          <wps:cNvPr id="59" name="文本框 59"/>
                          <wps:cNvSpPr txBox="1"/>
                          <wps:spPr>
                            <a:xfrm>
                              <a:off x="0" y="0"/>
                              <a:ext cx="3795" cy="3135"/>
                            </a:xfrm>
                            <a:prstGeom prst="rect">
                              <a:avLst/>
                            </a:prstGeom>
                            <a:noFill/>
                            <a:ln>
                              <a:noFill/>
                            </a:ln>
                            <a:effectLst/>
                          </wps:spPr>
                          <wps:txbx>
                            <w:txbxContent>
                              <w:p>
                                <w:pPr>
                                  <w:spacing w:before="81" w:line="272" w:lineRule="exact"/>
                                  <w:ind w:left="789" w:right="694" w:firstLine="208"/>
                                  <w:rPr>
                                    <w:rFonts w:ascii="宋体" w:hAnsi="宋体" w:cs="宋体"/>
                                    <w:szCs w:val="21"/>
                                  </w:rPr>
                                </w:pPr>
                                <w:r>
                                  <w:rPr>
                                    <w:rFonts w:ascii="宋体" w:hAnsi="宋体" w:cs="宋体"/>
                                    <w:spacing w:val="-1"/>
                                    <w:w w:val="99"/>
                                    <w:szCs w:val="21"/>
                                  </w:rPr>
                                  <w:t>被</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人</w:t>
                                </w:r>
                                <w:r>
                                  <w:rPr>
                                    <w:rFonts w:ascii="宋体" w:hAnsi="宋体" w:cs="宋体"/>
                                    <w:spacing w:val="-1"/>
                                    <w:w w:val="99"/>
                                    <w:szCs w:val="21"/>
                                  </w:rPr>
                                  <w:t>（</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代</w:t>
                                </w:r>
                                <w:r>
                                  <w:rPr>
                                    <w:rFonts w:ascii="宋体" w:hAnsi="宋体" w:cs="宋体"/>
                                    <w:spacing w:val="-1"/>
                                    <w:w w:val="99"/>
                                    <w:szCs w:val="21"/>
                                  </w:rPr>
                                  <w:t>表</w:t>
                                </w:r>
                                <w:r>
                                  <w:rPr>
                                    <w:rFonts w:ascii="宋体" w:hAnsi="宋体" w:cs="宋体"/>
                                    <w:w w:val="99"/>
                                    <w:szCs w:val="21"/>
                                  </w:rPr>
                                  <w:t xml:space="preserve">）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5"/>
                                  <w:rPr>
                                    <w:rFonts w:ascii="宋体" w:hAnsi="宋体" w:cs="宋体"/>
                                    <w:sz w:val="16"/>
                                    <w:szCs w:val="16"/>
                                  </w:rPr>
                                </w:pPr>
                              </w:p>
                              <w:p>
                                <w:pPr>
                                  <w:ind w:left="302"/>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反</w:t>
                                </w:r>
                                <w:r>
                                  <w:rPr>
                                    <w:rFonts w:ascii="宋体" w:hAnsi="宋体" w:cs="宋体"/>
                                    <w:spacing w:val="-1"/>
                                    <w:w w:val="99"/>
                                    <w:szCs w:val="21"/>
                                  </w:rPr>
                                  <w:t>面</w:t>
                                </w:r>
                                <w:r>
                                  <w:rPr>
                                    <w:rFonts w:ascii="宋体" w:hAnsi="宋体" w:cs="宋体"/>
                                    <w:w w:val="99"/>
                                    <w:szCs w:val="21"/>
                                  </w:rPr>
                                  <w:t>）</w:t>
                                </w:r>
                              </w:p>
                            </w:txbxContent>
                          </wps:txbx>
                          <wps:bodyPr lIns="0" tIns="0" rIns="0" bIns="0" upright="1"/>
                        </wps:wsp>
                      </wpg:grpSp>
                    </wpg:wgp>
                  </a:graphicData>
                </a:graphic>
              </wp:inline>
            </w:drawing>
          </mc:Choice>
          <mc:Fallback>
            <w:pict>
              <v:group id="_x0000_s1026" o:spid="_x0000_s1026" o:spt="203" style="height:156.75pt;width:189.75pt;" coordsize="3795,3135" o:gfxdata="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">
                <o:lock v:ext="edit" rotation="t" aspectratio="f"/>
                <v:group id="_x0000_s1026" o:spid="_x0000_s1026" o:spt="203" style="position:absolute;left:0;top:0;height:3135;width:3795;" coordsize="3795,3135"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0;top:0;height:3135;width:3795;" fillcolor="#000000" filled="t" stroked="f" coordsize="3795,3135" o:gfxdata="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ReB7sAAADb&#10;AAAADwAAAAAAAAABACAAAAAiAAAAZHJzL2Rvd25yZXYueG1sUEsBAhQAFAAAAAgAh07iQDMvBZ47&#10;AAAAOQAAABAAAAAAAAAAAQAgAAAACgEAAGRycy9zaGFwZXhtbC54bWxQSwUGAAAAAAYABgBbAQAA&#10;tAMAAAAA&#10;" path="m3795,3135l0,3135,0,0,3795,0,3795,8,15,8,8,15,15,15,15,3120,8,3120,15,3128,3795,3128,3795,3135xe">
                    <v:fill on="t" focussize="0,0"/>
                    <v:stroke on="f"/>
                    <v:imagedata o:title=""/>
                    <o:lock v:ext="edit" aspectratio="f"/>
                  </v:shape>
                  <v:shape id="_x0000_s1026" o:spid="_x0000_s1026" o:spt="100" style="position:absolute;left:0;top:0;height:3135;width:3795;" fillcolor="#000000" filled="t" stroked="f" coordsize="3795,3135" o:gfxdata="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bAcLsAAADb&#10;AAAADwAAAAAAAAABACAAAAAiAAAAZHJzL2Rvd25yZXYueG1sUEsBAhQAFAAAAAgAh07iQDMvBZ47&#10;AAAAOQAAABAAAAAAAAAAAQAgAAAACgEAAGRycy9zaGFwZXhtbC54bWxQSwUGAAAAAAYABgBbAQAA&#10;tAMAAAAA&#10;" path="m15,15l8,15,15,8,15,15xe">
                    <v:fill on="t" focussize="0,0"/>
                    <v:stroke on="f"/>
                    <v:imagedata o:title=""/>
                    <o:lock v:ext="edit" aspectratio="f"/>
                  </v:shape>
                  <v:shape id="_x0000_s1026" o:spid="_x0000_s1026" o:spt="100" style="position:absolute;left:0;top:0;height:3135;width:3795;" fillcolor="#000000" filled="t" stroked="f" coordsize="3795,3135" o:gfxdata="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6Zeu8AAAA&#10;2wAAAA8AAAAAAAAAAQAgAAAAIgAAAGRycy9kb3ducmV2LnhtbFBLAQIUABQAAAAIAIdO4kAzLwWe&#10;OwAAADkAAAAQAAAAAAAAAAEAIAAAAAsBAABkcnMvc2hhcGV4bWwueG1sUEsFBgAAAAAGAAYAWwEA&#10;ALUDAAAAAA==&#10;" path="m3780,15l15,15,15,8,3780,8,3780,15xe">
                    <v:fill on="t" focussize="0,0"/>
                    <v:stroke on="f"/>
                    <v:imagedata o:title=""/>
                    <o:lock v:ext="edit" aspectratio="f"/>
                  </v:shape>
                  <v:shape id="_x0000_s1026" o:spid="_x0000_s1026" o:spt="100" style="position:absolute;left:0;top:0;height:3135;width:3795;" fillcolor="#000000" filled="t" stroked="f" coordsize="3795,3135" o:gfxdata="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T/Z+8AAAA&#10;2wAAAA8AAAAAAAAAAQAgAAAAIgAAAGRycy9kb3ducmV2LnhtbFBLAQIUABQAAAAIAIdO4kAzLwWe&#10;OwAAADkAAAAQAAAAAAAAAAEAIAAAAAsBAABkcnMvc2hhcGV4bWwueG1sUEsFBgAAAAAGAAYAWwEA&#10;ALUDAAAAAA==&#10;" path="m3780,3128l3780,8,3788,15,3795,15,3795,3120,3788,3120,3780,3128xe">
                    <v:fill on="t" focussize="0,0"/>
                    <v:stroke on="f"/>
                    <v:imagedata o:title=""/>
                    <o:lock v:ext="edit" aspectratio="f"/>
                  </v:shape>
                  <v:shape id="_x0000_s1026" o:spid="_x0000_s1026" o:spt="100" style="position:absolute;left:0;top:0;height:3135;width:3795;" fillcolor="#000000" filled="t" stroked="f" coordsize="3795,3135" o:gfxdata="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6fWAS8AAAA&#10;2wAAAA8AAAAAAAAAAQAgAAAAIgAAAGRycy9kb3ducmV2LnhtbFBLAQIUABQAAAAIAIdO4kAzLwWe&#10;OwAAADkAAAAQAAAAAAAAAAEAIAAAAAsBAABkcnMvc2hhcGV4bWwueG1sUEsFBgAAAAAGAAYAWwEA&#10;ALUDAAAAAA==&#10;" path="m3795,15l3788,15,3780,8,3795,8,3795,15xe">
                    <v:fill on="t" focussize="0,0"/>
                    <v:stroke on="f"/>
                    <v:imagedata o:title=""/>
                    <o:lock v:ext="edit" aspectratio="f"/>
                  </v:shape>
                  <v:shape id="_x0000_s1026" o:spid="_x0000_s1026" o:spt="100" style="position:absolute;left:0;top:0;height:3135;width:3795;" fillcolor="#000000" filled="t" stroked="f" coordsize="3795,3135" o:gfxdata="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NxnO8AAAA&#10;2wAAAA8AAAAAAAAAAQAgAAAAIgAAAGRycy9kb3ducmV2LnhtbFBLAQIUABQAAAAIAIdO4kAzLwWe&#10;OwAAADkAAAAQAAAAAAAAAAEAIAAAAAsBAABkcnMvc2hhcGV4bWwueG1sUEsFBgAAAAAGAAYAWwEA&#10;ALUDAAAAAA==&#10;" path="m15,3128l8,3120,15,3120,15,3128xe">
                    <v:fill on="t" focussize="0,0"/>
                    <v:stroke on="f"/>
                    <v:imagedata o:title=""/>
                    <o:lock v:ext="edit" aspectratio="f"/>
                  </v:shape>
                  <v:shape id="_x0000_s1026" o:spid="_x0000_s1026" o:spt="100" style="position:absolute;left:0;top:0;height:3135;width:3795;" fillcolor="#000000" filled="t" stroked="f" coordsize="3795,3135" o:gfxdata="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BY+i8AAAA&#10;2wAAAA8AAAAAAAAAAQAgAAAAIgAAAGRycy9kb3ducmV2LnhtbFBLAQIUABQAAAAIAIdO4kAzLwWe&#10;OwAAADkAAAAQAAAAAAAAAAEAIAAAAAsBAABkcnMvc2hhcGV4bWwueG1sUEsFBgAAAAAGAAYAWwEA&#10;ALUDAAAAAA==&#10;" path="m3780,3128l15,3128,15,3120,3780,3120,3780,3128xe">
                    <v:fill on="t" focussize="0,0"/>
                    <v:stroke on="f"/>
                    <v:imagedata o:title=""/>
                    <o:lock v:ext="edit" aspectratio="f"/>
                  </v:shape>
                  <v:shape id="_x0000_s1026" o:spid="_x0000_s1026" o:spt="100" style="position:absolute;left:0;top:0;height:3135;width:3795;" fillcolor="#000000" filled="t" stroked="f" coordsize="3795,3135" o:gfxdata="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J73mrgAAADbAAAA&#10;DwAAAAAAAAABACAAAAAiAAAAZHJzL2Rvd25yZXYueG1sUEsBAhQAFAAAAAgAh07iQDMvBZ47AAAA&#10;OQAAABAAAAAAAAAAAQAgAAAABwEAAGRycy9zaGFwZXhtbC54bWxQSwUGAAAAAAYABgBbAQAAsQMA&#10;AAAA&#10;" path="m3795,3128l3780,3128,3788,3120,3795,3120,3795,3128xe">
                    <v:fill on="t" focussize="0,0"/>
                    <v:stroke on="f"/>
                    <v:imagedata o:title=""/>
                    <o:lock v:ext="edit" aspectratio="f"/>
                  </v:shape>
                  <v:shape id="_x0000_s1026" o:spid="_x0000_s1026" o:spt="202" type="#_x0000_t202" style="position:absolute;left:0;top:0;height:3135;width:3795;"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1" w:line="272" w:lineRule="exact"/>
                            <w:ind w:left="789" w:right="694" w:firstLine="208"/>
                            <w:rPr>
                              <w:rFonts w:ascii="宋体" w:hAnsi="宋体" w:cs="宋体"/>
                              <w:szCs w:val="21"/>
                            </w:rPr>
                          </w:pPr>
                          <w:r>
                            <w:rPr>
                              <w:rFonts w:ascii="宋体" w:hAnsi="宋体" w:cs="宋体"/>
                              <w:spacing w:val="-1"/>
                              <w:w w:val="99"/>
                              <w:szCs w:val="21"/>
                            </w:rPr>
                            <w:t>被</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人</w:t>
                          </w:r>
                          <w:r>
                            <w:rPr>
                              <w:rFonts w:ascii="宋体" w:hAnsi="宋体" w:cs="宋体"/>
                              <w:spacing w:val="-1"/>
                              <w:w w:val="99"/>
                              <w:szCs w:val="21"/>
                            </w:rPr>
                            <w:t>（</w:t>
                          </w:r>
                          <w:r>
                            <w:rPr>
                              <w:rFonts w:ascii="宋体" w:hAnsi="宋体" w:cs="宋体"/>
                              <w:spacing w:val="2"/>
                              <w:w w:val="99"/>
                              <w:szCs w:val="21"/>
                            </w:rPr>
                            <w:t>授</w:t>
                          </w:r>
                          <w:r>
                            <w:rPr>
                              <w:rFonts w:ascii="宋体" w:hAnsi="宋体" w:cs="宋体"/>
                              <w:spacing w:val="-1"/>
                              <w:w w:val="99"/>
                              <w:szCs w:val="21"/>
                            </w:rPr>
                            <w:t>权</w:t>
                          </w:r>
                          <w:r>
                            <w:rPr>
                              <w:rFonts w:ascii="宋体" w:hAnsi="宋体" w:cs="宋体"/>
                              <w:spacing w:val="2"/>
                              <w:w w:val="99"/>
                              <w:szCs w:val="21"/>
                            </w:rPr>
                            <w:t>代</w:t>
                          </w:r>
                          <w:r>
                            <w:rPr>
                              <w:rFonts w:ascii="宋体" w:hAnsi="宋体" w:cs="宋体"/>
                              <w:spacing w:val="-1"/>
                              <w:w w:val="99"/>
                              <w:szCs w:val="21"/>
                            </w:rPr>
                            <w:t>表</w:t>
                          </w:r>
                          <w:r>
                            <w:rPr>
                              <w:rFonts w:ascii="宋体" w:hAnsi="宋体" w:cs="宋体"/>
                              <w:w w:val="99"/>
                              <w:szCs w:val="21"/>
                            </w:rPr>
                            <w:t xml:space="preserve">） </w:t>
                          </w:r>
                          <w:r>
                            <w:rPr>
                              <w:rFonts w:ascii="宋体" w:hAnsi="宋体" w:cs="宋体"/>
                              <w:spacing w:val="-1"/>
                              <w:w w:val="99"/>
                              <w:szCs w:val="21"/>
                            </w:rPr>
                            <w:t>居</w:t>
                          </w:r>
                          <w:r>
                            <w:rPr>
                              <w:rFonts w:ascii="宋体" w:hAnsi="宋体" w:cs="宋体"/>
                              <w:spacing w:val="2"/>
                              <w:w w:val="99"/>
                              <w:szCs w:val="21"/>
                            </w:rPr>
                            <w:t>民</w:t>
                          </w:r>
                          <w:r>
                            <w:rPr>
                              <w:rFonts w:ascii="宋体" w:hAnsi="宋体" w:cs="宋体"/>
                              <w:spacing w:val="-1"/>
                              <w:w w:val="99"/>
                              <w:szCs w:val="21"/>
                            </w:rPr>
                            <w:t>身</w:t>
                          </w:r>
                          <w:r>
                            <w:rPr>
                              <w:rFonts w:ascii="宋体" w:hAnsi="宋体" w:cs="宋体"/>
                              <w:spacing w:val="2"/>
                              <w:w w:val="99"/>
                              <w:szCs w:val="21"/>
                            </w:rPr>
                            <w:t>份</w:t>
                          </w:r>
                          <w:r>
                            <w:rPr>
                              <w:rFonts w:ascii="宋体" w:hAnsi="宋体" w:cs="宋体"/>
                              <w:spacing w:val="-1"/>
                              <w:w w:val="99"/>
                              <w:szCs w:val="21"/>
                            </w:rPr>
                            <w:t>证</w:t>
                          </w:r>
                          <w:r>
                            <w:rPr>
                              <w:rFonts w:ascii="宋体" w:hAnsi="宋体" w:cs="宋体"/>
                              <w:spacing w:val="2"/>
                              <w:w w:val="99"/>
                              <w:szCs w:val="21"/>
                            </w:rPr>
                            <w:t>复</w:t>
                          </w:r>
                          <w:r>
                            <w:rPr>
                              <w:rFonts w:ascii="宋体" w:hAnsi="宋体" w:cs="宋体"/>
                              <w:spacing w:val="-1"/>
                              <w:w w:val="99"/>
                              <w:szCs w:val="21"/>
                            </w:rPr>
                            <w:t>印</w:t>
                          </w:r>
                          <w:r>
                            <w:rPr>
                              <w:rFonts w:ascii="宋体" w:hAnsi="宋体" w:cs="宋体"/>
                              <w:spacing w:val="2"/>
                              <w:w w:val="99"/>
                              <w:szCs w:val="21"/>
                            </w:rPr>
                            <w:t>件</w:t>
                          </w:r>
                          <w:r>
                            <w:rPr>
                              <w:rFonts w:ascii="宋体" w:hAnsi="宋体" w:cs="宋体"/>
                              <w:spacing w:val="-1"/>
                              <w:w w:val="99"/>
                              <w:szCs w:val="21"/>
                            </w:rPr>
                            <w:t>粘</w:t>
                          </w:r>
                          <w:r>
                            <w:rPr>
                              <w:rFonts w:ascii="宋体" w:hAnsi="宋体" w:cs="宋体"/>
                              <w:spacing w:val="2"/>
                              <w:w w:val="99"/>
                              <w:szCs w:val="21"/>
                            </w:rPr>
                            <w:t>贴</w:t>
                          </w:r>
                          <w:r>
                            <w:rPr>
                              <w:rFonts w:ascii="宋体" w:hAnsi="宋体" w:cs="宋体"/>
                              <w:w w:val="99"/>
                              <w:szCs w:val="21"/>
                            </w:rPr>
                            <w:t>处</w:t>
                          </w:r>
                        </w:p>
                        <w:p>
                          <w:pPr>
                            <w:spacing w:before="5"/>
                            <w:rPr>
                              <w:rFonts w:ascii="宋体" w:hAnsi="宋体" w:cs="宋体"/>
                              <w:sz w:val="16"/>
                              <w:szCs w:val="16"/>
                            </w:rPr>
                          </w:pPr>
                        </w:p>
                        <w:p>
                          <w:pPr>
                            <w:ind w:left="302"/>
                            <w:jc w:val="center"/>
                            <w:rPr>
                              <w:rFonts w:ascii="宋体" w:hAnsi="宋体" w:cs="宋体"/>
                              <w:szCs w:val="21"/>
                            </w:rPr>
                          </w:pPr>
                          <w:r>
                            <w:rPr>
                              <w:rFonts w:ascii="宋体" w:hAnsi="宋体" w:cs="宋体"/>
                              <w:spacing w:val="-1"/>
                              <w:w w:val="99"/>
                              <w:szCs w:val="21"/>
                            </w:rPr>
                            <w:t>（</w:t>
                          </w:r>
                          <w:r>
                            <w:rPr>
                              <w:rFonts w:ascii="宋体" w:hAnsi="宋体" w:cs="宋体"/>
                              <w:spacing w:val="2"/>
                              <w:w w:val="99"/>
                              <w:szCs w:val="21"/>
                            </w:rPr>
                            <w:t>反</w:t>
                          </w:r>
                          <w:r>
                            <w:rPr>
                              <w:rFonts w:ascii="宋体" w:hAnsi="宋体" w:cs="宋体"/>
                              <w:spacing w:val="-1"/>
                              <w:w w:val="99"/>
                              <w:szCs w:val="21"/>
                            </w:rPr>
                            <w:t>面</w:t>
                          </w:r>
                          <w:r>
                            <w:rPr>
                              <w:rFonts w:ascii="宋体" w:hAnsi="宋体" w:cs="宋体"/>
                              <w:w w:val="99"/>
                              <w:szCs w:val="21"/>
                            </w:rPr>
                            <w:t>）</w:t>
                          </w:r>
                        </w:p>
                      </w:txbxContent>
                    </v:textbox>
                  </v:shape>
                </v:group>
                <w10:wrap type="none"/>
                <w10:anchorlock/>
              </v:group>
            </w:pict>
          </mc:Fallback>
        </mc:AlternateContent>
      </w:r>
    </w:p>
    <w:p>
      <w:pPr>
        <w:spacing w:line="3135" w:lineRule="exact"/>
        <w:rPr>
          <w:rFonts w:ascii="宋体" w:hAnsi="宋体" w:cs="宋体"/>
          <w:sz w:val="20"/>
        </w:rPr>
        <w:sectPr>
          <w:type w:val="continuous"/>
          <w:pgSz w:w="11910" w:h="16840"/>
          <w:pgMar w:top="1580" w:right="1520" w:bottom="280" w:left="1680" w:header="720" w:footer="720" w:gutter="0"/>
          <w:cols w:space="720" w:num="1"/>
        </w:sectPr>
      </w:pPr>
    </w:p>
    <w:p>
      <w:pPr>
        <w:spacing w:line="355" w:lineRule="exact"/>
        <w:ind w:left="12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5</w:t>
      </w:r>
    </w:p>
    <w:p>
      <w:pPr>
        <w:spacing w:before="5"/>
        <w:rPr>
          <w:rFonts w:ascii="黑体" w:hAnsi="黑体" w:eastAsia="黑体" w:cs="黑体"/>
          <w:sz w:val="27"/>
          <w:szCs w:val="27"/>
        </w:rPr>
      </w:pPr>
      <w:r>
        <w:br w:type="column"/>
      </w:r>
    </w:p>
    <w:p>
      <w:pPr>
        <w:ind w:left="120"/>
        <w:rPr>
          <w:rFonts w:ascii="宋体" w:hAnsi="宋体" w:cs="宋体"/>
          <w:sz w:val="28"/>
          <w:szCs w:val="28"/>
        </w:rPr>
      </w:pPr>
      <w:r>
        <w:rPr>
          <w:rFonts w:ascii="宋体" w:hAnsi="宋体" w:cs="宋体"/>
          <w:b/>
          <w:bCs/>
          <w:sz w:val="28"/>
          <w:szCs w:val="28"/>
        </w:rPr>
        <w:t>供应商资格声明函</w:t>
      </w:r>
    </w:p>
    <w:p>
      <w:pPr>
        <w:rPr>
          <w:rFonts w:ascii="宋体" w:hAnsi="宋体" w:cs="宋体"/>
          <w:sz w:val="28"/>
          <w:szCs w:val="28"/>
        </w:rPr>
        <w:sectPr>
          <w:pgSz w:w="11910" w:h="16840"/>
          <w:pgMar w:top="1460" w:right="1580" w:bottom="1160" w:left="1680" w:header="0" w:footer="978" w:gutter="0"/>
          <w:cols w:equalWidth="0" w:num="2">
            <w:col w:w="890" w:space="2139"/>
            <w:col w:w="5621"/>
          </w:cols>
        </w:sectPr>
      </w:pPr>
    </w:p>
    <w:p>
      <w:pPr>
        <w:spacing w:before="7"/>
        <w:rPr>
          <w:rFonts w:ascii="宋体" w:hAnsi="宋体" w:cs="宋体"/>
          <w:b/>
          <w:bCs/>
          <w:sz w:val="11"/>
          <w:szCs w:val="11"/>
        </w:rPr>
      </w:pPr>
    </w:p>
    <w:p>
      <w:pPr>
        <w:pStyle w:val="6"/>
        <w:spacing w:before="34"/>
        <w:ind w:left="228"/>
        <w:rPr>
          <w:b w:val="0"/>
          <w:bCs w:val="0"/>
        </w:rPr>
      </w:pPr>
      <w:r>
        <w:t>致：广东省消防救援总队</w:t>
      </w:r>
    </w:p>
    <w:p>
      <w:pPr>
        <w:spacing w:before="7"/>
        <w:rPr>
          <w:rFonts w:ascii="宋体" w:hAnsi="宋体" w:cs="宋体"/>
          <w:b/>
          <w:bCs/>
          <w:sz w:val="23"/>
          <w:szCs w:val="23"/>
        </w:rPr>
      </w:pPr>
    </w:p>
    <w:p>
      <w:pPr>
        <w:pStyle w:val="10"/>
        <w:tabs>
          <w:tab w:val="left" w:pos="1799"/>
          <w:tab w:val="left" w:pos="2428"/>
          <w:tab w:val="left" w:pos="3059"/>
          <w:tab w:val="left" w:pos="5579"/>
        </w:tabs>
        <w:spacing w:line="420" w:lineRule="auto"/>
        <w:ind w:right="114"/>
      </w:pPr>
      <w:r>
        <w:rPr>
          <w:w w:val="95"/>
        </w:rPr>
        <w:t>关于贵单位</w:t>
      </w:r>
      <w:r>
        <w:rPr>
          <w:rFonts w:ascii="Times New Roman" w:hAnsi="Times New Roman" w:eastAsia="Times New Roman"/>
          <w:w w:val="95"/>
          <w:u w:val="single" w:color="000000"/>
        </w:rPr>
        <w:tab/>
      </w:r>
      <w:r>
        <w:rPr>
          <w:spacing w:val="-1"/>
          <w:w w:val="95"/>
        </w:rPr>
        <w:t>年</w:t>
      </w:r>
      <w:r>
        <w:rPr>
          <w:rFonts w:ascii="Times New Roman" w:hAnsi="Times New Roman" w:eastAsia="Times New Roman"/>
          <w:spacing w:val="-1"/>
          <w:w w:val="95"/>
          <w:u w:val="single" w:color="000000"/>
        </w:rPr>
        <w:tab/>
      </w:r>
      <w:r>
        <w:rPr>
          <w:spacing w:val="2"/>
          <w:w w:val="95"/>
        </w:rPr>
        <w:t>月</w:t>
      </w:r>
      <w:r>
        <w:rPr>
          <w:rFonts w:ascii="Times New Roman" w:hAnsi="Times New Roman" w:eastAsia="Times New Roman"/>
          <w:spacing w:val="2"/>
          <w:w w:val="95"/>
          <w:u w:val="single" w:color="000000"/>
        </w:rPr>
        <w:tab/>
      </w:r>
      <w:r>
        <w:rPr>
          <w:w w:val="95"/>
        </w:rPr>
        <w:t>日发布</w:t>
      </w:r>
      <w:r>
        <w:rPr>
          <w:rFonts w:ascii="Times New Roman" w:hAnsi="Times New Roman" w:eastAsia="Times New Roman"/>
          <w:w w:val="95"/>
          <w:u w:val="single" w:color="000000"/>
        </w:rPr>
        <w:tab/>
      </w:r>
      <w:r>
        <w:rPr>
          <w:spacing w:val="-13"/>
          <w:w w:val="95"/>
        </w:rPr>
        <w:t>项目的招标公告，本公司（企业）</w:t>
      </w:r>
      <w:r>
        <w:rPr>
          <w:spacing w:val="44"/>
          <w:w w:val="95"/>
        </w:rPr>
        <w:t xml:space="preserve"> </w:t>
      </w:r>
      <w:r>
        <w:rPr>
          <w:w w:val="95"/>
        </w:rPr>
        <w:t>愿意参加投标，提供遴选采购文件中规定的服务，并证明提交的下列文件和说明是准确的和</w:t>
      </w:r>
      <w:r>
        <w:rPr>
          <w:spacing w:val="5"/>
          <w:w w:val="95"/>
        </w:rPr>
        <w:t xml:space="preserve"> </w:t>
      </w:r>
      <w:r>
        <w:t>真实的。</w:t>
      </w:r>
    </w:p>
    <w:p>
      <w:pPr>
        <w:pStyle w:val="10"/>
        <w:spacing w:before="115" w:line="355" w:lineRule="auto"/>
        <w:ind w:left="480"/>
      </w:pPr>
      <w:r>
        <w:t>投标人应按照遴选采购文件的要求做出全面的响应。</w:t>
      </w:r>
      <w:r>
        <w:rPr>
          <w:w w:val="99"/>
        </w:rPr>
        <w:t xml:space="preserve"> </w:t>
      </w:r>
      <w:r>
        <w:t>1、投标人应提交的内容应包括但不限于以下各项：</w:t>
      </w:r>
      <w:r>
        <w:rPr>
          <w:w w:val="99"/>
        </w:rPr>
        <w:t xml:space="preserve"> </w:t>
      </w:r>
      <w:r>
        <w:t>本单位具备《中华人民共和国政府采购法》第二十二条资格条件：</w:t>
      </w:r>
      <w:r>
        <w:rPr>
          <w:w w:val="99"/>
        </w:rPr>
        <w:t xml:space="preserve"> </w:t>
      </w:r>
      <w:r>
        <w:t>1）供应商必须是具有独立承担民事责任能力的在中华人民共和国境内注册的法人或其</w:t>
      </w:r>
    </w:p>
    <w:p>
      <w:pPr>
        <w:pStyle w:val="10"/>
        <w:spacing w:before="35" w:line="355" w:lineRule="auto"/>
        <w:ind w:right="219"/>
      </w:pPr>
      <w:r>
        <w:rPr>
          <w:spacing w:val="-2"/>
          <w:w w:val="95"/>
        </w:rPr>
        <w:t>他组织或自然人，投标时提交有效的营业执照（或事业法人登记证或身份证等相关证明）副</w:t>
      </w:r>
      <w:r>
        <w:rPr>
          <w:spacing w:val="85"/>
          <w:w w:val="95"/>
        </w:rPr>
        <w:t xml:space="preserve"> </w:t>
      </w:r>
      <w:r>
        <w:rPr>
          <w:spacing w:val="-2"/>
          <w:w w:val="95"/>
        </w:rPr>
        <w:t>本复印件；若以不具有独立承担民事责任能力的分支机构投标，须取得具有法人资格的总公</w:t>
      </w:r>
      <w:r>
        <w:rPr>
          <w:spacing w:val="85"/>
          <w:w w:val="95"/>
        </w:rPr>
        <w:t xml:space="preserve"> </w:t>
      </w:r>
      <w:r>
        <w:t>司的授权书，并提供总公司营业执照副本复印件。</w:t>
      </w:r>
    </w:p>
    <w:p>
      <w:pPr>
        <w:pStyle w:val="10"/>
        <w:spacing w:before="32"/>
        <w:ind w:left="544"/>
      </w:pPr>
      <w:r>
        <w:t>2）供应商具有良好的商业信誉和健全的财务会计制度。</w:t>
      </w:r>
    </w:p>
    <w:p>
      <w:pPr>
        <w:pStyle w:val="10"/>
        <w:spacing w:before="135"/>
        <w:ind w:left="544"/>
      </w:pPr>
      <w:r>
        <w:t>3）供应商具有履行合同所必需的设备和专业技术能力。</w:t>
      </w:r>
    </w:p>
    <w:p>
      <w:pPr>
        <w:pStyle w:val="10"/>
        <w:ind w:left="544"/>
      </w:pPr>
      <w:r>
        <w:t>4）供应商有依法缴纳税收和社会保障资金的良好记录。</w:t>
      </w:r>
    </w:p>
    <w:p>
      <w:pPr>
        <w:pStyle w:val="10"/>
        <w:ind w:left="544"/>
      </w:pPr>
      <w:r>
        <w:t>5）供应商参加政府采购活动前三年内，在经营活动中没有重大违法记录。</w:t>
      </w:r>
    </w:p>
    <w:p>
      <w:pPr>
        <w:pStyle w:val="10"/>
        <w:spacing w:line="355" w:lineRule="auto"/>
        <w:ind w:left="544"/>
      </w:pPr>
      <w:r>
        <w:t>6）供应商符合法律、行政法规规定的其他条件。</w:t>
      </w:r>
      <w:r>
        <w:rPr>
          <w:w w:val="99"/>
        </w:rPr>
        <w:t xml:space="preserve"> </w:t>
      </w:r>
      <w:r>
        <w:rPr>
          <w:spacing w:val="3"/>
          <w:w w:val="95"/>
        </w:rPr>
        <w:t>本单位的法定代表人或单位负责人与所参投的本采购项目包组的其他供应商的法定代</w:t>
      </w:r>
    </w:p>
    <w:p>
      <w:pPr>
        <w:pStyle w:val="10"/>
        <w:spacing w:before="32" w:line="357" w:lineRule="auto"/>
        <w:ind w:left="544" w:hanging="425"/>
      </w:pPr>
      <w:r>
        <w:t>表人或单位负责人不为同一人且与其他供应商之间不存在直接控股、管理关系。</w:t>
      </w:r>
      <w:r>
        <w:rPr>
          <w:w w:val="99"/>
        </w:rPr>
        <w:t xml:space="preserve"> </w:t>
      </w:r>
      <w:r>
        <w:rPr>
          <w:spacing w:val="-3"/>
        </w:rPr>
        <w:t>根据《中华人民共和国政府采购法实施条例》的规定，本单位清楚：如为本采购项目包</w:t>
      </w:r>
    </w:p>
    <w:p>
      <w:pPr>
        <w:pStyle w:val="10"/>
        <w:spacing w:before="30" w:line="355" w:lineRule="auto"/>
        <w:ind w:right="219"/>
      </w:pPr>
      <w:r>
        <w:rPr>
          <w:spacing w:val="-2"/>
          <w:w w:val="95"/>
        </w:rPr>
        <w:t>组提供整体设计、规范编制或者项目管理、监理、检测等服务的供应商，不得再参加该采购</w:t>
      </w:r>
      <w:r>
        <w:rPr>
          <w:spacing w:val="85"/>
          <w:w w:val="95"/>
        </w:rPr>
        <w:t xml:space="preserve"> </w:t>
      </w:r>
      <w:r>
        <w:rPr>
          <w:spacing w:val="-2"/>
          <w:w w:val="95"/>
        </w:rPr>
        <w:t>项目包组的其他采购活动。否则，由此所造成的损失、不良后果及法律责任，一律由我单位</w:t>
      </w:r>
      <w:r>
        <w:rPr>
          <w:spacing w:val="85"/>
          <w:w w:val="95"/>
        </w:rPr>
        <w:t xml:space="preserve"> </w:t>
      </w:r>
      <w:r>
        <w:t>承担。</w:t>
      </w:r>
    </w:p>
    <w:p>
      <w:pPr>
        <w:pStyle w:val="10"/>
        <w:spacing w:before="34" w:line="355" w:lineRule="auto"/>
        <w:ind w:right="219" w:firstLine="424"/>
      </w:pPr>
      <w:r>
        <w:rPr>
          <w:spacing w:val="-3"/>
        </w:rPr>
        <w:t>本单位具有履行合同所必需的设备和专业技术能力，且参加政府采购活动前</w:t>
      </w:r>
      <w:r>
        <w:rPr>
          <w:spacing w:val="-60"/>
        </w:rPr>
        <w:t xml:space="preserve"> </w:t>
      </w:r>
      <w:r>
        <w:t>3</w:t>
      </w:r>
      <w:r>
        <w:rPr>
          <w:spacing w:val="-62"/>
        </w:rPr>
        <w:t xml:space="preserve"> </w:t>
      </w:r>
      <w:r>
        <w:t>年内在经</w:t>
      </w:r>
      <w:r>
        <w:rPr>
          <w:w w:val="99"/>
        </w:rPr>
        <w:t xml:space="preserve"> </w:t>
      </w:r>
      <w:r>
        <w:rPr>
          <w:spacing w:val="-2"/>
          <w:w w:val="95"/>
        </w:rPr>
        <w:t>营活动中没有重大违法记录。否则，由此所造成的损失、不良后果及法律责任，一律由我单</w:t>
      </w:r>
      <w:r>
        <w:rPr>
          <w:spacing w:val="85"/>
          <w:w w:val="95"/>
        </w:rPr>
        <w:t xml:space="preserve"> </w:t>
      </w:r>
      <w:r>
        <w:t>位承担。</w:t>
      </w:r>
    </w:p>
    <w:p>
      <w:pPr>
        <w:pStyle w:val="10"/>
        <w:spacing w:before="32"/>
        <w:ind w:left="540"/>
      </w:pPr>
      <w:r>
        <w:t>本单位已按遴选公告及遴选采购文件的规定获取了遴选采购文件。</w:t>
      </w:r>
    </w:p>
    <w:p>
      <w:pPr>
        <w:spacing w:before="8"/>
        <w:rPr>
          <w:rFonts w:ascii="宋体" w:hAnsi="宋体" w:cs="宋体"/>
          <w:sz w:val="20"/>
        </w:rPr>
      </w:pPr>
    </w:p>
    <w:p>
      <w:pPr>
        <w:pStyle w:val="10"/>
        <w:spacing w:line="357" w:lineRule="auto"/>
        <w:ind w:firstLine="420"/>
      </w:pPr>
      <w:r>
        <w:rPr>
          <w:spacing w:val="-3"/>
        </w:rPr>
        <w:t>本次招标采购活动中，如有违法、违规、弄虚作假行为，所造成的损失、不良后果及法</w:t>
      </w:r>
      <w:r>
        <w:rPr>
          <w:w w:val="99"/>
        </w:rPr>
        <w:t xml:space="preserve"> </w:t>
      </w:r>
      <w:r>
        <w:t>律责任，一律由我单位承担。</w:t>
      </w:r>
    </w:p>
    <w:p>
      <w:pPr>
        <w:pStyle w:val="10"/>
        <w:spacing w:before="30" w:line="355" w:lineRule="auto"/>
        <w:ind w:left="480" w:right="4595" w:firstLine="331"/>
      </w:pPr>
      <w:r>
        <w:t>……</w:t>
      </w:r>
      <w:r>
        <w:rPr>
          <w:w w:val="99"/>
        </w:rPr>
        <w:t xml:space="preserve"> </w:t>
      </w:r>
      <w:r>
        <w:rPr>
          <w:w w:val="95"/>
        </w:rPr>
        <w:t>2、投标人认为有必要提供的其他资料。</w:t>
      </w:r>
    </w:p>
    <w:p>
      <w:pPr>
        <w:spacing w:line="355" w:lineRule="auto"/>
        <w:sectPr>
          <w:type w:val="continuous"/>
          <w:pgSz w:w="11910" w:h="16840"/>
          <w:pgMar w:top="1580" w:right="1580" w:bottom="280" w:left="1680" w:header="720" w:footer="720" w:gutter="0"/>
          <w:cols w:space="720" w:num="1"/>
        </w:sectPr>
      </w:pPr>
    </w:p>
    <w:p>
      <w:pPr>
        <w:pStyle w:val="10"/>
        <w:spacing w:before="21"/>
        <w:ind w:left="540" w:right="772" w:firstLine="105"/>
      </w:pPr>
      <w:r>
        <w:t>（相关证明文件附后）</w:t>
      </w:r>
    </w:p>
    <w:p>
      <w:pPr>
        <w:rPr>
          <w:rFonts w:ascii="宋体" w:hAnsi="宋体" w:cs="宋体"/>
          <w:sz w:val="20"/>
        </w:rPr>
      </w:pPr>
    </w:p>
    <w:p>
      <w:pPr>
        <w:spacing w:before="13"/>
        <w:rPr>
          <w:rFonts w:ascii="宋体" w:hAnsi="宋体" w:cs="宋体"/>
          <w:sz w:val="18"/>
          <w:szCs w:val="18"/>
        </w:rPr>
      </w:pPr>
    </w:p>
    <w:p>
      <w:pPr>
        <w:pStyle w:val="10"/>
        <w:spacing w:line="355" w:lineRule="auto"/>
        <w:ind w:left="540" w:right="5926"/>
      </w:pPr>
      <w:r>
        <w:t>单位名称：</w:t>
      </w:r>
      <w:r>
        <w:rPr>
          <w:w w:val="99"/>
        </w:rPr>
        <w:t xml:space="preserve"> </w:t>
      </w:r>
      <w:r>
        <w:t>单位公章：</w:t>
      </w:r>
    </w:p>
    <w:p>
      <w:pPr>
        <w:pStyle w:val="10"/>
        <w:spacing w:before="34" w:line="355" w:lineRule="auto"/>
        <w:ind w:left="540" w:right="2786"/>
        <w:rPr>
          <w:spacing w:val="9"/>
          <w:w w:val="95"/>
        </w:rPr>
      </w:pPr>
      <w:r>
        <w:rPr>
          <w:w w:val="95"/>
        </w:rPr>
        <w:t>法定代表人或投标人授权代表（签名或盖章）：</w:t>
      </w:r>
      <w:r>
        <w:rPr>
          <w:spacing w:val="9"/>
          <w:w w:val="95"/>
        </w:rPr>
        <w:t xml:space="preserve"> </w:t>
      </w:r>
    </w:p>
    <w:p>
      <w:pPr>
        <w:pStyle w:val="10"/>
        <w:spacing w:before="34" w:line="355" w:lineRule="auto"/>
        <w:ind w:left="540" w:right="2786"/>
      </w:pPr>
      <w:r>
        <w:t>单位地址：</w:t>
      </w:r>
    </w:p>
    <w:p>
      <w:pPr>
        <w:pStyle w:val="10"/>
        <w:spacing w:before="32" w:line="355" w:lineRule="auto"/>
        <w:ind w:left="540" w:right="5926"/>
      </w:pPr>
      <w:r>
        <w:t>邮政编码：</w:t>
      </w:r>
      <w:r>
        <w:rPr>
          <w:w w:val="99"/>
        </w:rPr>
        <w:t xml:space="preserve"> </w:t>
      </w:r>
      <w:r>
        <w:t>联系电话：</w:t>
      </w:r>
    </w:p>
    <w:p>
      <w:pPr>
        <w:pStyle w:val="10"/>
        <w:tabs>
          <w:tab w:val="left" w:pos="1694"/>
          <w:tab w:val="left" w:pos="2219"/>
          <w:tab w:val="left" w:pos="2745"/>
        </w:tabs>
        <w:spacing w:before="35"/>
        <w:ind w:left="540" w:right="772"/>
      </w:pPr>
      <w:r>
        <w:rPr>
          <w:w w:val="95"/>
        </w:rPr>
        <w:t>日期：</w:t>
      </w:r>
      <w:r>
        <w:rPr>
          <w:rFonts w:ascii="Times New Roman" w:hAnsi="Times New Roman" w:eastAsia="Times New Roman"/>
          <w:w w:val="95"/>
          <w:u w:val="single" w:color="000000"/>
        </w:rPr>
        <w:tab/>
      </w:r>
      <w:r>
        <w:rPr>
          <w:spacing w:val="1"/>
          <w:w w:val="95"/>
        </w:rPr>
        <w:t>年</w:t>
      </w:r>
      <w:r>
        <w:rPr>
          <w:rFonts w:ascii="Times New Roman" w:hAnsi="Times New Roman" w:eastAsia="Times New Roman"/>
          <w:spacing w:val="1"/>
          <w:w w:val="95"/>
          <w:u w:val="single" w:color="000000"/>
        </w:rPr>
        <w:tab/>
      </w:r>
      <w:r>
        <w:rPr>
          <w:spacing w:val="-1"/>
          <w:w w:val="95"/>
        </w:rPr>
        <w:t>月</w:t>
      </w:r>
      <w:r>
        <w:rPr>
          <w:rFonts w:ascii="Times New Roman" w:hAnsi="Times New Roman" w:eastAsia="Times New Roman"/>
          <w:spacing w:val="-1"/>
          <w:w w:val="95"/>
          <w:u w:val="single" w:color="000000"/>
        </w:rPr>
        <w:tab/>
      </w:r>
      <w:r>
        <w:t>日</w:t>
      </w:r>
    </w:p>
    <w:p>
      <w:pPr>
        <w:sectPr>
          <w:pgSz w:w="11910" w:h="16840"/>
          <w:pgMar w:top="1540" w:right="1680" w:bottom="1160" w:left="1680" w:header="0" w:footer="978" w:gutter="0"/>
          <w:cols w:space="720" w:num="1"/>
        </w:sectPr>
      </w:pPr>
    </w:p>
    <w:p>
      <w:pPr>
        <w:spacing w:line="363" w:lineRule="exact"/>
        <w:ind w:left="64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6</w:t>
      </w:r>
    </w:p>
    <w:p>
      <w:pPr>
        <w:spacing w:before="5"/>
        <w:rPr>
          <w:rFonts w:ascii="黑体" w:hAnsi="黑体" w:eastAsia="黑体" w:cs="黑体"/>
          <w:sz w:val="41"/>
          <w:szCs w:val="41"/>
        </w:rPr>
      </w:pPr>
      <w:r>
        <w:br w:type="column"/>
      </w:r>
    </w:p>
    <w:p>
      <w:pPr>
        <w:ind w:left="640"/>
        <w:rPr>
          <w:rFonts w:ascii="宋体" w:hAnsi="宋体" w:cs="宋体"/>
          <w:sz w:val="28"/>
          <w:szCs w:val="28"/>
        </w:rPr>
      </w:pPr>
      <w:r>
        <w:rPr>
          <w:rFonts w:ascii="宋体" w:hAnsi="宋体" w:cs="宋体"/>
          <w:b/>
          <w:bCs/>
          <w:sz w:val="28"/>
          <w:szCs w:val="28"/>
        </w:rPr>
        <w:t>报价一览表</w:t>
      </w:r>
    </w:p>
    <w:p>
      <w:pPr>
        <w:rPr>
          <w:rFonts w:ascii="宋体" w:hAnsi="宋体" w:cs="宋体"/>
          <w:sz w:val="28"/>
          <w:szCs w:val="28"/>
        </w:rPr>
        <w:sectPr>
          <w:pgSz w:w="11910" w:h="16840"/>
          <w:pgMar w:top="1380" w:right="1160" w:bottom="1160" w:left="1160" w:header="0" w:footer="978" w:gutter="0"/>
          <w:cols w:equalWidth="0" w:num="2">
            <w:col w:w="1410" w:space="2111"/>
            <w:col w:w="6069"/>
          </w:cols>
        </w:sectPr>
      </w:pPr>
    </w:p>
    <w:p>
      <w:pPr>
        <w:spacing w:before="12"/>
        <w:rPr>
          <w:rFonts w:ascii="宋体" w:hAnsi="宋体" w:cs="宋体"/>
          <w:b/>
          <w:bCs/>
          <w:sz w:val="20"/>
        </w:rPr>
      </w:pPr>
    </w:p>
    <w:tbl>
      <w:tblPr>
        <w:tblStyle w:val="15"/>
        <w:tblW w:w="4959" w:type="pct"/>
        <w:tblInd w:w="0" w:type="dxa"/>
        <w:tblLayout w:type="autofit"/>
        <w:tblCellMar>
          <w:top w:w="0" w:type="dxa"/>
          <w:left w:w="30" w:type="dxa"/>
          <w:bottom w:w="0" w:type="dxa"/>
          <w:right w:w="30" w:type="dxa"/>
        </w:tblCellMar>
      </w:tblPr>
      <w:tblGrid>
        <w:gridCol w:w="2992"/>
        <w:gridCol w:w="6579"/>
      </w:tblGrid>
      <w:tr>
        <w:tblPrEx>
          <w:tblCellMar>
            <w:top w:w="0" w:type="dxa"/>
            <w:left w:w="30" w:type="dxa"/>
            <w:bottom w:w="0" w:type="dxa"/>
            <w:right w:w="30" w:type="dxa"/>
          </w:tblCellMar>
        </w:tblPrEx>
        <w:trPr>
          <w:cantSplit/>
          <w:trHeight w:val="630" w:hRule="atLeast"/>
        </w:trPr>
        <w:tc>
          <w:tcPr>
            <w:tcW w:w="1563" w:type="pct"/>
            <w:tcBorders>
              <w:top w:val="single" w:color="auto" w:sz="6" w:space="0"/>
              <w:left w:val="single" w:color="auto" w:sz="6" w:space="0"/>
              <w:right w:val="single" w:color="auto" w:sz="6" w:space="0"/>
            </w:tcBorders>
            <w:noWrap w:val="0"/>
            <w:vAlign w:val="center"/>
          </w:tcPr>
          <w:p>
            <w:pPr>
              <w:autoSpaceDE w:val="0"/>
              <w:autoSpaceDN w:val="0"/>
              <w:adjustRightInd w:val="0"/>
              <w:snapToGrid w:val="0"/>
              <w:jc w:val="center"/>
              <w:rPr>
                <w:rFonts w:hint="eastAsia"/>
                <w:szCs w:val="21"/>
              </w:rPr>
            </w:pPr>
            <w:r>
              <w:rPr>
                <w:rFonts w:hint="eastAsia"/>
                <w:szCs w:val="21"/>
              </w:rPr>
              <w:t>分项</w:t>
            </w:r>
          </w:p>
        </w:tc>
        <w:tc>
          <w:tcPr>
            <w:tcW w:w="3437" w:type="pct"/>
            <w:tcBorders>
              <w:top w:val="single" w:color="auto" w:sz="6" w:space="0"/>
              <w:left w:val="single" w:color="auto" w:sz="6" w:space="0"/>
              <w:right w:val="single" w:color="auto" w:sz="6" w:space="0"/>
            </w:tcBorders>
            <w:noWrap w:val="0"/>
            <w:vAlign w:val="center"/>
          </w:tcPr>
          <w:p>
            <w:pPr>
              <w:autoSpaceDE w:val="0"/>
              <w:autoSpaceDN w:val="0"/>
              <w:adjustRightInd w:val="0"/>
              <w:snapToGrid w:val="0"/>
              <w:jc w:val="center"/>
              <w:rPr>
                <w:rFonts w:hint="eastAsia"/>
                <w:szCs w:val="21"/>
              </w:rPr>
            </w:pPr>
            <w:r>
              <w:rPr>
                <w:rFonts w:hint="eastAsia"/>
                <w:szCs w:val="21"/>
              </w:rPr>
              <w:t>总报价</w:t>
            </w:r>
          </w:p>
        </w:tc>
      </w:tr>
      <w:tr>
        <w:tblPrEx>
          <w:tblCellMar>
            <w:top w:w="0" w:type="dxa"/>
            <w:left w:w="30" w:type="dxa"/>
            <w:bottom w:w="0" w:type="dxa"/>
            <w:right w:w="30" w:type="dxa"/>
          </w:tblCellMar>
        </w:tblPrEx>
        <w:trPr>
          <w:cantSplit/>
          <w:trHeight w:val="601" w:hRule="atLeast"/>
        </w:trPr>
        <w:tc>
          <w:tcPr>
            <w:tcW w:w="156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szCs w:val="21"/>
              </w:rPr>
            </w:pPr>
            <w:r>
              <w:rPr>
                <w:rFonts w:hint="eastAsia" w:ascii="宋体"/>
              </w:rPr>
              <w:t>服务</w:t>
            </w:r>
            <w:r>
              <w:rPr>
                <w:rFonts w:hint="eastAsia"/>
                <w:szCs w:val="21"/>
              </w:rPr>
              <w:t>费用（</w:t>
            </w:r>
            <w:r>
              <w:rPr>
                <w:rFonts w:hint="eastAsia" w:ascii="宋体"/>
              </w:rPr>
              <w:t>服务</w:t>
            </w:r>
            <w:r>
              <w:rPr>
                <w:rFonts w:hint="eastAsia"/>
                <w:szCs w:val="21"/>
              </w:rPr>
              <w:t>名称）</w:t>
            </w:r>
          </w:p>
        </w:tc>
        <w:tc>
          <w:tcPr>
            <w:tcW w:w="3437"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szCs w:val="21"/>
              </w:rPr>
            </w:pPr>
          </w:p>
        </w:tc>
      </w:tr>
      <w:tr>
        <w:tblPrEx>
          <w:tblCellMar>
            <w:top w:w="0" w:type="dxa"/>
            <w:left w:w="30" w:type="dxa"/>
            <w:bottom w:w="0" w:type="dxa"/>
            <w:right w:w="30" w:type="dxa"/>
          </w:tblCellMar>
        </w:tblPrEx>
        <w:trPr>
          <w:cantSplit/>
          <w:trHeight w:val="601" w:hRule="atLeast"/>
        </w:trPr>
        <w:tc>
          <w:tcPr>
            <w:tcW w:w="156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szCs w:val="21"/>
              </w:rPr>
            </w:pPr>
            <w:r>
              <w:rPr>
                <w:rFonts w:hint="eastAsia"/>
                <w:szCs w:val="21"/>
              </w:rPr>
              <w:t>其他费用</w:t>
            </w:r>
          </w:p>
        </w:tc>
        <w:tc>
          <w:tcPr>
            <w:tcW w:w="3437"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szCs w:val="21"/>
              </w:rPr>
            </w:pPr>
          </w:p>
        </w:tc>
      </w:tr>
      <w:tr>
        <w:tblPrEx>
          <w:tblCellMar>
            <w:top w:w="0" w:type="dxa"/>
            <w:left w:w="30" w:type="dxa"/>
            <w:bottom w:w="0" w:type="dxa"/>
            <w:right w:w="30" w:type="dxa"/>
          </w:tblCellMar>
        </w:tblPrEx>
        <w:trPr>
          <w:cantSplit/>
          <w:trHeight w:val="601" w:hRule="atLeast"/>
        </w:trPr>
        <w:tc>
          <w:tcPr>
            <w:tcW w:w="156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szCs w:val="21"/>
              </w:rPr>
            </w:pPr>
            <w:r>
              <w:rPr>
                <w:rFonts w:hint="eastAsia"/>
                <w:szCs w:val="21"/>
              </w:rPr>
              <w:t>……</w:t>
            </w:r>
          </w:p>
        </w:tc>
        <w:tc>
          <w:tcPr>
            <w:tcW w:w="3437"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szCs w:val="21"/>
              </w:rPr>
            </w:pPr>
          </w:p>
        </w:tc>
      </w:tr>
      <w:tr>
        <w:tblPrEx>
          <w:tblCellMar>
            <w:top w:w="0" w:type="dxa"/>
            <w:left w:w="30" w:type="dxa"/>
            <w:bottom w:w="0" w:type="dxa"/>
            <w:right w:w="30" w:type="dxa"/>
          </w:tblCellMar>
        </w:tblPrEx>
        <w:trPr>
          <w:cantSplit/>
          <w:trHeight w:val="601" w:hRule="atLeast"/>
        </w:trPr>
        <w:tc>
          <w:tcPr>
            <w:tcW w:w="156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szCs w:val="21"/>
              </w:rPr>
            </w:pPr>
            <w:r>
              <w:rPr>
                <w:rFonts w:hint="eastAsia"/>
                <w:szCs w:val="21"/>
              </w:rPr>
              <w:t>折扣率（%）</w:t>
            </w:r>
          </w:p>
        </w:tc>
        <w:tc>
          <w:tcPr>
            <w:tcW w:w="3437"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szCs w:val="21"/>
              </w:rPr>
            </w:pPr>
            <w:r>
              <w:rPr>
                <w:rFonts w:hint="eastAsia"/>
                <w:szCs w:val="21"/>
              </w:rPr>
              <w:t>（大写）百分之           （小写）                %</w:t>
            </w:r>
          </w:p>
        </w:tc>
      </w:tr>
      <w:tr>
        <w:tblPrEx>
          <w:tblCellMar>
            <w:top w:w="0" w:type="dxa"/>
            <w:left w:w="30" w:type="dxa"/>
            <w:bottom w:w="0" w:type="dxa"/>
            <w:right w:w="30" w:type="dxa"/>
          </w:tblCellMar>
        </w:tblPrEx>
        <w:trPr>
          <w:cantSplit/>
          <w:trHeight w:val="601" w:hRule="atLeast"/>
        </w:trPr>
        <w:tc>
          <w:tcPr>
            <w:tcW w:w="156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szCs w:val="21"/>
              </w:rPr>
            </w:pPr>
            <w:r>
              <w:rPr>
                <w:rFonts w:hint="eastAsia"/>
                <w:szCs w:val="21"/>
              </w:rPr>
              <w:t>备注：详细内容见《投标明细报价表》</w:t>
            </w:r>
          </w:p>
        </w:tc>
        <w:tc>
          <w:tcPr>
            <w:tcW w:w="3437"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szCs w:val="21"/>
              </w:rPr>
            </w:pPr>
          </w:p>
        </w:tc>
      </w:tr>
    </w:tbl>
    <w:p>
      <w:pPr>
        <w:rPr>
          <w:rFonts w:hint="eastAsia"/>
          <w:szCs w:val="21"/>
        </w:rPr>
      </w:pPr>
    </w:p>
    <w:p>
      <w:pPr>
        <w:spacing w:line="360" w:lineRule="auto"/>
        <w:rPr>
          <w:rFonts w:hint="eastAsia"/>
          <w:szCs w:val="21"/>
        </w:rPr>
      </w:pPr>
      <w:r>
        <w:rPr>
          <w:rFonts w:hint="eastAsia"/>
          <w:szCs w:val="21"/>
        </w:rPr>
        <w:t>备注：1.投标人须按要求填写所有信息，不得随意更改本表格式。</w:t>
      </w:r>
    </w:p>
    <w:p>
      <w:pPr>
        <w:spacing w:line="360" w:lineRule="auto"/>
        <w:ind w:firstLine="420" w:firstLineChars="200"/>
        <w:rPr>
          <w:rFonts w:hint="eastAsia"/>
          <w:szCs w:val="21"/>
        </w:rPr>
      </w:pPr>
      <w:r>
        <w:rPr>
          <w:rFonts w:hint="eastAsia"/>
          <w:szCs w:val="21"/>
        </w:rPr>
        <w:t>2.报价中必须包含服务全过程及技术支持、培训辅导、质保期售后服务、全额含税发票、雇员费用、合同实施过程中应预见和不可预见费用等。所有价格均应予人民币报价，金额单位为元。</w:t>
      </w:r>
    </w:p>
    <w:p>
      <w:pPr>
        <w:pStyle w:val="11"/>
        <w:spacing w:line="360" w:lineRule="auto"/>
        <w:ind w:firstLine="420" w:firstLineChars="200"/>
        <w:rPr>
          <w:rFonts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 xml:space="preserve"> </w:t>
      </w:r>
      <w:r>
        <w:rPr>
          <w:rFonts w:hint="eastAsia" w:ascii="Times New Roman" w:hAnsi="Times New Roman"/>
          <w:kern w:val="0"/>
          <w:szCs w:val="21"/>
        </w:rPr>
        <w:t>此表是投标文件的必要文件，是投标文件的组成部分，还应另附一份并与优惠声明（若有）封装在一个信封中，作为唱标之用。</w:t>
      </w:r>
    </w:p>
    <w:p>
      <w:pPr>
        <w:pStyle w:val="11"/>
        <w:spacing w:line="360" w:lineRule="auto"/>
        <w:ind w:firstLine="420" w:firstLineChars="200"/>
        <w:rPr>
          <w:rFonts w:hint="eastAsia" w:hAnsi="宋体"/>
          <w:kern w:val="0"/>
          <w:szCs w:val="21"/>
        </w:rPr>
      </w:pPr>
      <w:r>
        <w:rPr>
          <w:rFonts w:hint="eastAsia" w:hAnsi="宋体"/>
          <w:kern w:val="0"/>
          <w:szCs w:val="21"/>
        </w:rPr>
        <w:t>4.</w:t>
      </w:r>
      <w:r>
        <w:rPr>
          <w:rFonts w:hint="eastAsia" w:hAnsi="宋体"/>
        </w:rPr>
        <w:t xml:space="preserve"> </w:t>
      </w:r>
      <w:r>
        <w:rPr>
          <w:rFonts w:hint="eastAsia" w:hAnsi="宋体"/>
          <w:kern w:val="0"/>
          <w:szCs w:val="21"/>
        </w:rPr>
        <w:t>报价方式为在审计收费标准给出的数据的基础上按折扣率报价。（例如：打9折，报价为折扣率90%；打8.5折，报价为折扣率 85%；打 8 折，报价为折扣率 80%.以此类推），包括《采购需求》要求的全部内容。</w:t>
      </w:r>
    </w:p>
    <w:p>
      <w:pPr>
        <w:pStyle w:val="11"/>
        <w:spacing w:line="360" w:lineRule="auto"/>
        <w:ind w:firstLine="420" w:firstLineChars="200"/>
        <w:rPr>
          <w:rFonts w:hAnsi="宋体"/>
          <w:kern w:val="0"/>
          <w:szCs w:val="21"/>
        </w:rPr>
      </w:pPr>
      <w:r>
        <w:rPr>
          <w:rFonts w:hint="eastAsia" w:hAnsi="宋体"/>
          <w:kern w:val="0"/>
          <w:szCs w:val="21"/>
        </w:rPr>
        <w:t>5.报价的区间是0到100%之间。</w:t>
      </w:r>
    </w:p>
    <w:p>
      <w:pPr>
        <w:sectPr>
          <w:type w:val="continuous"/>
          <w:pgSz w:w="11910" w:h="16840"/>
          <w:pgMar w:top="1580" w:right="1160" w:bottom="280" w:left="1160" w:header="720" w:footer="720" w:gutter="0"/>
          <w:cols w:space="720" w:num="1"/>
        </w:sectPr>
      </w:pPr>
    </w:p>
    <w:p>
      <w:pPr>
        <w:spacing w:before="24"/>
        <w:ind w:left="640" w:right="815"/>
        <w:rPr>
          <w:rFonts w:ascii="黑体" w:hAnsi="黑体" w:eastAsia="黑体" w:cs="黑体"/>
          <w:sz w:val="28"/>
          <w:szCs w:val="28"/>
        </w:rPr>
      </w:pPr>
      <w:r>
        <w:rPr>
          <w:rFonts w:ascii="宋体" w:hAnsi="宋体" w:cs="宋体"/>
          <w:b/>
          <w:bCs/>
          <w:sz w:val="28"/>
          <w:szCs w:val="28"/>
        </w:rPr>
        <w:t>格式</w:t>
      </w:r>
      <w:r>
        <w:rPr>
          <w:rFonts w:ascii="宋体" w:hAnsi="宋体" w:cs="宋体"/>
          <w:b/>
          <w:bCs/>
          <w:spacing w:val="-74"/>
          <w:sz w:val="28"/>
          <w:szCs w:val="28"/>
        </w:rPr>
        <w:t xml:space="preserve"> </w:t>
      </w:r>
      <w:r>
        <w:rPr>
          <w:rFonts w:ascii="黑体" w:hAnsi="黑体" w:eastAsia="黑体" w:cs="黑体"/>
          <w:b/>
          <w:bCs/>
          <w:sz w:val="28"/>
          <w:szCs w:val="28"/>
        </w:rPr>
        <w:t>7</w:t>
      </w:r>
    </w:p>
    <w:p>
      <w:pPr>
        <w:spacing w:before="7"/>
        <w:rPr>
          <w:rFonts w:ascii="黑体" w:hAnsi="黑体" w:eastAsia="黑体" w:cs="黑体"/>
          <w:b/>
          <w:bCs/>
          <w:sz w:val="18"/>
          <w:szCs w:val="18"/>
        </w:rPr>
      </w:pPr>
    </w:p>
    <w:p>
      <w:pPr>
        <w:spacing w:before="26"/>
        <w:jc w:val="center"/>
        <w:rPr>
          <w:rFonts w:ascii="宋体" w:hAnsi="宋体" w:cs="宋体"/>
          <w:sz w:val="24"/>
          <w:szCs w:val="24"/>
        </w:rPr>
      </w:pPr>
      <w:r>
        <w:rPr>
          <w:rFonts w:ascii="宋体" w:hAnsi="宋体" w:cs="宋体"/>
          <w:b/>
          <w:bCs/>
          <w:sz w:val="24"/>
          <w:szCs w:val="24"/>
        </w:rPr>
        <w:t>详细报价表</w:t>
      </w:r>
    </w:p>
    <w:p>
      <w:pPr>
        <w:spacing w:before="1"/>
        <w:rPr>
          <w:rFonts w:ascii="宋体" w:hAnsi="宋体" w:cs="宋体"/>
          <w:b/>
          <w:bCs/>
          <w:szCs w:val="21"/>
        </w:rPr>
      </w:pPr>
    </w:p>
    <w:tbl>
      <w:tblPr>
        <w:tblStyle w:val="15"/>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73"/>
        <w:gridCol w:w="2615"/>
        <w:gridCol w:w="1152"/>
        <w:gridCol w:w="1080"/>
        <w:gridCol w:w="705"/>
        <w:gridCol w:w="96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9476" w:type="dxa"/>
            <w:gridSpan w:val="8"/>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一、服务详列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序号</w:t>
            </w:r>
          </w:p>
        </w:tc>
        <w:tc>
          <w:tcPr>
            <w:tcW w:w="1273"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分项名称</w:t>
            </w:r>
          </w:p>
        </w:tc>
        <w:tc>
          <w:tcPr>
            <w:tcW w:w="2615"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品牌、规格型号、主要技术参数</w:t>
            </w:r>
          </w:p>
        </w:tc>
        <w:tc>
          <w:tcPr>
            <w:tcW w:w="1152"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制造商</w:t>
            </w:r>
          </w:p>
        </w:tc>
        <w:tc>
          <w:tcPr>
            <w:tcW w:w="1080"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数量</w:t>
            </w:r>
          </w:p>
        </w:tc>
        <w:tc>
          <w:tcPr>
            <w:tcW w:w="705"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单价</w:t>
            </w:r>
          </w:p>
        </w:tc>
        <w:tc>
          <w:tcPr>
            <w:tcW w:w="963"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合计（元）</w:t>
            </w:r>
          </w:p>
        </w:tc>
        <w:tc>
          <w:tcPr>
            <w:tcW w:w="1040"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48" w:type="dxa"/>
            <w:noWrap w:val="0"/>
            <w:vAlign w:val="top"/>
          </w:tcPr>
          <w:p>
            <w:pPr>
              <w:pStyle w:val="11"/>
              <w:spacing w:line="480" w:lineRule="exact"/>
              <w:jc w:val="left"/>
              <w:rPr>
                <w:rFonts w:hint="eastAsia" w:ascii="Times New Roman" w:hAnsi="Times New Roman"/>
                <w:szCs w:val="21"/>
              </w:rPr>
            </w:pPr>
          </w:p>
        </w:tc>
        <w:tc>
          <w:tcPr>
            <w:tcW w:w="1273" w:type="dxa"/>
            <w:noWrap w:val="0"/>
            <w:vAlign w:val="top"/>
          </w:tcPr>
          <w:p>
            <w:pPr>
              <w:pStyle w:val="11"/>
              <w:spacing w:line="480" w:lineRule="exact"/>
              <w:jc w:val="left"/>
              <w:rPr>
                <w:rFonts w:hint="eastAsia" w:ascii="Times New Roman" w:hAnsi="Times New Roman"/>
                <w:szCs w:val="21"/>
              </w:rPr>
            </w:pPr>
          </w:p>
        </w:tc>
        <w:tc>
          <w:tcPr>
            <w:tcW w:w="2615" w:type="dxa"/>
            <w:noWrap w:val="0"/>
            <w:vAlign w:val="top"/>
          </w:tcPr>
          <w:p>
            <w:pPr>
              <w:pStyle w:val="11"/>
              <w:spacing w:line="480" w:lineRule="exact"/>
              <w:jc w:val="left"/>
              <w:rPr>
                <w:rFonts w:hint="eastAsia" w:ascii="Times New Roman" w:hAnsi="Times New Roman"/>
                <w:szCs w:val="21"/>
              </w:rPr>
            </w:pPr>
          </w:p>
        </w:tc>
        <w:tc>
          <w:tcPr>
            <w:tcW w:w="1152" w:type="dxa"/>
            <w:noWrap w:val="0"/>
            <w:vAlign w:val="top"/>
          </w:tcPr>
          <w:p>
            <w:pPr>
              <w:pStyle w:val="11"/>
              <w:spacing w:line="480" w:lineRule="exact"/>
              <w:jc w:val="left"/>
              <w:rPr>
                <w:rFonts w:hint="eastAsia" w:ascii="Times New Roman" w:hAnsi="Times New Roman"/>
                <w:szCs w:val="21"/>
              </w:rPr>
            </w:pPr>
          </w:p>
        </w:tc>
        <w:tc>
          <w:tcPr>
            <w:tcW w:w="1080" w:type="dxa"/>
            <w:noWrap w:val="0"/>
            <w:vAlign w:val="top"/>
          </w:tcPr>
          <w:p>
            <w:pPr>
              <w:pStyle w:val="11"/>
              <w:spacing w:line="480" w:lineRule="exact"/>
              <w:jc w:val="left"/>
              <w:rPr>
                <w:rFonts w:hint="eastAsia" w:ascii="Times New Roman" w:hAnsi="Times New Roman"/>
                <w:szCs w:val="21"/>
              </w:rPr>
            </w:pPr>
          </w:p>
        </w:tc>
        <w:tc>
          <w:tcPr>
            <w:tcW w:w="705" w:type="dxa"/>
            <w:noWrap w:val="0"/>
            <w:vAlign w:val="top"/>
          </w:tcPr>
          <w:p>
            <w:pPr>
              <w:pStyle w:val="11"/>
              <w:spacing w:line="480" w:lineRule="exact"/>
              <w:jc w:val="left"/>
              <w:rPr>
                <w:rFonts w:hint="eastAsia" w:ascii="Times New Roman" w:hAnsi="Times New Roman"/>
                <w:szCs w:val="21"/>
              </w:rPr>
            </w:pPr>
          </w:p>
        </w:tc>
        <w:tc>
          <w:tcPr>
            <w:tcW w:w="963" w:type="dxa"/>
            <w:noWrap w:val="0"/>
            <w:vAlign w:val="top"/>
          </w:tcPr>
          <w:p>
            <w:pPr>
              <w:pStyle w:val="11"/>
              <w:spacing w:line="480" w:lineRule="exact"/>
              <w:jc w:val="left"/>
              <w:rPr>
                <w:rFonts w:hint="eastAsia" w:ascii="Times New Roman" w:hAnsi="Times New Roman"/>
                <w:szCs w:val="21"/>
              </w:rPr>
            </w:pPr>
          </w:p>
        </w:tc>
        <w:tc>
          <w:tcPr>
            <w:tcW w:w="1040" w:type="dxa"/>
            <w:noWrap w:val="0"/>
            <w:vAlign w:val="top"/>
          </w:tcPr>
          <w:p>
            <w:pPr>
              <w:pStyle w:val="11"/>
              <w:spacing w:line="480" w:lineRule="exact"/>
              <w:jc w:val="left"/>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48" w:type="dxa"/>
            <w:noWrap w:val="0"/>
            <w:vAlign w:val="top"/>
          </w:tcPr>
          <w:p>
            <w:pPr>
              <w:pStyle w:val="11"/>
              <w:spacing w:line="480" w:lineRule="exact"/>
              <w:jc w:val="left"/>
              <w:rPr>
                <w:rFonts w:hint="eastAsia" w:ascii="Times New Roman" w:hAnsi="Times New Roman"/>
                <w:szCs w:val="21"/>
              </w:rPr>
            </w:pPr>
          </w:p>
        </w:tc>
        <w:tc>
          <w:tcPr>
            <w:tcW w:w="1273" w:type="dxa"/>
            <w:noWrap w:val="0"/>
            <w:vAlign w:val="top"/>
          </w:tcPr>
          <w:p>
            <w:pPr>
              <w:pStyle w:val="11"/>
              <w:spacing w:line="480" w:lineRule="exact"/>
              <w:jc w:val="left"/>
              <w:rPr>
                <w:rFonts w:hint="eastAsia" w:ascii="Times New Roman" w:hAnsi="Times New Roman"/>
                <w:szCs w:val="21"/>
              </w:rPr>
            </w:pPr>
          </w:p>
        </w:tc>
        <w:tc>
          <w:tcPr>
            <w:tcW w:w="2615" w:type="dxa"/>
            <w:noWrap w:val="0"/>
            <w:vAlign w:val="top"/>
          </w:tcPr>
          <w:p>
            <w:pPr>
              <w:pStyle w:val="11"/>
              <w:spacing w:line="480" w:lineRule="exact"/>
              <w:jc w:val="left"/>
              <w:rPr>
                <w:rFonts w:hint="eastAsia" w:ascii="Times New Roman" w:hAnsi="Times New Roman"/>
                <w:szCs w:val="21"/>
              </w:rPr>
            </w:pPr>
          </w:p>
        </w:tc>
        <w:tc>
          <w:tcPr>
            <w:tcW w:w="1152" w:type="dxa"/>
            <w:noWrap w:val="0"/>
            <w:vAlign w:val="top"/>
          </w:tcPr>
          <w:p>
            <w:pPr>
              <w:pStyle w:val="11"/>
              <w:spacing w:line="480" w:lineRule="exact"/>
              <w:jc w:val="left"/>
              <w:rPr>
                <w:rFonts w:hint="eastAsia" w:ascii="Times New Roman" w:hAnsi="Times New Roman"/>
                <w:szCs w:val="21"/>
              </w:rPr>
            </w:pPr>
          </w:p>
        </w:tc>
        <w:tc>
          <w:tcPr>
            <w:tcW w:w="1080" w:type="dxa"/>
            <w:noWrap w:val="0"/>
            <w:vAlign w:val="top"/>
          </w:tcPr>
          <w:p>
            <w:pPr>
              <w:pStyle w:val="11"/>
              <w:spacing w:line="480" w:lineRule="exact"/>
              <w:jc w:val="left"/>
              <w:rPr>
                <w:rFonts w:hint="eastAsia" w:ascii="Times New Roman" w:hAnsi="Times New Roman"/>
                <w:szCs w:val="21"/>
              </w:rPr>
            </w:pPr>
          </w:p>
        </w:tc>
        <w:tc>
          <w:tcPr>
            <w:tcW w:w="705" w:type="dxa"/>
            <w:noWrap w:val="0"/>
            <w:vAlign w:val="top"/>
          </w:tcPr>
          <w:p>
            <w:pPr>
              <w:pStyle w:val="11"/>
              <w:spacing w:line="480" w:lineRule="exact"/>
              <w:jc w:val="left"/>
              <w:rPr>
                <w:rFonts w:hint="eastAsia" w:ascii="Times New Roman" w:hAnsi="Times New Roman"/>
                <w:szCs w:val="21"/>
              </w:rPr>
            </w:pPr>
          </w:p>
        </w:tc>
        <w:tc>
          <w:tcPr>
            <w:tcW w:w="963" w:type="dxa"/>
            <w:noWrap w:val="0"/>
            <w:vAlign w:val="top"/>
          </w:tcPr>
          <w:p>
            <w:pPr>
              <w:pStyle w:val="11"/>
              <w:spacing w:line="480" w:lineRule="exact"/>
              <w:jc w:val="left"/>
              <w:rPr>
                <w:rFonts w:hint="eastAsia" w:ascii="Times New Roman" w:hAnsi="Times New Roman"/>
                <w:szCs w:val="21"/>
              </w:rPr>
            </w:pPr>
          </w:p>
        </w:tc>
        <w:tc>
          <w:tcPr>
            <w:tcW w:w="1040" w:type="dxa"/>
            <w:noWrap w:val="0"/>
            <w:vAlign w:val="top"/>
          </w:tcPr>
          <w:p>
            <w:pPr>
              <w:pStyle w:val="11"/>
              <w:spacing w:line="480" w:lineRule="exact"/>
              <w:jc w:val="left"/>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8" w:type="dxa"/>
            <w:noWrap w:val="0"/>
            <w:vAlign w:val="top"/>
          </w:tcPr>
          <w:p>
            <w:pPr>
              <w:pStyle w:val="11"/>
              <w:spacing w:line="480" w:lineRule="exact"/>
              <w:jc w:val="left"/>
              <w:rPr>
                <w:rFonts w:hint="eastAsia" w:ascii="Times New Roman" w:hAnsi="Times New Roman"/>
                <w:szCs w:val="21"/>
              </w:rPr>
            </w:pPr>
            <w:r>
              <w:rPr>
                <w:rFonts w:ascii="Times New Roman" w:hAnsi="Times New Roman"/>
                <w:szCs w:val="21"/>
              </w:rPr>
              <w:t>…</w:t>
            </w:r>
          </w:p>
        </w:tc>
        <w:tc>
          <w:tcPr>
            <w:tcW w:w="1273" w:type="dxa"/>
            <w:noWrap w:val="0"/>
            <w:vAlign w:val="top"/>
          </w:tcPr>
          <w:p>
            <w:pPr>
              <w:pStyle w:val="11"/>
              <w:spacing w:line="480" w:lineRule="exact"/>
              <w:jc w:val="left"/>
              <w:rPr>
                <w:rFonts w:hint="eastAsia" w:ascii="Times New Roman" w:hAnsi="Times New Roman"/>
                <w:szCs w:val="21"/>
              </w:rPr>
            </w:pPr>
          </w:p>
        </w:tc>
        <w:tc>
          <w:tcPr>
            <w:tcW w:w="2615" w:type="dxa"/>
            <w:noWrap w:val="0"/>
            <w:vAlign w:val="top"/>
          </w:tcPr>
          <w:p>
            <w:pPr>
              <w:pStyle w:val="11"/>
              <w:spacing w:line="480" w:lineRule="exact"/>
              <w:jc w:val="left"/>
              <w:rPr>
                <w:rFonts w:hint="eastAsia" w:ascii="Times New Roman" w:hAnsi="Times New Roman"/>
                <w:szCs w:val="21"/>
              </w:rPr>
            </w:pPr>
          </w:p>
        </w:tc>
        <w:tc>
          <w:tcPr>
            <w:tcW w:w="1152" w:type="dxa"/>
            <w:noWrap w:val="0"/>
            <w:vAlign w:val="top"/>
          </w:tcPr>
          <w:p>
            <w:pPr>
              <w:pStyle w:val="11"/>
              <w:spacing w:line="480" w:lineRule="exact"/>
              <w:jc w:val="left"/>
              <w:rPr>
                <w:rFonts w:hint="eastAsia" w:ascii="Times New Roman" w:hAnsi="Times New Roman"/>
                <w:szCs w:val="21"/>
              </w:rPr>
            </w:pPr>
          </w:p>
        </w:tc>
        <w:tc>
          <w:tcPr>
            <w:tcW w:w="1080" w:type="dxa"/>
            <w:noWrap w:val="0"/>
            <w:vAlign w:val="top"/>
          </w:tcPr>
          <w:p>
            <w:pPr>
              <w:pStyle w:val="11"/>
              <w:spacing w:line="480" w:lineRule="exact"/>
              <w:jc w:val="left"/>
              <w:rPr>
                <w:rFonts w:hint="eastAsia" w:ascii="Times New Roman" w:hAnsi="Times New Roman"/>
                <w:szCs w:val="21"/>
              </w:rPr>
            </w:pPr>
          </w:p>
        </w:tc>
        <w:tc>
          <w:tcPr>
            <w:tcW w:w="705" w:type="dxa"/>
            <w:noWrap w:val="0"/>
            <w:vAlign w:val="top"/>
          </w:tcPr>
          <w:p>
            <w:pPr>
              <w:pStyle w:val="11"/>
              <w:spacing w:line="480" w:lineRule="exact"/>
              <w:jc w:val="left"/>
              <w:rPr>
                <w:rFonts w:hint="eastAsia" w:ascii="Times New Roman" w:hAnsi="Times New Roman"/>
                <w:szCs w:val="21"/>
              </w:rPr>
            </w:pPr>
          </w:p>
        </w:tc>
        <w:tc>
          <w:tcPr>
            <w:tcW w:w="963" w:type="dxa"/>
            <w:noWrap w:val="0"/>
            <w:vAlign w:val="top"/>
          </w:tcPr>
          <w:p>
            <w:pPr>
              <w:pStyle w:val="11"/>
              <w:spacing w:line="480" w:lineRule="exact"/>
              <w:jc w:val="left"/>
              <w:rPr>
                <w:rFonts w:hint="eastAsia" w:ascii="Times New Roman" w:hAnsi="Times New Roman"/>
                <w:szCs w:val="21"/>
              </w:rPr>
            </w:pPr>
          </w:p>
        </w:tc>
        <w:tc>
          <w:tcPr>
            <w:tcW w:w="1040" w:type="dxa"/>
            <w:noWrap w:val="0"/>
            <w:vAlign w:val="top"/>
          </w:tcPr>
          <w:p>
            <w:pPr>
              <w:pStyle w:val="11"/>
              <w:spacing w:line="480" w:lineRule="exact"/>
              <w:jc w:val="left"/>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536" w:type="dxa"/>
            <w:gridSpan w:val="3"/>
            <w:noWrap w:val="0"/>
            <w:vAlign w:val="top"/>
          </w:tcPr>
          <w:p>
            <w:pPr>
              <w:pStyle w:val="11"/>
              <w:spacing w:line="480" w:lineRule="exact"/>
              <w:jc w:val="center"/>
              <w:rPr>
                <w:rFonts w:hint="eastAsia" w:ascii="Times New Roman" w:hAnsi="Times New Roman"/>
                <w:szCs w:val="21"/>
              </w:rPr>
            </w:pPr>
            <w:r>
              <w:rPr>
                <w:rFonts w:hint="eastAsia" w:ascii="Times New Roman" w:hAnsi="Times New Roman"/>
                <w:szCs w:val="21"/>
              </w:rPr>
              <w:t>合      计</w:t>
            </w:r>
          </w:p>
        </w:tc>
        <w:tc>
          <w:tcPr>
            <w:tcW w:w="2937" w:type="dxa"/>
            <w:gridSpan w:val="3"/>
            <w:noWrap w:val="0"/>
            <w:vAlign w:val="top"/>
          </w:tcPr>
          <w:p>
            <w:pPr>
              <w:pStyle w:val="11"/>
              <w:spacing w:line="480" w:lineRule="exact"/>
              <w:jc w:val="center"/>
              <w:rPr>
                <w:rFonts w:hint="eastAsia" w:ascii="Times New Roman" w:hAnsi="Times New Roman"/>
                <w:szCs w:val="21"/>
              </w:rPr>
            </w:pPr>
            <w:r>
              <w:rPr>
                <w:rFonts w:hint="eastAsia" w:ascii="Times New Roman" w:hAnsi="Times New Roman"/>
                <w:szCs w:val="21"/>
              </w:rPr>
              <w:t>数量合计：</w:t>
            </w:r>
          </w:p>
        </w:tc>
        <w:tc>
          <w:tcPr>
            <w:tcW w:w="2003" w:type="dxa"/>
            <w:gridSpan w:val="2"/>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476" w:type="dxa"/>
            <w:gridSpan w:val="8"/>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二、其他费用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8"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序号</w:t>
            </w:r>
          </w:p>
        </w:tc>
        <w:tc>
          <w:tcPr>
            <w:tcW w:w="1273"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分项名称</w:t>
            </w:r>
          </w:p>
        </w:tc>
        <w:tc>
          <w:tcPr>
            <w:tcW w:w="2615" w:type="dxa"/>
            <w:noWrap w:val="0"/>
            <w:vAlign w:val="top"/>
          </w:tcPr>
          <w:p>
            <w:pPr>
              <w:pStyle w:val="11"/>
              <w:spacing w:line="480" w:lineRule="exact"/>
              <w:jc w:val="center"/>
              <w:rPr>
                <w:rFonts w:hint="eastAsia" w:ascii="Times New Roman" w:hAnsi="Times New Roman"/>
                <w:szCs w:val="21"/>
              </w:rPr>
            </w:pPr>
            <w:r>
              <w:rPr>
                <w:rFonts w:hint="eastAsia" w:ascii="Times New Roman" w:hAnsi="Times New Roman"/>
                <w:szCs w:val="21"/>
              </w:rPr>
              <w:t>具体内容</w:t>
            </w:r>
          </w:p>
        </w:tc>
        <w:tc>
          <w:tcPr>
            <w:tcW w:w="1152"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单位</w:t>
            </w:r>
          </w:p>
        </w:tc>
        <w:tc>
          <w:tcPr>
            <w:tcW w:w="1080"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数量</w:t>
            </w:r>
          </w:p>
        </w:tc>
        <w:tc>
          <w:tcPr>
            <w:tcW w:w="705"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单价</w:t>
            </w:r>
          </w:p>
        </w:tc>
        <w:tc>
          <w:tcPr>
            <w:tcW w:w="963"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合计（元）</w:t>
            </w:r>
          </w:p>
        </w:tc>
        <w:tc>
          <w:tcPr>
            <w:tcW w:w="1040" w:type="dxa"/>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8" w:type="dxa"/>
            <w:noWrap w:val="0"/>
            <w:vAlign w:val="top"/>
          </w:tcPr>
          <w:p>
            <w:pPr>
              <w:pStyle w:val="11"/>
              <w:spacing w:line="480" w:lineRule="exact"/>
              <w:jc w:val="left"/>
              <w:rPr>
                <w:rFonts w:hint="eastAsia" w:ascii="Times New Roman" w:hAnsi="Times New Roman"/>
                <w:szCs w:val="21"/>
              </w:rPr>
            </w:pPr>
          </w:p>
        </w:tc>
        <w:tc>
          <w:tcPr>
            <w:tcW w:w="1273" w:type="dxa"/>
            <w:noWrap w:val="0"/>
            <w:vAlign w:val="top"/>
          </w:tcPr>
          <w:p>
            <w:pPr>
              <w:pStyle w:val="11"/>
              <w:spacing w:line="480" w:lineRule="exact"/>
              <w:jc w:val="left"/>
              <w:rPr>
                <w:rFonts w:hint="eastAsia" w:ascii="Times New Roman" w:hAnsi="Times New Roman"/>
                <w:szCs w:val="21"/>
              </w:rPr>
            </w:pPr>
          </w:p>
        </w:tc>
        <w:tc>
          <w:tcPr>
            <w:tcW w:w="2615" w:type="dxa"/>
            <w:noWrap w:val="0"/>
            <w:vAlign w:val="top"/>
          </w:tcPr>
          <w:p>
            <w:pPr>
              <w:pStyle w:val="11"/>
              <w:spacing w:line="480" w:lineRule="exact"/>
              <w:jc w:val="left"/>
              <w:rPr>
                <w:rFonts w:hint="eastAsia" w:ascii="Times New Roman" w:hAnsi="Times New Roman"/>
                <w:szCs w:val="21"/>
              </w:rPr>
            </w:pPr>
          </w:p>
        </w:tc>
        <w:tc>
          <w:tcPr>
            <w:tcW w:w="1152" w:type="dxa"/>
            <w:noWrap w:val="0"/>
            <w:vAlign w:val="top"/>
          </w:tcPr>
          <w:p>
            <w:pPr>
              <w:pStyle w:val="11"/>
              <w:spacing w:line="480" w:lineRule="exact"/>
              <w:jc w:val="left"/>
              <w:rPr>
                <w:rFonts w:hint="eastAsia" w:ascii="Times New Roman" w:hAnsi="Times New Roman"/>
                <w:szCs w:val="21"/>
              </w:rPr>
            </w:pPr>
          </w:p>
        </w:tc>
        <w:tc>
          <w:tcPr>
            <w:tcW w:w="1080" w:type="dxa"/>
            <w:noWrap w:val="0"/>
            <w:vAlign w:val="top"/>
          </w:tcPr>
          <w:p>
            <w:pPr>
              <w:pStyle w:val="11"/>
              <w:spacing w:line="480" w:lineRule="exact"/>
              <w:jc w:val="left"/>
              <w:rPr>
                <w:rFonts w:hint="eastAsia" w:ascii="Times New Roman" w:hAnsi="Times New Roman"/>
                <w:szCs w:val="21"/>
              </w:rPr>
            </w:pPr>
          </w:p>
        </w:tc>
        <w:tc>
          <w:tcPr>
            <w:tcW w:w="705" w:type="dxa"/>
            <w:noWrap w:val="0"/>
            <w:vAlign w:val="top"/>
          </w:tcPr>
          <w:p>
            <w:pPr>
              <w:pStyle w:val="11"/>
              <w:spacing w:line="480" w:lineRule="exact"/>
              <w:jc w:val="left"/>
              <w:rPr>
                <w:rFonts w:hint="eastAsia" w:ascii="Times New Roman" w:hAnsi="Times New Roman"/>
                <w:szCs w:val="21"/>
              </w:rPr>
            </w:pPr>
          </w:p>
        </w:tc>
        <w:tc>
          <w:tcPr>
            <w:tcW w:w="963" w:type="dxa"/>
            <w:noWrap w:val="0"/>
            <w:vAlign w:val="top"/>
          </w:tcPr>
          <w:p>
            <w:pPr>
              <w:pStyle w:val="11"/>
              <w:spacing w:line="480" w:lineRule="exact"/>
              <w:jc w:val="left"/>
              <w:rPr>
                <w:rFonts w:hint="eastAsia" w:ascii="Times New Roman" w:hAnsi="Times New Roman"/>
                <w:szCs w:val="21"/>
              </w:rPr>
            </w:pPr>
          </w:p>
        </w:tc>
        <w:tc>
          <w:tcPr>
            <w:tcW w:w="1040" w:type="dxa"/>
            <w:noWrap w:val="0"/>
            <w:vAlign w:val="top"/>
          </w:tcPr>
          <w:p>
            <w:pPr>
              <w:pStyle w:val="11"/>
              <w:spacing w:line="480" w:lineRule="exact"/>
              <w:jc w:val="left"/>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48" w:type="dxa"/>
            <w:noWrap w:val="0"/>
            <w:vAlign w:val="top"/>
          </w:tcPr>
          <w:p>
            <w:pPr>
              <w:pStyle w:val="11"/>
              <w:spacing w:line="480" w:lineRule="exact"/>
              <w:jc w:val="left"/>
              <w:rPr>
                <w:rFonts w:hint="eastAsia" w:ascii="Times New Roman" w:hAnsi="Times New Roman"/>
                <w:szCs w:val="21"/>
              </w:rPr>
            </w:pPr>
          </w:p>
        </w:tc>
        <w:tc>
          <w:tcPr>
            <w:tcW w:w="1273" w:type="dxa"/>
            <w:noWrap w:val="0"/>
            <w:vAlign w:val="top"/>
          </w:tcPr>
          <w:p>
            <w:pPr>
              <w:pStyle w:val="11"/>
              <w:spacing w:line="480" w:lineRule="exact"/>
              <w:jc w:val="left"/>
              <w:rPr>
                <w:rFonts w:hint="eastAsia" w:ascii="Times New Roman" w:hAnsi="Times New Roman"/>
                <w:szCs w:val="21"/>
              </w:rPr>
            </w:pPr>
          </w:p>
        </w:tc>
        <w:tc>
          <w:tcPr>
            <w:tcW w:w="2615" w:type="dxa"/>
            <w:noWrap w:val="0"/>
            <w:vAlign w:val="top"/>
          </w:tcPr>
          <w:p>
            <w:pPr>
              <w:pStyle w:val="11"/>
              <w:spacing w:line="480" w:lineRule="exact"/>
              <w:jc w:val="left"/>
              <w:rPr>
                <w:rFonts w:hint="eastAsia" w:ascii="Times New Roman" w:hAnsi="Times New Roman"/>
                <w:szCs w:val="21"/>
              </w:rPr>
            </w:pPr>
          </w:p>
        </w:tc>
        <w:tc>
          <w:tcPr>
            <w:tcW w:w="1152" w:type="dxa"/>
            <w:noWrap w:val="0"/>
            <w:vAlign w:val="top"/>
          </w:tcPr>
          <w:p>
            <w:pPr>
              <w:pStyle w:val="11"/>
              <w:spacing w:line="480" w:lineRule="exact"/>
              <w:jc w:val="left"/>
              <w:rPr>
                <w:rFonts w:hint="eastAsia" w:ascii="Times New Roman" w:hAnsi="Times New Roman"/>
                <w:szCs w:val="21"/>
              </w:rPr>
            </w:pPr>
          </w:p>
        </w:tc>
        <w:tc>
          <w:tcPr>
            <w:tcW w:w="1080" w:type="dxa"/>
            <w:noWrap w:val="0"/>
            <w:vAlign w:val="top"/>
          </w:tcPr>
          <w:p>
            <w:pPr>
              <w:pStyle w:val="11"/>
              <w:spacing w:line="480" w:lineRule="exact"/>
              <w:jc w:val="left"/>
              <w:rPr>
                <w:rFonts w:hint="eastAsia" w:ascii="Times New Roman" w:hAnsi="Times New Roman"/>
                <w:szCs w:val="21"/>
              </w:rPr>
            </w:pPr>
          </w:p>
        </w:tc>
        <w:tc>
          <w:tcPr>
            <w:tcW w:w="705" w:type="dxa"/>
            <w:noWrap w:val="0"/>
            <w:vAlign w:val="top"/>
          </w:tcPr>
          <w:p>
            <w:pPr>
              <w:pStyle w:val="11"/>
              <w:spacing w:line="480" w:lineRule="exact"/>
              <w:jc w:val="left"/>
              <w:rPr>
                <w:rFonts w:hint="eastAsia" w:ascii="Times New Roman" w:hAnsi="Times New Roman"/>
                <w:szCs w:val="21"/>
              </w:rPr>
            </w:pPr>
          </w:p>
        </w:tc>
        <w:tc>
          <w:tcPr>
            <w:tcW w:w="963" w:type="dxa"/>
            <w:noWrap w:val="0"/>
            <w:vAlign w:val="top"/>
          </w:tcPr>
          <w:p>
            <w:pPr>
              <w:pStyle w:val="11"/>
              <w:spacing w:line="480" w:lineRule="exact"/>
              <w:jc w:val="left"/>
              <w:rPr>
                <w:rFonts w:hint="eastAsia" w:ascii="Times New Roman" w:hAnsi="Times New Roman"/>
                <w:szCs w:val="21"/>
              </w:rPr>
            </w:pPr>
          </w:p>
        </w:tc>
        <w:tc>
          <w:tcPr>
            <w:tcW w:w="1040" w:type="dxa"/>
            <w:noWrap w:val="0"/>
            <w:vAlign w:val="top"/>
          </w:tcPr>
          <w:p>
            <w:pPr>
              <w:pStyle w:val="11"/>
              <w:spacing w:line="480" w:lineRule="exact"/>
              <w:jc w:val="left"/>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8" w:type="dxa"/>
            <w:noWrap w:val="0"/>
            <w:vAlign w:val="top"/>
          </w:tcPr>
          <w:p>
            <w:pPr>
              <w:pStyle w:val="11"/>
              <w:spacing w:line="480" w:lineRule="exact"/>
              <w:jc w:val="left"/>
              <w:rPr>
                <w:rFonts w:hint="eastAsia" w:ascii="Times New Roman" w:hAnsi="Times New Roman"/>
                <w:szCs w:val="21"/>
              </w:rPr>
            </w:pPr>
          </w:p>
        </w:tc>
        <w:tc>
          <w:tcPr>
            <w:tcW w:w="1273" w:type="dxa"/>
            <w:noWrap w:val="0"/>
            <w:vAlign w:val="top"/>
          </w:tcPr>
          <w:p>
            <w:pPr>
              <w:pStyle w:val="11"/>
              <w:spacing w:line="480" w:lineRule="exact"/>
              <w:jc w:val="left"/>
              <w:rPr>
                <w:rFonts w:hint="eastAsia" w:ascii="Times New Roman" w:hAnsi="Times New Roman"/>
                <w:szCs w:val="21"/>
              </w:rPr>
            </w:pPr>
          </w:p>
        </w:tc>
        <w:tc>
          <w:tcPr>
            <w:tcW w:w="2615" w:type="dxa"/>
            <w:noWrap w:val="0"/>
            <w:vAlign w:val="top"/>
          </w:tcPr>
          <w:p>
            <w:pPr>
              <w:pStyle w:val="11"/>
              <w:spacing w:line="480" w:lineRule="exact"/>
              <w:jc w:val="left"/>
              <w:rPr>
                <w:rFonts w:hint="eastAsia" w:ascii="Times New Roman" w:hAnsi="Times New Roman"/>
                <w:szCs w:val="21"/>
              </w:rPr>
            </w:pPr>
          </w:p>
        </w:tc>
        <w:tc>
          <w:tcPr>
            <w:tcW w:w="1152" w:type="dxa"/>
            <w:noWrap w:val="0"/>
            <w:vAlign w:val="top"/>
          </w:tcPr>
          <w:p>
            <w:pPr>
              <w:pStyle w:val="11"/>
              <w:spacing w:line="480" w:lineRule="exact"/>
              <w:jc w:val="left"/>
              <w:rPr>
                <w:rFonts w:hint="eastAsia" w:ascii="Times New Roman" w:hAnsi="Times New Roman"/>
                <w:szCs w:val="21"/>
              </w:rPr>
            </w:pPr>
          </w:p>
        </w:tc>
        <w:tc>
          <w:tcPr>
            <w:tcW w:w="1080" w:type="dxa"/>
            <w:noWrap w:val="0"/>
            <w:vAlign w:val="top"/>
          </w:tcPr>
          <w:p>
            <w:pPr>
              <w:pStyle w:val="11"/>
              <w:spacing w:line="480" w:lineRule="exact"/>
              <w:jc w:val="left"/>
              <w:rPr>
                <w:rFonts w:hint="eastAsia" w:ascii="Times New Roman" w:hAnsi="Times New Roman"/>
                <w:szCs w:val="21"/>
              </w:rPr>
            </w:pPr>
          </w:p>
        </w:tc>
        <w:tc>
          <w:tcPr>
            <w:tcW w:w="705" w:type="dxa"/>
            <w:noWrap w:val="0"/>
            <w:vAlign w:val="top"/>
          </w:tcPr>
          <w:p>
            <w:pPr>
              <w:pStyle w:val="11"/>
              <w:spacing w:line="480" w:lineRule="exact"/>
              <w:jc w:val="left"/>
              <w:rPr>
                <w:rFonts w:hint="eastAsia" w:ascii="Times New Roman" w:hAnsi="Times New Roman"/>
                <w:szCs w:val="21"/>
              </w:rPr>
            </w:pPr>
          </w:p>
        </w:tc>
        <w:tc>
          <w:tcPr>
            <w:tcW w:w="963" w:type="dxa"/>
            <w:noWrap w:val="0"/>
            <w:vAlign w:val="top"/>
          </w:tcPr>
          <w:p>
            <w:pPr>
              <w:pStyle w:val="11"/>
              <w:spacing w:line="480" w:lineRule="exact"/>
              <w:jc w:val="left"/>
              <w:rPr>
                <w:rFonts w:hint="eastAsia" w:ascii="Times New Roman" w:hAnsi="Times New Roman"/>
                <w:szCs w:val="21"/>
              </w:rPr>
            </w:pPr>
          </w:p>
        </w:tc>
        <w:tc>
          <w:tcPr>
            <w:tcW w:w="1040" w:type="dxa"/>
            <w:noWrap w:val="0"/>
            <w:vAlign w:val="top"/>
          </w:tcPr>
          <w:p>
            <w:pPr>
              <w:pStyle w:val="11"/>
              <w:spacing w:line="480" w:lineRule="exact"/>
              <w:jc w:val="left"/>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536" w:type="dxa"/>
            <w:gridSpan w:val="3"/>
            <w:noWrap w:val="0"/>
            <w:vAlign w:val="top"/>
          </w:tcPr>
          <w:p>
            <w:pPr>
              <w:pStyle w:val="11"/>
              <w:spacing w:line="480" w:lineRule="exact"/>
              <w:jc w:val="center"/>
              <w:rPr>
                <w:rFonts w:hint="eastAsia" w:ascii="Times New Roman" w:hAnsi="Times New Roman"/>
                <w:szCs w:val="21"/>
              </w:rPr>
            </w:pPr>
            <w:r>
              <w:rPr>
                <w:rFonts w:hint="eastAsia" w:ascii="Times New Roman" w:hAnsi="Times New Roman"/>
                <w:szCs w:val="21"/>
              </w:rPr>
              <w:t>合     计</w:t>
            </w:r>
          </w:p>
        </w:tc>
        <w:tc>
          <w:tcPr>
            <w:tcW w:w="2937" w:type="dxa"/>
            <w:gridSpan w:val="3"/>
            <w:noWrap w:val="0"/>
            <w:vAlign w:val="top"/>
          </w:tcPr>
          <w:p>
            <w:pPr>
              <w:pStyle w:val="11"/>
              <w:spacing w:line="480" w:lineRule="exact"/>
              <w:jc w:val="center"/>
              <w:rPr>
                <w:rFonts w:hint="eastAsia" w:ascii="Times New Roman" w:hAnsi="Times New Roman"/>
                <w:szCs w:val="21"/>
              </w:rPr>
            </w:pPr>
            <w:r>
              <w:rPr>
                <w:rFonts w:hint="eastAsia" w:ascii="Times New Roman" w:hAnsi="Times New Roman"/>
                <w:szCs w:val="21"/>
              </w:rPr>
              <w:t>数量合计：</w:t>
            </w:r>
          </w:p>
        </w:tc>
        <w:tc>
          <w:tcPr>
            <w:tcW w:w="2003" w:type="dxa"/>
            <w:gridSpan w:val="2"/>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476" w:type="dxa"/>
            <w:gridSpan w:val="8"/>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三、报价汇总：人民币</w:t>
            </w:r>
            <w:r>
              <w:rPr>
                <w:rFonts w:hint="eastAsia" w:ascii="Times New Roman" w:hAnsi="Times New Roman"/>
                <w:szCs w:val="21"/>
                <w:u w:val="single"/>
              </w:rPr>
              <w:t xml:space="preserve">    </w:t>
            </w:r>
            <w:r>
              <w:rPr>
                <w:rFonts w:hint="eastAsia" w:ascii="Times New Roman" w:hAnsi="Times New Roman"/>
                <w:szCs w:val="21"/>
              </w:rPr>
              <w:t>元。（以上各合计项与报价表中的对应项均一致相符，如不一致以报价表为准）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476" w:type="dxa"/>
            <w:gridSpan w:val="8"/>
            <w:noWrap w:val="0"/>
            <w:vAlign w:val="top"/>
          </w:tcPr>
          <w:p>
            <w:pPr>
              <w:pStyle w:val="11"/>
              <w:spacing w:line="480" w:lineRule="exact"/>
              <w:jc w:val="left"/>
              <w:rPr>
                <w:rFonts w:hint="eastAsia" w:ascii="Times New Roman" w:hAnsi="Times New Roman"/>
                <w:szCs w:val="21"/>
              </w:rPr>
            </w:pPr>
            <w:r>
              <w:rPr>
                <w:rFonts w:hint="eastAsia" w:ascii="Times New Roman" w:hAnsi="Times New Roman"/>
                <w:szCs w:val="21"/>
              </w:rPr>
              <w:t>质保期满后将要发生的必要服务项收费标准：</w:t>
            </w:r>
          </w:p>
        </w:tc>
      </w:tr>
    </w:tbl>
    <w:p>
      <w:pPr>
        <w:pStyle w:val="11"/>
        <w:spacing w:line="480" w:lineRule="exact"/>
        <w:jc w:val="left"/>
        <w:rPr>
          <w:rFonts w:hint="eastAsia" w:ascii="Times New Roman" w:hAnsi="Times New Roman"/>
          <w:szCs w:val="21"/>
        </w:rPr>
      </w:pPr>
    </w:p>
    <w:p>
      <w:pPr>
        <w:pStyle w:val="11"/>
        <w:spacing w:line="480" w:lineRule="exact"/>
        <w:jc w:val="left"/>
        <w:rPr>
          <w:rFonts w:hint="eastAsia" w:ascii="Times New Roman" w:hAnsi="Times New Roman"/>
          <w:szCs w:val="21"/>
        </w:rPr>
      </w:pPr>
      <w:r>
        <w:rPr>
          <w:rFonts w:hint="eastAsia" w:ascii="Times New Roman" w:hAnsi="Times New Roman"/>
          <w:szCs w:val="21"/>
        </w:rPr>
        <w:t>注：1.以上内容必须与技术方案中所介绍的内容、《报价表》一致。</w:t>
      </w:r>
    </w:p>
    <w:p>
      <w:pPr>
        <w:pStyle w:val="11"/>
        <w:spacing w:line="480" w:lineRule="exact"/>
        <w:ind w:firstLine="420"/>
        <w:jc w:val="left"/>
        <w:rPr>
          <w:rFonts w:hint="eastAsia" w:ascii="Times New Roman" w:hAnsi="Times New Roman"/>
          <w:szCs w:val="21"/>
        </w:rPr>
      </w:pPr>
    </w:p>
    <w:p>
      <w:pPr>
        <w:pStyle w:val="11"/>
        <w:spacing w:line="480" w:lineRule="exact"/>
        <w:ind w:firstLine="420"/>
        <w:jc w:val="left"/>
        <w:rPr>
          <w:rFonts w:hint="eastAsia" w:ascii="Times New Roman" w:hAnsi="Times New Roman"/>
          <w:szCs w:val="21"/>
        </w:rPr>
      </w:pPr>
    </w:p>
    <w:p>
      <w:pPr>
        <w:pStyle w:val="11"/>
        <w:spacing w:line="480" w:lineRule="exact"/>
        <w:ind w:firstLine="420"/>
        <w:jc w:val="left"/>
        <w:rPr>
          <w:rFonts w:hint="eastAsia" w:ascii="Times New Roman" w:hAnsi="Times New Roman"/>
          <w:szCs w:val="21"/>
        </w:rPr>
      </w:pPr>
      <w:r>
        <w:rPr>
          <w:rFonts w:hint="eastAsia" w:ascii="Times New Roman" w:hAnsi="Times New Roman"/>
          <w:szCs w:val="21"/>
        </w:rPr>
        <w:t>投标人/响应服务商法定代表人（或法定代表人授权代表）签字</w:t>
      </w:r>
      <w:r>
        <w:rPr>
          <w:rFonts w:hint="eastAsia"/>
          <w:szCs w:val="21"/>
        </w:rPr>
        <w:t>或盖章</w:t>
      </w:r>
      <w:r>
        <w:rPr>
          <w:rFonts w:hint="eastAsia" w:ascii="Times New Roman" w:hAnsi="Times New Roman"/>
          <w:szCs w:val="21"/>
        </w:rPr>
        <w:t>：</w:t>
      </w:r>
    </w:p>
    <w:p>
      <w:pPr>
        <w:pStyle w:val="11"/>
        <w:spacing w:line="480" w:lineRule="exact"/>
        <w:ind w:firstLine="420"/>
        <w:jc w:val="left"/>
        <w:rPr>
          <w:rFonts w:hint="eastAsia" w:ascii="Times New Roman" w:hAnsi="Times New Roman"/>
          <w:szCs w:val="21"/>
        </w:rPr>
      </w:pPr>
      <w:r>
        <w:rPr>
          <w:rFonts w:hint="eastAsia" w:ascii="Times New Roman" w:hAnsi="Times New Roman"/>
          <w:szCs w:val="21"/>
        </w:rPr>
        <w:t>投标人/响应服务商名称（签章）：</w:t>
      </w:r>
    </w:p>
    <w:p>
      <w:pPr>
        <w:pStyle w:val="11"/>
        <w:spacing w:line="480" w:lineRule="exact"/>
        <w:ind w:firstLine="420"/>
        <w:jc w:val="left"/>
        <w:rPr>
          <w:rFonts w:hint="eastAsia" w:ascii="Times New Roman" w:hAnsi="Times New Roman"/>
          <w:szCs w:val="21"/>
        </w:rPr>
      </w:pPr>
      <w:r>
        <w:rPr>
          <w:rFonts w:hint="eastAsia" w:ascii="Times New Roman" w:hAnsi="Times New Roman"/>
          <w:szCs w:val="21"/>
        </w:rPr>
        <w:t>日期：    年    月    日</w:t>
      </w:r>
    </w:p>
    <w:p>
      <w:pPr>
        <w:sectPr>
          <w:pgSz w:w="11910" w:h="16840"/>
          <w:pgMar w:top="1580" w:right="1160" w:bottom="1160" w:left="1160" w:header="0" w:footer="978" w:gutter="0"/>
          <w:cols w:space="720" w:num="1"/>
        </w:sectPr>
      </w:pPr>
    </w:p>
    <w:p>
      <w:pPr>
        <w:spacing w:line="363" w:lineRule="exact"/>
        <w:ind w:left="12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8</w:t>
      </w:r>
    </w:p>
    <w:p>
      <w:pPr>
        <w:spacing w:before="8"/>
        <w:rPr>
          <w:rFonts w:ascii="黑体" w:hAnsi="黑体" w:eastAsia="黑体" w:cs="黑体"/>
          <w:sz w:val="27"/>
          <w:szCs w:val="27"/>
        </w:rPr>
      </w:pPr>
      <w:r>
        <w:br w:type="column"/>
      </w:r>
    </w:p>
    <w:p>
      <w:pPr>
        <w:ind w:left="120"/>
        <w:rPr>
          <w:rFonts w:ascii="宋体" w:hAnsi="宋体" w:cs="宋体"/>
          <w:sz w:val="28"/>
          <w:szCs w:val="28"/>
        </w:rPr>
      </w:pPr>
      <w:r>
        <w:rPr>
          <w:rFonts w:ascii="宋体" w:hAnsi="宋体" w:cs="宋体"/>
          <w:b/>
          <w:bCs/>
          <w:sz w:val="28"/>
          <w:szCs w:val="28"/>
        </w:rPr>
        <w:t>投标人简介（格式自定）</w:t>
      </w:r>
    </w:p>
    <w:p>
      <w:pPr>
        <w:rPr>
          <w:rFonts w:ascii="宋体" w:hAnsi="宋体" w:cs="宋体"/>
          <w:sz w:val="28"/>
          <w:szCs w:val="28"/>
        </w:rPr>
        <w:sectPr>
          <w:pgSz w:w="11910" w:h="16840"/>
          <w:pgMar w:top="1380" w:right="1680" w:bottom="1160" w:left="1680" w:header="0" w:footer="978" w:gutter="0"/>
          <w:cols w:equalWidth="0" w:num="2">
            <w:col w:w="890" w:space="1717"/>
            <w:col w:w="5943"/>
          </w:cols>
        </w:sectPr>
      </w:pPr>
    </w:p>
    <w:p>
      <w:pPr>
        <w:spacing w:line="363" w:lineRule="exact"/>
        <w:ind w:left="24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2"/>
          <w:sz w:val="28"/>
          <w:szCs w:val="28"/>
        </w:rPr>
        <w:t xml:space="preserve"> </w:t>
      </w:r>
      <w:r>
        <w:rPr>
          <w:rFonts w:ascii="黑体" w:hAnsi="黑体" w:eastAsia="黑体" w:cs="黑体"/>
          <w:sz w:val="28"/>
          <w:szCs w:val="28"/>
        </w:rPr>
        <w:t>9</w:t>
      </w:r>
    </w:p>
    <w:p>
      <w:pPr>
        <w:spacing w:before="8"/>
        <w:rPr>
          <w:rFonts w:ascii="黑体" w:hAnsi="黑体" w:eastAsia="黑体" w:cs="黑体"/>
          <w:sz w:val="27"/>
          <w:szCs w:val="27"/>
        </w:rPr>
      </w:pPr>
      <w:r>
        <w:br w:type="column"/>
      </w:r>
    </w:p>
    <w:p>
      <w:pPr>
        <w:ind w:left="240"/>
        <w:rPr>
          <w:rFonts w:ascii="宋体" w:hAnsi="宋体" w:cs="宋体"/>
          <w:sz w:val="28"/>
          <w:szCs w:val="28"/>
        </w:rPr>
      </w:pPr>
      <w:r>
        <w:rPr>
          <w:rFonts w:ascii="宋体" w:hAnsi="宋体" w:cs="宋体"/>
          <w:b/>
          <w:bCs/>
          <w:sz w:val="28"/>
          <w:szCs w:val="28"/>
        </w:rPr>
        <w:t>业绩情况一览表</w:t>
      </w:r>
    </w:p>
    <w:p>
      <w:pPr>
        <w:rPr>
          <w:rFonts w:ascii="宋体" w:hAnsi="宋体" w:cs="宋体"/>
          <w:sz w:val="28"/>
          <w:szCs w:val="28"/>
        </w:rPr>
        <w:sectPr>
          <w:pgSz w:w="11910" w:h="16840"/>
          <w:pgMar w:top="1380" w:right="1560" w:bottom="1160" w:left="1560" w:header="0" w:footer="978" w:gutter="0"/>
          <w:cols w:equalWidth="0" w:num="2">
            <w:col w:w="1010" w:space="2158"/>
            <w:col w:w="5622"/>
          </w:cols>
        </w:sectPr>
      </w:pPr>
    </w:p>
    <w:p>
      <w:pPr>
        <w:rPr>
          <w:rFonts w:ascii="宋体" w:hAnsi="宋体" w:cs="宋体"/>
          <w:b/>
          <w:bCs/>
          <w:sz w:val="20"/>
        </w:rPr>
      </w:pPr>
    </w:p>
    <w:p>
      <w:pPr>
        <w:spacing w:before="3"/>
        <w:rPr>
          <w:rFonts w:ascii="宋体" w:hAnsi="宋体" w:cs="宋体"/>
          <w:b/>
          <w:bCs/>
          <w:sz w:val="18"/>
          <w:szCs w:val="18"/>
        </w:rPr>
      </w:pPr>
    </w:p>
    <w:tbl>
      <w:tblPr>
        <w:tblStyle w:val="15"/>
        <w:tblW w:w="0" w:type="auto"/>
        <w:tblInd w:w="117" w:type="dxa"/>
        <w:tblLayout w:type="fixed"/>
        <w:tblCellMar>
          <w:top w:w="0" w:type="dxa"/>
          <w:left w:w="0" w:type="dxa"/>
          <w:bottom w:w="0" w:type="dxa"/>
          <w:right w:w="0" w:type="dxa"/>
        </w:tblCellMar>
      </w:tblPr>
      <w:tblGrid>
        <w:gridCol w:w="752"/>
        <w:gridCol w:w="1657"/>
        <w:gridCol w:w="1910"/>
        <w:gridCol w:w="1911"/>
        <w:gridCol w:w="2292"/>
      </w:tblGrid>
      <w:tr>
        <w:tblPrEx>
          <w:tblCellMar>
            <w:top w:w="0" w:type="dxa"/>
            <w:left w:w="0" w:type="dxa"/>
            <w:bottom w:w="0" w:type="dxa"/>
            <w:right w:w="0" w:type="dxa"/>
          </w:tblCellMar>
        </w:tblPrEx>
        <w:trPr>
          <w:trHeight w:val="334" w:hRule="exact"/>
        </w:trPr>
        <w:tc>
          <w:tcPr>
            <w:tcW w:w="752" w:type="dxa"/>
            <w:tcBorders>
              <w:top w:val="single" w:color="000000" w:sz="12" w:space="0"/>
              <w:left w:val="single" w:color="000000" w:sz="12" w:space="0"/>
              <w:bottom w:val="single" w:color="000000" w:sz="6" w:space="0"/>
              <w:right w:val="single" w:color="000000" w:sz="4" w:space="0"/>
            </w:tcBorders>
            <w:noWrap w:val="0"/>
            <w:vAlign w:val="top"/>
          </w:tcPr>
          <w:p>
            <w:pPr>
              <w:pStyle w:val="18"/>
              <w:spacing w:line="277" w:lineRule="exact"/>
              <w:ind w:left="122"/>
              <w:rPr>
                <w:rFonts w:ascii="宋体" w:hAnsi="宋体" w:cs="宋体"/>
                <w:sz w:val="24"/>
                <w:szCs w:val="24"/>
              </w:rPr>
            </w:pPr>
            <w:r>
              <w:rPr>
                <w:rFonts w:ascii="宋体" w:hAnsi="宋体" w:cs="宋体"/>
                <w:sz w:val="24"/>
                <w:szCs w:val="24"/>
              </w:rPr>
              <w:t>序号</w:t>
            </w:r>
          </w:p>
        </w:tc>
        <w:tc>
          <w:tcPr>
            <w:tcW w:w="1657" w:type="dxa"/>
            <w:tcBorders>
              <w:top w:val="single" w:color="000000" w:sz="12" w:space="0"/>
              <w:left w:val="single" w:color="000000" w:sz="4" w:space="0"/>
              <w:bottom w:val="single" w:color="000000" w:sz="6" w:space="0"/>
              <w:right w:val="single" w:color="000000" w:sz="6" w:space="0"/>
            </w:tcBorders>
            <w:noWrap w:val="0"/>
            <w:vAlign w:val="top"/>
          </w:tcPr>
          <w:p>
            <w:pPr>
              <w:pStyle w:val="18"/>
              <w:spacing w:line="277" w:lineRule="exact"/>
              <w:ind w:left="342"/>
              <w:rPr>
                <w:rFonts w:ascii="宋体" w:hAnsi="宋体" w:cs="宋体"/>
                <w:sz w:val="24"/>
                <w:szCs w:val="24"/>
              </w:rPr>
            </w:pPr>
            <w:r>
              <w:rPr>
                <w:rFonts w:ascii="宋体" w:hAnsi="宋体" w:cs="宋体"/>
                <w:sz w:val="24"/>
                <w:szCs w:val="24"/>
              </w:rPr>
              <w:t>委托单位</w:t>
            </w:r>
          </w:p>
        </w:tc>
        <w:tc>
          <w:tcPr>
            <w:tcW w:w="1910" w:type="dxa"/>
            <w:tcBorders>
              <w:top w:val="single" w:color="000000" w:sz="12" w:space="0"/>
              <w:left w:val="single" w:color="000000" w:sz="6" w:space="0"/>
              <w:bottom w:val="single" w:color="000000" w:sz="6" w:space="0"/>
              <w:right w:val="single" w:color="000000" w:sz="6" w:space="0"/>
            </w:tcBorders>
            <w:noWrap w:val="0"/>
            <w:vAlign w:val="top"/>
          </w:tcPr>
          <w:p>
            <w:pPr>
              <w:pStyle w:val="18"/>
              <w:spacing w:line="277" w:lineRule="exact"/>
              <w:ind w:left="468"/>
              <w:rPr>
                <w:rFonts w:ascii="宋体" w:hAnsi="宋体" w:cs="宋体"/>
                <w:sz w:val="24"/>
                <w:szCs w:val="24"/>
              </w:rPr>
            </w:pPr>
            <w:r>
              <w:rPr>
                <w:rFonts w:ascii="宋体" w:hAnsi="宋体" w:cs="宋体"/>
                <w:sz w:val="24"/>
                <w:szCs w:val="24"/>
              </w:rPr>
              <w:t>项目名称</w:t>
            </w:r>
          </w:p>
        </w:tc>
        <w:tc>
          <w:tcPr>
            <w:tcW w:w="1911" w:type="dxa"/>
            <w:tcBorders>
              <w:top w:val="single" w:color="000000" w:sz="12" w:space="0"/>
              <w:left w:val="single" w:color="000000" w:sz="6" w:space="0"/>
              <w:bottom w:val="single" w:color="000000" w:sz="6" w:space="0"/>
              <w:right w:val="single" w:color="000000" w:sz="6" w:space="0"/>
            </w:tcBorders>
            <w:noWrap w:val="0"/>
            <w:vAlign w:val="top"/>
          </w:tcPr>
          <w:p>
            <w:pPr>
              <w:pStyle w:val="18"/>
              <w:spacing w:line="295" w:lineRule="exact"/>
              <w:ind w:left="101"/>
              <w:rPr>
                <w:rFonts w:ascii="宋体" w:hAnsi="宋体" w:cs="宋体"/>
                <w:sz w:val="24"/>
                <w:szCs w:val="24"/>
              </w:rPr>
            </w:pPr>
            <w:r>
              <w:rPr>
                <w:rFonts w:ascii="宋体" w:hAnsi="宋体" w:cs="宋体"/>
                <w:sz w:val="24"/>
                <w:szCs w:val="24"/>
              </w:rPr>
              <w:t>采购预算</w:t>
            </w:r>
            <w:r>
              <w:rPr>
                <w:rFonts w:ascii="Times New Roman" w:hAnsi="Times New Roman" w:eastAsia="Times New Roman"/>
                <w:sz w:val="24"/>
                <w:szCs w:val="24"/>
              </w:rPr>
              <w:t>(</w:t>
            </w:r>
            <w:r>
              <w:rPr>
                <w:rFonts w:ascii="宋体" w:hAnsi="宋体" w:cs="宋体"/>
                <w:sz w:val="24"/>
                <w:szCs w:val="24"/>
              </w:rPr>
              <w:t>万元）</w:t>
            </w:r>
          </w:p>
        </w:tc>
        <w:tc>
          <w:tcPr>
            <w:tcW w:w="2292" w:type="dxa"/>
            <w:tcBorders>
              <w:top w:val="single" w:color="000000" w:sz="12" w:space="0"/>
              <w:left w:val="single" w:color="000000" w:sz="6" w:space="0"/>
              <w:bottom w:val="single" w:color="000000" w:sz="6" w:space="0"/>
              <w:right w:val="single" w:color="000000" w:sz="12" w:space="0"/>
            </w:tcBorders>
            <w:noWrap w:val="0"/>
            <w:vAlign w:val="top"/>
          </w:tcPr>
          <w:p>
            <w:pPr>
              <w:pStyle w:val="18"/>
              <w:spacing w:line="277" w:lineRule="exact"/>
              <w:ind w:left="5"/>
              <w:jc w:val="center"/>
              <w:rPr>
                <w:rFonts w:ascii="宋体" w:hAnsi="宋体" w:cs="宋体"/>
                <w:sz w:val="24"/>
                <w:szCs w:val="24"/>
              </w:rPr>
            </w:pPr>
            <w:r>
              <w:rPr>
                <w:rFonts w:ascii="宋体" w:hAnsi="宋体" w:cs="宋体"/>
                <w:sz w:val="24"/>
                <w:szCs w:val="24"/>
              </w:rPr>
              <w:t>备注</w:t>
            </w:r>
          </w:p>
        </w:tc>
      </w:tr>
      <w:tr>
        <w:tblPrEx>
          <w:tblCellMar>
            <w:top w:w="0" w:type="dxa"/>
            <w:left w:w="0" w:type="dxa"/>
            <w:bottom w:w="0" w:type="dxa"/>
            <w:right w:w="0" w:type="dxa"/>
          </w:tblCellMar>
        </w:tblPrEx>
        <w:trPr>
          <w:trHeight w:val="742" w:hRule="exact"/>
        </w:trPr>
        <w:tc>
          <w:tcPr>
            <w:tcW w:w="752" w:type="dxa"/>
            <w:tcBorders>
              <w:top w:val="single" w:color="000000" w:sz="6" w:space="0"/>
              <w:left w:val="single" w:color="000000" w:sz="12" w:space="0"/>
              <w:bottom w:val="single" w:color="000000" w:sz="6" w:space="0"/>
              <w:right w:val="single" w:color="000000" w:sz="4" w:space="0"/>
            </w:tcBorders>
            <w:noWrap w:val="0"/>
            <w:vAlign w:val="top"/>
          </w:tcPr>
          <w:p/>
        </w:tc>
        <w:tc>
          <w:tcPr>
            <w:tcW w:w="1657" w:type="dxa"/>
            <w:tcBorders>
              <w:top w:val="single" w:color="000000" w:sz="6" w:space="0"/>
              <w:left w:val="single" w:color="000000" w:sz="4" w:space="0"/>
              <w:bottom w:val="single" w:color="000000" w:sz="6" w:space="0"/>
              <w:right w:val="single" w:color="000000" w:sz="6" w:space="0"/>
            </w:tcBorders>
            <w:noWrap w:val="0"/>
            <w:vAlign w:val="top"/>
          </w:tcPr>
          <w:p/>
        </w:tc>
        <w:tc>
          <w:tcPr>
            <w:tcW w:w="1910" w:type="dxa"/>
            <w:tcBorders>
              <w:top w:val="single" w:color="000000" w:sz="6" w:space="0"/>
              <w:left w:val="single" w:color="000000" w:sz="6" w:space="0"/>
              <w:bottom w:val="single" w:color="000000" w:sz="6" w:space="0"/>
              <w:right w:val="single" w:color="000000" w:sz="6" w:space="0"/>
            </w:tcBorders>
            <w:noWrap w:val="0"/>
            <w:vAlign w:val="top"/>
          </w:tcPr>
          <w:p/>
        </w:tc>
        <w:tc>
          <w:tcPr>
            <w:tcW w:w="1911" w:type="dxa"/>
            <w:tcBorders>
              <w:top w:val="single" w:color="000000" w:sz="6" w:space="0"/>
              <w:left w:val="single" w:color="000000" w:sz="6" w:space="0"/>
              <w:bottom w:val="single" w:color="000000" w:sz="6" w:space="0"/>
              <w:right w:val="single" w:color="000000" w:sz="6" w:space="0"/>
            </w:tcBorders>
            <w:noWrap w:val="0"/>
            <w:vAlign w:val="top"/>
          </w:tcPr>
          <w:p/>
        </w:tc>
        <w:tc>
          <w:tcPr>
            <w:tcW w:w="2292" w:type="dxa"/>
            <w:tcBorders>
              <w:top w:val="single" w:color="000000" w:sz="6" w:space="0"/>
              <w:left w:val="single" w:color="000000" w:sz="6" w:space="0"/>
              <w:bottom w:val="single" w:color="000000" w:sz="6" w:space="0"/>
              <w:right w:val="single" w:color="000000" w:sz="12" w:space="0"/>
            </w:tcBorders>
            <w:noWrap w:val="0"/>
            <w:vAlign w:val="top"/>
          </w:tcPr>
          <w:p/>
        </w:tc>
      </w:tr>
      <w:tr>
        <w:tblPrEx>
          <w:tblCellMar>
            <w:top w:w="0" w:type="dxa"/>
            <w:left w:w="0" w:type="dxa"/>
            <w:bottom w:w="0" w:type="dxa"/>
            <w:right w:w="0" w:type="dxa"/>
          </w:tblCellMar>
        </w:tblPrEx>
        <w:trPr>
          <w:trHeight w:val="742" w:hRule="exact"/>
        </w:trPr>
        <w:tc>
          <w:tcPr>
            <w:tcW w:w="752" w:type="dxa"/>
            <w:tcBorders>
              <w:top w:val="single" w:color="000000" w:sz="6" w:space="0"/>
              <w:left w:val="single" w:color="000000" w:sz="12" w:space="0"/>
              <w:bottom w:val="single" w:color="000000" w:sz="6" w:space="0"/>
              <w:right w:val="single" w:color="000000" w:sz="4" w:space="0"/>
            </w:tcBorders>
            <w:noWrap w:val="0"/>
            <w:vAlign w:val="top"/>
          </w:tcPr>
          <w:p/>
        </w:tc>
        <w:tc>
          <w:tcPr>
            <w:tcW w:w="1657" w:type="dxa"/>
            <w:tcBorders>
              <w:top w:val="single" w:color="000000" w:sz="6" w:space="0"/>
              <w:left w:val="single" w:color="000000" w:sz="4" w:space="0"/>
              <w:bottom w:val="single" w:color="000000" w:sz="6" w:space="0"/>
              <w:right w:val="single" w:color="000000" w:sz="6" w:space="0"/>
            </w:tcBorders>
            <w:noWrap w:val="0"/>
            <w:vAlign w:val="top"/>
          </w:tcPr>
          <w:p/>
        </w:tc>
        <w:tc>
          <w:tcPr>
            <w:tcW w:w="1910" w:type="dxa"/>
            <w:tcBorders>
              <w:top w:val="single" w:color="000000" w:sz="6" w:space="0"/>
              <w:left w:val="single" w:color="000000" w:sz="6" w:space="0"/>
              <w:bottom w:val="single" w:color="000000" w:sz="6" w:space="0"/>
              <w:right w:val="single" w:color="000000" w:sz="6" w:space="0"/>
            </w:tcBorders>
            <w:noWrap w:val="0"/>
            <w:vAlign w:val="top"/>
          </w:tcPr>
          <w:p/>
        </w:tc>
        <w:tc>
          <w:tcPr>
            <w:tcW w:w="1911" w:type="dxa"/>
            <w:tcBorders>
              <w:top w:val="single" w:color="000000" w:sz="6" w:space="0"/>
              <w:left w:val="single" w:color="000000" w:sz="6" w:space="0"/>
              <w:bottom w:val="single" w:color="000000" w:sz="6" w:space="0"/>
              <w:right w:val="single" w:color="000000" w:sz="6" w:space="0"/>
            </w:tcBorders>
            <w:noWrap w:val="0"/>
            <w:vAlign w:val="top"/>
          </w:tcPr>
          <w:p/>
        </w:tc>
        <w:tc>
          <w:tcPr>
            <w:tcW w:w="2292" w:type="dxa"/>
            <w:tcBorders>
              <w:top w:val="single" w:color="000000" w:sz="6" w:space="0"/>
              <w:left w:val="single" w:color="000000" w:sz="6" w:space="0"/>
              <w:bottom w:val="single" w:color="000000" w:sz="6" w:space="0"/>
              <w:right w:val="single" w:color="000000" w:sz="12" w:space="0"/>
            </w:tcBorders>
            <w:noWrap w:val="0"/>
            <w:vAlign w:val="top"/>
          </w:tcPr>
          <w:p/>
        </w:tc>
      </w:tr>
      <w:tr>
        <w:tblPrEx>
          <w:tblCellMar>
            <w:top w:w="0" w:type="dxa"/>
            <w:left w:w="0" w:type="dxa"/>
            <w:bottom w:w="0" w:type="dxa"/>
            <w:right w:w="0" w:type="dxa"/>
          </w:tblCellMar>
        </w:tblPrEx>
        <w:trPr>
          <w:trHeight w:val="749" w:hRule="exact"/>
        </w:trPr>
        <w:tc>
          <w:tcPr>
            <w:tcW w:w="752" w:type="dxa"/>
            <w:tcBorders>
              <w:top w:val="single" w:color="000000" w:sz="6" w:space="0"/>
              <w:left w:val="single" w:color="000000" w:sz="12" w:space="0"/>
              <w:bottom w:val="single" w:color="000000" w:sz="12" w:space="0"/>
              <w:right w:val="single" w:color="000000" w:sz="4" w:space="0"/>
            </w:tcBorders>
            <w:noWrap w:val="0"/>
            <w:vAlign w:val="top"/>
          </w:tcPr>
          <w:p/>
        </w:tc>
        <w:tc>
          <w:tcPr>
            <w:tcW w:w="1657" w:type="dxa"/>
            <w:tcBorders>
              <w:top w:val="single" w:color="000000" w:sz="6" w:space="0"/>
              <w:left w:val="single" w:color="000000" w:sz="4" w:space="0"/>
              <w:bottom w:val="single" w:color="000000" w:sz="12" w:space="0"/>
              <w:right w:val="single" w:color="000000" w:sz="6" w:space="0"/>
            </w:tcBorders>
            <w:noWrap w:val="0"/>
            <w:vAlign w:val="top"/>
          </w:tcPr>
          <w:p/>
        </w:tc>
        <w:tc>
          <w:tcPr>
            <w:tcW w:w="1910" w:type="dxa"/>
            <w:tcBorders>
              <w:top w:val="single" w:color="000000" w:sz="6" w:space="0"/>
              <w:left w:val="single" w:color="000000" w:sz="6" w:space="0"/>
              <w:bottom w:val="single" w:color="000000" w:sz="12" w:space="0"/>
              <w:right w:val="single" w:color="000000" w:sz="6" w:space="0"/>
            </w:tcBorders>
            <w:noWrap w:val="0"/>
            <w:vAlign w:val="top"/>
          </w:tcPr>
          <w:p/>
        </w:tc>
        <w:tc>
          <w:tcPr>
            <w:tcW w:w="1911" w:type="dxa"/>
            <w:tcBorders>
              <w:top w:val="single" w:color="000000" w:sz="6" w:space="0"/>
              <w:left w:val="single" w:color="000000" w:sz="6" w:space="0"/>
              <w:bottom w:val="single" w:color="000000" w:sz="12" w:space="0"/>
              <w:right w:val="single" w:color="000000" w:sz="6" w:space="0"/>
            </w:tcBorders>
            <w:noWrap w:val="0"/>
            <w:vAlign w:val="top"/>
          </w:tcPr>
          <w:p/>
        </w:tc>
        <w:tc>
          <w:tcPr>
            <w:tcW w:w="2292" w:type="dxa"/>
            <w:tcBorders>
              <w:top w:val="single" w:color="000000" w:sz="6" w:space="0"/>
              <w:left w:val="single" w:color="000000" w:sz="6" w:space="0"/>
              <w:bottom w:val="single" w:color="000000" w:sz="12" w:space="0"/>
              <w:right w:val="single" w:color="000000" w:sz="12" w:space="0"/>
            </w:tcBorders>
            <w:noWrap w:val="0"/>
            <w:vAlign w:val="top"/>
          </w:tcPr>
          <w:p/>
        </w:tc>
      </w:tr>
    </w:tbl>
    <w:p>
      <w:pPr>
        <w:spacing w:before="4"/>
        <w:rPr>
          <w:rFonts w:ascii="宋体" w:hAnsi="宋体" w:cs="宋体"/>
          <w:b/>
          <w:bCs/>
          <w:sz w:val="16"/>
          <w:szCs w:val="16"/>
        </w:rPr>
      </w:pPr>
    </w:p>
    <w:p>
      <w:pPr>
        <w:spacing w:before="26"/>
        <w:ind w:left="240"/>
        <w:rPr>
          <w:rFonts w:ascii="宋体" w:hAnsi="宋体" w:cs="宋体"/>
          <w:sz w:val="24"/>
          <w:szCs w:val="24"/>
        </w:rPr>
      </w:pPr>
      <w:r>
        <w:rPr>
          <w:rFonts w:ascii="宋体" w:hAnsi="宋体" w:cs="宋体"/>
          <w:b/>
          <w:bCs/>
          <w:sz w:val="24"/>
          <w:szCs w:val="24"/>
        </w:rPr>
        <w:t>备注：根据遴选采购文件《评审标准表》相关要求提供证明材料。</w:t>
      </w:r>
    </w:p>
    <w:p>
      <w:pPr>
        <w:rPr>
          <w:rFonts w:ascii="宋体" w:hAnsi="宋体" w:cs="宋体"/>
          <w:b/>
          <w:bCs/>
          <w:sz w:val="24"/>
          <w:szCs w:val="24"/>
        </w:rPr>
      </w:pPr>
    </w:p>
    <w:p>
      <w:pPr>
        <w:rPr>
          <w:rFonts w:ascii="宋体" w:hAnsi="宋体" w:cs="宋体"/>
          <w:b/>
          <w:bCs/>
          <w:sz w:val="35"/>
          <w:szCs w:val="35"/>
        </w:rPr>
      </w:pPr>
    </w:p>
    <w:p>
      <w:pPr>
        <w:pStyle w:val="10"/>
        <w:tabs>
          <w:tab w:val="left" w:pos="5967"/>
        </w:tabs>
        <w:ind w:left="240"/>
        <w:rPr>
          <w:rFonts w:ascii="Times New Roman" w:hAnsi="Times New Roman" w:eastAsia="Times New Roman"/>
        </w:rPr>
      </w:pPr>
      <w:r>
        <w:rPr>
          <w:spacing w:val="8"/>
        </w:rPr>
        <w:t>投标人名称（盖公章）：</w:t>
      </w:r>
      <w:r>
        <w:rPr>
          <w:rFonts w:ascii="Times New Roman" w:hAnsi="Times New Roman" w:eastAsia="Times New Roman"/>
          <w:u w:val="single" w:color="000000"/>
        </w:rPr>
        <w:t xml:space="preserve"> </w:t>
      </w:r>
      <w:r>
        <w:rPr>
          <w:rFonts w:ascii="Times New Roman" w:hAnsi="Times New Roman" w:eastAsia="Times New Roman"/>
          <w:u w:val="single" w:color="000000"/>
        </w:rPr>
        <w:tab/>
      </w:r>
    </w:p>
    <w:p>
      <w:pPr>
        <w:spacing w:before="4"/>
        <w:rPr>
          <w:rFonts w:ascii="Times New Roman" w:hAnsi="Times New Roman" w:eastAsia="Times New Roman"/>
          <w:szCs w:val="21"/>
        </w:rPr>
      </w:pPr>
    </w:p>
    <w:p>
      <w:pPr>
        <w:pStyle w:val="10"/>
        <w:tabs>
          <w:tab w:val="left" w:pos="6171"/>
        </w:tabs>
        <w:spacing w:before="34"/>
        <w:ind w:left="240"/>
        <w:rPr>
          <w:rFonts w:ascii="Times New Roman" w:hAnsi="Times New Roman" w:eastAsia="Times New Roman"/>
        </w:rPr>
      </w:pPr>
      <w:r>
        <w:t>法定代表人或投标人授权代表（签名或盖章）：</w:t>
      </w:r>
      <w:r>
        <w:rPr>
          <w:rFonts w:ascii="Times New Roman" w:hAnsi="Times New Roman" w:eastAsia="Times New Roman"/>
          <w:u w:val="single" w:color="000000"/>
        </w:rPr>
        <w:t xml:space="preserve"> </w:t>
      </w:r>
      <w:r>
        <w:rPr>
          <w:rFonts w:ascii="Times New Roman" w:hAnsi="Times New Roman" w:eastAsia="Times New Roman"/>
          <w:u w:val="single" w:color="000000"/>
        </w:rPr>
        <w:tab/>
      </w:r>
    </w:p>
    <w:p>
      <w:pPr>
        <w:rPr>
          <w:rFonts w:ascii="Times New Roman" w:hAnsi="Times New Roman" w:eastAsia="Times New Roman"/>
          <w:sz w:val="20"/>
        </w:rPr>
      </w:pPr>
    </w:p>
    <w:p>
      <w:pPr>
        <w:pStyle w:val="10"/>
        <w:tabs>
          <w:tab w:val="left" w:pos="1394"/>
          <w:tab w:val="left" w:pos="1919"/>
          <w:tab w:val="left" w:pos="2445"/>
        </w:tabs>
        <w:spacing w:before="177"/>
        <w:ind w:left="240"/>
      </w:pPr>
      <w:r>
        <w:rPr>
          <w:w w:val="95"/>
        </w:rPr>
        <w:t>日期：</w:t>
      </w:r>
      <w:r>
        <w:rPr>
          <w:rFonts w:ascii="Times New Roman" w:hAnsi="Times New Roman" w:eastAsia="Times New Roman"/>
          <w:w w:val="95"/>
          <w:u w:val="single" w:color="000000"/>
        </w:rPr>
        <w:tab/>
      </w:r>
      <w:r>
        <w:rPr>
          <w:spacing w:val="1"/>
          <w:w w:val="95"/>
        </w:rPr>
        <w:t>年</w:t>
      </w:r>
      <w:r>
        <w:rPr>
          <w:rFonts w:ascii="Times New Roman" w:hAnsi="Times New Roman" w:eastAsia="Times New Roman"/>
          <w:spacing w:val="1"/>
          <w:w w:val="95"/>
          <w:u w:val="single" w:color="000000"/>
        </w:rPr>
        <w:tab/>
      </w:r>
      <w:r>
        <w:rPr>
          <w:spacing w:val="-1"/>
          <w:w w:val="95"/>
        </w:rPr>
        <w:t>月</w:t>
      </w:r>
      <w:r>
        <w:rPr>
          <w:rFonts w:ascii="Times New Roman" w:hAnsi="Times New Roman" w:eastAsia="Times New Roman"/>
          <w:spacing w:val="-1"/>
          <w:w w:val="95"/>
          <w:u w:val="single" w:color="000000"/>
        </w:rPr>
        <w:tab/>
      </w:r>
      <w:r>
        <w:t>日</w:t>
      </w:r>
    </w:p>
    <w:p>
      <w:pPr>
        <w:sectPr>
          <w:type w:val="continuous"/>
          <w:pgSz w:w="11910" w:h="16840"/>
          <w:pgMar w:top="1580" w:right="1560" w:bottom="280" w:left="1560" w:header="720" w:footer="720" w:gutter="0"/>
          <w:cols w:space="720" w:num="1"/>
        </w:sectPr>
      </w:pPr>
    </w:p>
    <w:p>
      <w:pPr>
        <w:spacing w:line="363" w:lineRule="exact"/>
        <w:ind w:left="240"/>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0"/>
          <w:sz w:val="28"/>
          <w:szCs w:val="28"/>
        </w:rPr>
        <w:t xml:space="preserve"> </w:t>
      </w:r>
      <w:r>
        <w:rPr>
          <w:rFonts w:ascii="黑体" w:hAnsi="黑体" w:eastAsia="黑体" w:cs="黑体"/>
          <w:sz w:val="28"/>
          <w:szCs w:val="28"/>
        </w:rPr>
        <w:t>10</w:t>
      </w:r>
    </w:p>
    <w:p>
      <w:pPr>
        <w:spacing w:before="8"/>
        <w:rPr>
          <w:rFonts w:ascii="黑体" w:hAnsi="黑体" w:eastAsia="黑体" w:cs="黑体"/>
          <w:sz w:val="27"/>
          <w:szCs w:val="27"/>
        </w:rPr>
      </w:pPr>
      <w:r>
        <w:br w:type="column"/>
      </w:r>
    </w:p>
    <w:p>
      <w:pPr>
        <w:ind w:left="240"/>
        <w:rPr>
          <w:rFonts w:ascii="宋体" w:hAnsi="宋体" w:cs="宋体"/>
          <w:sz w:val="28"/>
          <w:szCs w:val="28"/>
        </w:rPr>
      </w:pPr>
      <w:r>
        <w:rPr>
          <w:rFonts w:ascii="宋体" w:hAnsi="宋体" w:cs="宋体"/>
          <w:b/>
          <w:bCs/>
          <w:sz w:val="28"/>
          <w:szCs w:val="28"/>
        </w:rPr>
        <w:t>拟投入本单位项目的团队人员一览表</w:t>
      </w:r>
    </w:p>
    <w:p>
      <w:pPr>
        <w:rPr>
          <w:rFonts w:ascii="宋体" w:hAnsi="宋体" w:cs="宋体"/>
          <w:sz w:val="28"/>
          <w:szCs w:val="28"/>
        </w:rPr>
        <w:sectPr>
          <w:pgSz w:w="11910" w:h="16840"/>
          <w:pgMar w:top="1380" w:right="1560" w:bottom="1160" w:left="1560" w:header="0" w:footer="978" w:gutter="0"/>
          <w:cols w:equalWidth="0" w:num="2">
            <w:col w:w="1151" w:space="752"/>
            <w:col w:w="6887"/>
          </w:cols>
        </w:sectPr>
      </w:pPr>
    </w:p>
    <w:p>
      <w:pPr>
        <w:spacing w:before="7"/>
        <w:rPr>
          <w:rFonts w:ascii="宋体" w:hAnsi="宋体" w:cs="宋体"/>
          <w:b/>
          <w:bCs/>
          <w:sz w:val="11"/>
          <w:szCs w:val="11"/>
        </w:rPr>
      </w:pPr>
    </w:p>
    <w:p>
      <w:pPr>
        <w:pStyle w:val="10"/>
        <w:spacing w:before="34"/>
        <w:ind w:left="240"/>
      </w:pPr>
      <w:r>
        <w:t>投标人名称：</w:t>
      </w:r>
    </w:p>
    <w:p>
      <w:pPr>
        <w:spacing w:before="12"/>
        <w:rPr>
          <w:rFonts w:ascii="宋体" w:hAnsi="宋体" w:cs="宋体"/>
          <w:sz w:val="12"/>
          <w:szCs w:val="12"/>
        </w:rPr>
      </w:pPr>
    </w:p>
    <w:tbl>
      <w:tblPr>
        <w:tblStyle w:val="15"/>
        <w:tblW w:w="0" w:type="auto"/>
        <w:tblInd w:w="117" w:type="dxa"/>
        <w:tblLayout w:type="fixed"/>
        <w:tblCellMar>
          <w:top w:w="0" w:type="dxa"/>
          <w:left w:w="0" w:type="dxa"/>
          <w:bottom w:w="0" w:type="dxa"/>
          <w:right w:w="0" w:type="dxa"/>
        </w:tblCellMar>
      </w:tblPr>
      <w:tblGrid>
        <w:gridCol w:w="666"/>
        <w:gridCol w:w="934"/>
        <w:gridCol w:w="744"/>
        <w:gridCol w:w="744"/>
        <w:gridCol w:w="743"/>
        <w:gridCol w:w="949"/>
        <w:gridCol w:w="1100"/>
        <w:gridCol w:w="1123"/>
        <w:gridCol w:w="1519"/>
      </w:tblGrid>
      <w:tr>
        <w:tblPrEx>
          <w:tblCellMar>
            <w:top w:w="0" w:type="dxa"/>
            <w:left w:w="0" w:type="dxa"/>
            <w:bottom w:w="0" w:type="dxa"/>
            <w:right w:w="0" w:type="dxa"/>
          </w:tblCellMar>
        </w:tblPrEx>
        <w:trPr>
          <w:trHeight w:val="625" w:hRule="exact"/>
        </w:trPr>
        <w:tc>
          <w:tcPr>
            <w:tcW w:w="666" w:type="dxa"/>
            <w:tcBorders>
              <w:top w:val="single" w:color="000000" w:sz="12" w:space="0"/>
              <w:left w:val="single" w:color="000000" w:sz="12" w:space="0"/>
              <w:bottom w:val="single" w:color="000000" w:sz="12" w:space="0"/>
              <w:right w:val="single" w:color="000000" w:sz="4" w:space="0"/>
            </w:tcBorders>
            <w:shd w:val="clear" w:color="auto" w:fill="EDEBE0"/>
            <w:noWrap w:val="0"/>
            <w:vAlign w:val="top"/>
          </w:tcPr>
          <w:p>
            <w:pPr>
              <w:pStyle w:val="18"/>
              <w:spacing w:before="127"/>
              <w:ind w:left="108"/>
              <w:rPr>
                <w:rFonts w:ascii="宋体" w:hAnsi="宋体" w:cs="宋体"/>
                <w:szCs w:val="21"/>
              </w:rPr>
            </w:pPr>
            <w:r>
              <w:rPr>
                <w:rFonts w:ascii="宋体" w:hAnsi="宋体" w:cs="宋体"/>
                <w:szCs w:val="21"/>
              </w:rPr>
              <w:t>序号</w:t>
            </w:r>
          </w:p>
        </w:tc>
        <w:tc>
          <w:tcPr>
            <w:tcW w:w="934" w:type="dxa"/>
            <w:tcBorders>
              <w:top w:val="single" w:color="000000" w:sz="12" w:space="0"/>
              <w:left w:val="single" w:color="000000" w:sz="4" w:space="0"/>
              <w:bottom w:val="single" w:color="000000" w:sz="12" w:space="0"/>
              <w:right w:val="single" w:color="000000" w:sz="4" w:space="0"/>
            </w:tcBorders>
            <w:shd w:val="clear" w:color="auto" w:fill="EDEBE0"/>
            <w:noWrap w:val="0"/>
            <w:vAlign w:val="top"/>
          </w:tcPr>
          <w:p>
            <w:pPr>
              <w:pStyle w:val="18"/>
              <w:spacing w:before="127"/>
              <w:ind w:left="253"/>
              <w:rPr>
                <w:rFonts w:ascii="宋体" w:hAnsi="宋体" w:cs="宋体"/>
                <w:szCs w:val="21"/>
              </w:rPr>
            </w:pPr>
            <w:r>
              <w:rPr>
                <w:rFonts w:ascii="宋体" w:hAnsi="宋体" w:cs="宋体"/>
                <w:szCs w:val="21"/>
              </w:rPr>
              <w:t>姓名</w:t>
            </w:r>
          </w:p>
        </w:tc>
        <w:tc>
          <w:tcPr>
            <w:tcW w:w="744" w:type="dxa"/>
            <w:tcBorders>
              <w:top w:val="single" w:color="000000" w:sz="12" w:space="0"/>
              <w:left w:val="single" w:color="000000" w:sz="4" w:space="0"/>
              <w:bottom w:val="single" w:color="000000" w:sz="12" w:space="0"/>
              <w:right w:val="single" w:color="000000" w:sz="4" w:space="0"/>
            </w:tcBorders>
            <w:shd w:val="clear" w:color="auto" w:fill="EDEBE0"/>
            <w:noWrap w:val="0"/>
            <w:vAlign w:val="top"/>
          </w:tcPr>
          <w:p>
            <w:pPr>
              <w:pStyle w:val="18"/>
              <w:spacing w:before="127"/>
              <w:ind w:left="156"/>
              <w:rPr>
                <w:rFonts w:ascii="宋体" w:hAnsi="宋体" w:cs="宋体"/>
                <w:szCs w:val="21"/>
              </w:rPr>
            </w:pPr>
            <w:r>
              <w:rPr>
                <w:rFonts w:ascii="宋体" w:hAnsi="宋体" w:cs="宋体"/>
                <w:szCs w:val="21"/>
              </w:rPr>
              <w:t>性别</w:t>
            </w:r>
          </w:p>
        </w:tc>
        <w:tc>
          <w:tcPr>
            <w:tcW w:w="744" w:type="dxa"/>
            <w:tcBorders>
              <w:top w:val="single" w:color="000000" w:sz="12" w:space="0"/>
              <w:left w:val="single" w:color="000000" w:sz="4" w:space="0"/>
              <w:bottom w:val="single" w:color="000000" w:sz="12" w:space="0"/>
              <w:right w:val="single" w:color="000000" w:sz="4" w:space="0"/>
            </w:tcBorders>
            <w:shd w:val="clear" w:color="auto" w:fill="EDEBE0"/>
            <w:noWrap w:val="0"/>
            <w:vAlign w:val="top"/>
          </w:tcPr>
          <w:p>
            <w:pPr>
              <w:pStyle w:val="18"/>
              <w:spacing w:before="127"/>
              <w:ind w:left="156"/>
              <w:rPr>
                <w:rFonts w:ascii="宋体" w:hAnsi="宋体" w:cs="宋体"/>
                <w:szCs w:val="21"/>
              </w:rPr>
            </w:pPr>
            <w:r>
              <w:rPr>
                <w:rFonts w:ascii="宋体" w:hAnsi="宋体" w:cs="宋体"/>
                <w:szCs w:val="21"/>
              </w:rPr>
              <w:t>年龄</w:t>
            </w:r>
          </w:p>
        </w:tc>
        <w:tc>
          <w:tcPr>
            <w:tcW w:w="743" w:type="dxa"/>
            <w:tcBorders>
              <w:top w:val="single" w:color="000000" w:sz="12" w:space="0"/>
              <w:left w:val="single" w:color="000000" w:sz="4" w:space="0"/>
              <w:bottom w:val="single" w:color="000000" w:sz="12" w:space="0"/>
              <w:right w:val="single" w:color="000000" w:sz="4" w:space="0"/>
            </w:tcBorders>
            <w:shd w:val="clear" w:color="auto" w:fill="EDEBE0"/>
            <w:noWrap w:val="0"/>
            <w:vAlign w:val="top"/>
          </w:tcPr>
          <w:p>
            <w:pPr>
              <w:pStyle w:val="18"/>
              <w:spacing w:before="127"/>
              <w:ind w:left="156"/>
              <w:rPr>
                <w:rFonts w:ascii="宋体" w:hAnsi="宋体" w:cs="宋体"/>
                <w:szCs w:val="21"/>
              </w:rPr>
            </w:pPr>
            <w:r>
              <w:rPr>
                <w:rFonts w:ascii="宋体" w:hAnsi="宋体" w:cs="宋体"/>
                <w:szCs w:val="21"/>
              </w:rPr>
              <w:t>学历</w:t>
            </w:r>
          </w:p>
        </w:tc>
        <w:tc>
          <w:tcPr>
            <w:tcW w:w="949" w:type="dxa"/>
            <w:tcBorders>
              <w:top w:val="single" w:color="000000" w:sz="12" w:space="0"/>
              <w:left w:val="single" w:color="000000" w:sz="4" w:space="0"/>
              <w:bottom w:val="single" w:color="000000" w:sz="12" w:space="0"/>
              <w:right w:val="single" w:color="000000" w:sz="4" w:space="0"/>
            </w:tcBorders>
            <w:shd w:val="clear" w:color="auto" w:fill="EDEBE0"/>
            <w:noWrap w:val="0"/>
            <w:vAlign w:val="top"/>
          </w:tcPr>
          <w:p>
            <w:pPr>
              <w:pStyle w:val="18"/>
              <w:spacing w:before="127"/>
              <w:ind w:left="258"/>
              <w:rPr>
                <w:rFonts w:ascii="宋体" w:hAnsi="宋体" w:cs="宋体"/>
                <w:szCs w:val="21"/>
              </w:rPr>
            </w:pPr>
            <w:r>
              <w:rPr>
                <w:rFonts w:ascii="宋体" w:hAnsi="宋体" w:cs="宋体"/>
                <w:szCs w:val="21"/>
              </w:rPr>
              <w:t>职称</w:t>
            </w:r>
          </w:p>
        </w:tc>
        <w:tc>
          <w:tcPr>
            <w:tcW w:w="1100" w:type="dxa"/>
            <w:tcBorders>
              <w:top w:val="single" w:color="000000" w:sz="12" w:space="0"/>
              <w:left w:val="single" w:color="000000" w:sz="4" w:space="0"/>
              <w:bottom w:val="single" w:color="000000" w:sz="12" w:space="0"/>
              <w:right w:val="single" w:color="000000" w:sz="4" w:space="0"/>
            </w:tcBorders>
            <w:shd w:val="clear" w:color="auto" w:fill="EDEBE0"/>
            <w:noWrap w:val="0"/>
            <w:vAlign w:val="top"/>
          </w:tcPr>
          <w:p>
            <w:pPr>
              <w:pStyle w:val="18"/>
              <w:spacing w:before="127"/>
              <w:ind w:left="334"/>
              <w:rPr>
                <w:rFonts w:ascii="宋体" w:hAnsi="宋体" w:cs="宋体"/>
                <w:szCs w:val="21"/>
              </w:rPr>
            </w:pPr>
            <w:r>
              <w:rPr>
                <w:rFonts w:ascii="宋体" w:hAnsi="宋体" w:cs="宋体"/>
                <w:szCs w:val="21"/>
              </w:rPr>
              <w:t>专业</w:t>
            </w:r>
          </w:p>
        </w:tc>
        <w:tc>
          <w:tcPr>
            <w:tcW w:w="1123" w:type="dxa"/>
            <w:tcBorders>
              <w:top w:val="single" w:color="000000" w:sz="12" w:space="0"/>
              <w:left w:val="single" w:color="000000" w:sz="4" w:space="0"/>
              <w:bottom w:val="single" w:color="000000" w:sz="12" w:space="0"/>
              <w:right w:val="single" w:color="000000" w:sz="4" w:space="0"/>
            </w:tcBorders>
            <w:shd w:val="clear" w:color="auto" w:fill="EDEBE0"/>
            <w:noWrap w:val="0"/>
            <w:vAlign w:val="top"/>
          </w:tcPr>
          <w:p>
            <w:pPr>
              <w:pStyle w:val="18"/>
              <w:spacing w:before="127"/>
              <w:ind w:left="136"/>
              <w:rPr>
                <w:rFonts w:ascii="宋体" w:hAnsi="宋体" w:cs="宋体"/>
                <w:szCs w:val="21"/>
              </w:rPr>
            </w:pPr>
            <w:r>
              <w:rPr>
                <w:rFonts w:ascii="宋体" w:hAnsi="宋体" w:cs="宋体"/>
                <w:szCs w:val="21"/>
              </w:rPr>
              <w:t>经验年限</w:t>
            </w:r>
          </w:p>
        </w:tc>
        <w:tc>
          <w:tcPr>
            <w:tcW w:w="1519" w:type="dxa"/>
            <w:tcBorders>
              <w:top w:val="single" w:color="000000" w:sz="12" w:space="0"/>
              <w:left w:val="single" w:color="000000" w:sz="4" w:space="0"/>
              <w:bottom w:val="single" w:color="000000" w:sz="12" w:space="0"/>
              <w:right w:val="single" w:color="000000" w:sz="12" w:space="0"/>
            </w:tcBorders>
            <w:shd w:val="clear" w:color="auto" w:fill="EDEBE0"/>
            <w:noWrap w:val="0"/>
            <w:vAlign w:val="top"/>
          </w:tcPr>
          <w:p>
            <w:pPr>
              <w:pStyle w:val="18"/>
              <w:spacing w:before="20" w:line="272" w:lineRule="exact"/>
              <w:ind w:left="125" w:right="115"/>
              <w:rPr>
                <w:rFonts w:ascii="宋体" w:hAnsi="宋体" w:cs="宋体"/>
                <w:szCs w:val="21"/>
              </w:rPr>
            </w:pPr>
            <w:r>
              <w:rPr>
                <w:rFonts w:ascii="宋体" w:hAnsi="宋体" w:cs="宋体"/>
                <w:szCs w:val="21"/>
              </w:rPr>
              <w:t>拟担任职务或</w:t>
            </w:r>
            <w:r>
              <w:rPr>
                <w:rFonts w:ascii="宋体" w:hAnsi="宋体" w:cs="宋体"/>
                <w:w w:val="99"/>
                <w:szCs w:val="21"/>
              </w:rPr>
              <w:t xml:space="preserve"> </w:t>
            </w:r>
            <w:r>
              <w:rPr>
                <w:rFonts w:ascii="宋体" w:hAnsi="宋体" w:cs="宋体"/>
                <w:szCs w:val="21"/>
              </w:rPr>
              <w:t>承担工作内容</w:t>
            </w:r>
          </w:p>
        </w:tc>
      </w:tr>
      <w:tr>
        <w:tblPrEx>
          <w:tblCellMar>
            <w:top w:w="0" w:type="dxa"/>
            <w:left w:w="0" w:type="dxa"/>
            <w:bottom w:w="0" w:type="dxa"/>
            <w:right w:w="0" w:type="dxa"/>
          </w:tblCellMar>
        </w:tblPrEx>
        <w:trPr>
          <w:trHeight w:val="735" w:hRule="exact"/>
        </w:trPr>
        <w:tc>
          <w:tcPr>
            <w:tcW w:w="666" w:type="dxa"/>
            <w:tcBorders>
              <w:top w:val="single" w:color="000000" w:sz="12" w:space="0"/>
              <w:left w:val="single" w:color="000000" w:sz="12" w:space="0"/>
              <w:bottom w:val="single" w:color="000000" w:sz="4" w:space="0"/>
              <w:right w:val="single" w:color="000000" w:sz="4" w:space="0"/>
            </w:tcBorders>
            <w:noWrap w:val="0"/>
            <w:vAlign w:val="top"/>
          </w:tcPr>
          <w:p/>
        </w:tc>
        <w:tc>
          <w:tcPr>
            <w:tcW w:w="934" w:type="dxa"/>
            <w:tcBorders>
              <w:top w:val="single" w:color="000000" w:sz="12" w:space="0"/>
              <w:left w:val="single" w:color="000000" w:sz="4" w:space="0"/>
              <w:bottom w:val="single" w:color="000000" w:sz="4" w:space="0"/>
              <w:right w:val="single" w:color="000000" w:sz="4" w:space="0"/>
            </w:tcBorders>
            <w:noWrap w:val="0"/>
            <w:vAlign w:val="top"/>
          </w:tcPr>
          <w:p/>
        </w:tc>
        <w:tc>
          <w:tcPr>
            <w:tcW w:w="744" w:type="dxa"/>
            <w:tcBorders>
              <w:top w:val="single" w:color="000000" w:sz="12" w:space="0"/>
              <w:left w:val="single" w:color="000000" w:sz="4" w:space="0"/>
              <w:bottom w:val="single" w:color="000000" w:sz="4" w:space="0"/>
              <w:right w:val="single" w:color="000000" w:sz="4" w:space="0"/>
            </w:tcBorders>
            <w:noWrap w:val="0"/>
            <w:vAlign w:val="top"/>
          </w:tcPr>
          <w:p/>
        </w:tc>
        <w:tc>
          <w:tcPr>
            <w:tcW w:w="744" w:type="dxa"/>
            <w:tcBorders>
              <w:top w:val="single" w:color="000000" w:sz="12" w:space="0"/>
              <w:left w:val="single" w:color="000000" w:sz="4" w:space="0"/>
              <w:bottom w:val="single" w:color="000000" w:sz="4" w:space="0"/>
              <w:right w:val="single" w:color="000000" w:sz="4" w:space="0"/>
            </w:tcBorders>
            <w:noWrap w:val="0"/>
            <w:vAlign w:val="top"/>
          </w:tcPr>
          <w:p/>
        </w:tc>
        <w:tc>
          <w:tcPr>
            <w:tcW w:w="743" w:type="dxa"/>
            <w:tcBorders>
              <w:top w:val="single" w:color="000000" w:sz="12" w:space="0"/>
              <w:left w:val="single" w:color="000000" w:sz="4" w:space="0"/>
              <w:bottom w:val="single" w:color="000000" w:sz="4" w:space="0"/>
              <w:right w:val="single" w:color="000000" w:sz="4" w:space="0"/>
            </w:tcBorders>
            <w:noWrap w:val="0"/>
            <w:vAlign w:val="top"/>
          </w:tcPr>
          <w:p/>
        </w:tc>
        <w:tc>
          <w:tcPr>
            <w:tcW w:w="949" w:type="dxa"/>
            <w:tcBorders>
              <w:top w:val="single" w:color="000000" w:sz="12" w:space="0"/>
              <w:left w:val="single" w:color="000000" w:sz="4" w:space="0"/>
              <w:bottom w:val="single" w:color="000000" w:sz="4" w:space="0"/>
              <w:right w:val="single" w:color="000000" w:sz="4" w:space="0"/>
            </w:tcBorders>
            <w:noWrap w:val="0"/>
            <w:vAlign w:val="top"/>
          </w:tcPr>
          <w:p/>
        </w:tc>
        <w:tc>
          <w:tcPr>
            <w:tcW w:w="1100" w:type="dxa"/>
            <w:tcBorders>
              <w:top w:val="single" w:color="000000" w:sz="12" w:space="0"/>
              <w:left w:val="single" w:color="000000" w:sz="4" w:space="0"/>
              <w:bottom w:val="single" w:color="000000" w:sz="4" w:space="0"/>
              <w:right w:val="single" w:color="000000" w:sz="4" w:space="0"/>
            </w:tcBorders>
            <w:noWrap w:val="0"/>
            <w:vAlign w:val="top"/>
          </w:tcPr>
          <w:p/>
        </w:tc>
        <w:tc>
          <w:tcPr>
            <w:tcW w:w="1123" w:type="dxa"/>
            <w:tcBorders>
              <w:top w:val="single" w:color="000000" w:sz="12" w:space="0"/>
              <w:left w:val="single" w:color="000000" w:sz="4" w:space="0"/>
              <w:bottom w:val="single" w:color="000000" w:sz="4" w:space="0"/>
              <w:right w:val="single" w:color="000000" w:sz="4" w:space="0"/>
            </w:tcBorders>
            <w:noWrap w:val="0"/>
            <w:vAlign w:val="top"/>
          </w:tcPr>
          <w:p/>
        </w:tc>
        <w:tc>
          <w:tcPr>
            <w:tcW w:w="1519" w:type="dxa"/>
            <w:tcBorders>
              <w:top w:val="single" w:color="000000" w:sz="12" w:space="0"/>
              <w:left w:val="single" w:color="000000" w:sz="4" w:space="0"/>
              <w:bottom w:val="single" w:color="000000" w:sz="4" w:space="0"/>
              <w:right w:val="single" w:color="000000" w:sz="12" w:space="0"/>
            </w:tcBorders>
            <w:noWrap w:val="0"/>
            <w:vAlign w:val="top"/>
          </w:tcPr>
          <w:p/>
        </w:tc>
      </w:tr>
      <w:tr>
        <w:tblPrEx>
          <w:tblCellMar>
            <w:top w:w="0" w:type="dxa"/>
            <w:left w:w="0" w:type="dxa"/>
            <w:bottom w:w="0" w:type="dxa"/>
            <w:right w:w="0" w:type="dxa"/>
          </w:tblCellMar>
        </w:tblPrEx>
        <w:trPr>
          <w:trHeight w:val="725" w:hRule="exact"/>
        </w:trPr>
        <w:tc>
          <w:tcPr>
            <w:tcW w:w="666" w:type="dxa"/>
            <w:tcBorders>
              <w:top w:val="single" w:color="000000" w:sz="4" w:space="0"/>
              <w:left w:val="single" w:color="000000" w:sz="12" w:space="0"/>
              <w:bottom w:val="single" w:color="000000" w:sz="4" w:space="0"/>
              <w:right w:val="single" w:color="000000" w:sz="4" w:space="0"/>
            </w:tcBorders>
            <w:noWrap w:val="0"/>
            <w:vAlign w:val="top"/>
          </w:tcPr>
          <w:p/>
        </w:tc>
        <w:tc>
          <w:tcPr>
            <w:tcW w:w="934" w:type="dxa"/>
            <w:tcBorders>
              <w:top w:val="single" w:color="000000" w:sz="4" w:space="0"/>
              <w:left w:val="single" w:color="000000" w:sz="4" w:space="0"/>
              <w:bottom w:val="single" w:color="000000" w:sz="4" w:space="0"/>
              <w:right w:val="single" w:color="000000" w:sz="4" w:space="0"/>
            </w:tcBorders>
            <w:noWrap w:val="0"/>
            <w:vAlign w:val="top"/>
          </w:tcPr>
          <w:p/>
        </w:tc>
        <w:tc>
          <w:tcPr>
            <w:tcW w:w="744" w:type="dxa"/>
            <w:tcBorders>
              <w:top w:val="single" w:color="000000" w:sz="4" w:space="0"/>
              <w:left w:val="single" w:color="000000" w:sz="4" w:space="0"/>
              <w:bottom w:val="single" w:color="000000" w:sz="4" w:space="0"/>
              <w:right w:val="single" w:color="000000" w:sz="4" w:space="0"/>
            </w:tcBorders>
            <w:noWrap w:val="0"/>
            <w:vAlign w:val="top"/>
          </w:tcPr>
          <w:p/>
        </w:tc>
        <w:tc>
          <w:tcPr>
            <w:tcW w:w="744" w:type="dxa"/>
            <w:tcBorders>
              <w:top w:val="single" w:color="000000" w:sz="4" w:space="0"/>
              <w:left w:val="single" w:color="000000" w:sz="4" w:space="0"/>
              <w:bottom w:val="single" w:color="000000" w:sz="4" w:space="0"/>
              <w:right w:val="single" w:color="000000" w:sz="4" w:space="0"/>
            </w:tcBorders>
            <w:noWrap w:val="0"/>
            <w:vAlign w:val="top"/>
          </w:tcPr>
          <w:p/>
        </w:tc>
        <w:tc>
          <w:tcPr>
            <w:tcW w:w="743" w:type="dxa"/>
            <w:tcBorders>
              <w:top w:val="single" w:color="000000" w:sz="4" w:space="0"/>
              <w:left w:val="single" w:color="000000" w:sz="4" w:space="0"/>
              <w:bottom w:val="single" w:color="000000" w:sz="4" w:space="0"/>
              <w:right w:val="single" w:color="000000" w:sz="4" w:space="0"/>
            </w:tcBorders>
            <w:noWrap w:val="0"/>
            <w:vAlign w:val="top"/>
          </w:tcPr>
          <w:p/>
        </w:tc>
        <w:tc>
          <w:tcPr>
            <w:tcW w:w="949" w:type="dxa"/>
            <w:tcBorders>
              <w:top w:val="single" w:color="000000" w:sz="4" w:space="0"/>
              <w:left w:val="single" w:color="000000" w:sz="4" w:space="0"/>
              <w:bottom w:val="single" w:color="000000" w:sz="4" w:space="0"/>
              <w:right w:val="single" w:color="000000" w:sz="4" w:space="0"/>
            </w:tcBorders>
            <w:noWrap w:val="0"/>
            <w:vAlign w:val="top"/>
          </w:tcPr>
          <w:p/>
        </w:tc>
        <w:tc>
          <w:tcPr>
            <w:tcW w:w="1100" w:type="dxa"/>
            <w:tcBorders>
              <w:top w:val="single" w:color="000000" w:sz="4" w:space="0"/>
              <w:left w:val="single" w:color="000000" w:sz="4" w:space="0"/>
              <w:bottom w:val="single" w:color="000000" w:sz="4" w:space="0"/>
              <w:right w:val="single" w:color="000000" w:sz="4" w:space="0"/>
            </w:tcBorders>
            <w:noWrap w:val="0"/>
            <w:vAlign w:val="top"/>
          </w:tcPr>
          <w:p/>
        </w:tc>
        <w:tc>
          <w:tcPr>
            <w:tcW w:w="1123" w:type="dxa"/>
            <w:tcBorders>
              <w:top w:val="single" w:color="000000" w:sz="4" w:space="0"/>
              <w:left w:val="single" w:color="000000" w:sz="4" w:space="0"/>
              <w:bottom w:val="single" w:color="000000" w:sz="4" w:space="0"/>
              <w:right w:val="single" w:color="000000" w:sz="4" w:space="0"/>
            </w:tcBorders>
            <w:noWrap w:val="0"/>
            <w:vAlign w:val="top"/>
          </w:tcPr>
          <w:p/>
        </w:tc>
        <w:tc>
          <w:tcPr>
            <w:tcW w:w="1519" w:type="dxa"/>
            <w:tcBorders>
              <w:top w:val="single" w:color="000000" w:sz="4" w:space="0"/>
              <w:left w:val="single" w:color="000000" w:sz="4" w:space="0"/>
              <w:bottom w:val="single" w:color="000000" w:sz="4" w:space="0"/>
              <w:right w:val="single" w:color="000000" w:sz="12" w:space="0"/>
            </w:tcBorders>
            <w:noWrap w:val="0"/>
            <w:vAlign w:val="top"/>
          </w:tcPr>
          <w:p/>
        </w:tc>
      </w:tr>
      <w:tr>
        <w:trPr>
          <w:trHeight w:val="725" w:hRule="exact"/>
        </w:trPr>
        <w:tc>
          <w:tcPr>
            <w:tcW w:w="666" w:type="dxa"/>
            <w:tcBorders>
              <w:top w:val="single" w:color="000000" w:sz="4" w:space="0"/>
              <w:left w:val="single" w:color="000000" w:sz="12" w:space="0"/>
              <w:bottom w:val="single" w:color="000000" w:sz="4" w:space="0"/>
              <w:right w:val="single" w:color="000000" w:sz="4" w:space="0"/>
            </w:tcBorders>
            <w:noWrap w:val="0"/>
            <w:vAlign w:val="top"/>
          </w:tcPr>
          <w:p/>
        </w:tc>
        <w:tc>
          <w:tcPr>
            <w:tcW w:w="934" w:type="dxa"/>
            <w:tcBorders>
              <w:top w:val="single" w:color="000000" w:sz="4" w:space="0"/>
              <w:left w:val="single" w:color="000000" w:sz="4" w:space="0"/>
              <w:bottom w:val="single" w:color="000000" w:sz="4" w:space="0"/>
              <w:right w:val="single" w:color="000000" w:sz="4" w:space="0"/>
            </w:tcBorders>
            <w:noWrap w:val="0"/>
            <w:vAlign w:val="top"/>
          </w:tcPr>
          <w:p/>
        </w:tc>
        <w:tc>
          <w:tcPr>
            <w:tcW w:w="744" w:type="dxa"/>
            <w:tcBorders>
              <w:top w:val="single" w:color="000000" w:sz="4" w:space="0"/>
              <w:left w:val="single" w:color="000000" w:sz="4" w:space="0"/>
              <w:bottom w:val="single" w:color="000000" w:sz="4" w:space="0"/>
              <w:right w:val="single" w:color="000000" w:sz="4" w:space="0"/>
            </w:tcBorders>
            <w:noWrap w:val="0"/>
            <w:vAlign w:val="top"/>
          </w:tcPr>
          <w:p/>
        </w:tc>
        <w:tc>
          <w:tcPr>
            <w:tcW w:w="744" w:type="dxa"/>
            <w:tcBorders>
              <w:top w:val="single" w:color="000000" w:sz="4" w:space="0"/>
              <w:left w:val="single" w:color="000000" w:sz="4" w:space="0"/>
              <w:bottom w:val="single" w:color="000000" w:sz="4" w:space="0"/>
              <w:right w:val="single" w:color="000000" w:sz="4" w:space="0"/>
            </w:tcBorders>
            <w:noWrap w:val="0"/>
            <w:vAlign w:val="top"/>
          </w:tcPr>
          <w:p/>
        </w:tc>
        <w:tc>
          <w:tcPr>
            <w:tcW w:w="743" w:type="dxa"/>
            <w:tcBorders>
              <w:top w:val="single" w:color="000000" w:sz="4" w:space="0"/>
              <w:left w:val="single" w:color="000000" w:sz="4" w:space="0"/>
              <w:bottom w:val="single" w:color="000000" w:sz="4" w:space="0"/>
              <w:right w:val="single" w:color="000000" w:sz="4" w:space="0"/>
            </w:tcBorders>
            <w:noWrap w:val="0"/>
            <w:vAlign w:val="top"/>
          </w:tcPr>
          <w:p/>
        </w:tc>
        <w:tc>
          <w:tcPr>
            <w:tcW w:w="949" w:type="dxa"/>
            <w:tcBorders>
              <w:top w:val="single" w:color="000000" w:sz="4" w:space="0"/>
              <w:left w:val="single" w:color="000000" w:sz="4" w:space="0"/>
              <w:bottom w:val="single" w:color="000000" w:sz="4" w:space="0"/>
              <w:right w:val="single" w:color="000000" w:sz="4" w:space="0"/>
            </w:tcBorders>
            <w:noWrap w:val="0"/>
            <w:vAlign w:val="top"/>
          </w:tcPr>
          <w:p/>
        </w:tc>
        <w:tc>
          <w:tcPr>
            <w:tcW w:w="1100" w:type="dxa"/>
            <w:tcBorders>
              <w:top w:val="single" w:color="000000" w:sz="4" w:space="0"/>
              <w:left w:val="single" w:color="000000" w:sz="4" w:space="0"/>
              <w:bottom w:val="single" w:color="000000" w:sz="4" w:space="0"/>
              <w:right w:val="single" w:color="000000" w:sz="4" w:space="0"/>
            </w:tcBorders>
            <w:noWrap w:val="0"/>
            <w:vAlign w:val="top"/>
          </w:tcPr>
          <w:p/>
        </w:tc>
        <w:tc>
          <w:tcPr>
            <w:tcW w:w="1123" w:type="dxa"/>
            <w:tcBorders>
              <w:top w:val="single" w:color="000000" w:sz="4" w:space="0"/>
              <w:left w:val="single" w:color="000000" w:sz="4" w:space="0"/>
              <w:bottom w:val="single" w:color="000000" w:sz="4" w:space="0"/>
              <w:right w:val="single" w:color="000000" w:sz="4" w:space="0"/>
            </w:tcBorders>
            <w:noWrap w:val="0"/>
            <w:vAlign w:val="top"/>
          </w:tcPr>
          <w:p/>
        </w:tc>
        <w:tc>
          <w:tcPr>
            <w:tcW w:w="1519" w:type="dxa"/>
            <w:tcBorders>
              <w:top w:val="single" w:color="000000" w:sz="4" w:space="0"/>
              <w:left w:val="single" w:color="000000" w:sz="4" w:space="0"/>
              <w:bottom w:val="single" w:color="000000" w:sz="4" w:space="0"/>
              <w:right w:val="single" w:color="000000" w:sz="12" w:space="0"/>
            </w:tcBorders>
            <w:noWrap w:val="0"/>
            <w:vAlign w:val="top"/>
          </w:tcPr>
          <w:p/>
        </w:tc>
      </w:tr>
      <w:tr>
        <w:tblPrEx>
          <w:tblCellMar>
            <w:top w:w="0" w:type="dxa"/>
            <w:left w:w="0" w:type="dxa"/>
            <w:bottom w:w="0" w:type="dxa"/>
            <w:right w:w="0" w:type="dxa"/>
          </w:tblCellMar>
        </w:tblPrEx>
        <w:trPr>
          <w:trHeight w:val="735" w:hRule="exact"/>
        </w:trPr>
        <w:tc>
          <w:tcPr>
            <w:tcW w:w="666" w:type="dxa"/>
            <w:tcBorders>
              <w:top w:val="single" w:color="000000" w:sz="4" w:space="0"/>
              <w:left w:val="single" w:color="000000" w:sz="12" w:space="0"/>
              <w:bottom w:val="single" w:color="000000" w:sz="12" w:space="0"/>
              <w:right w:val="single" w:color="000000" w:sz="4" w:space="0"/>
            </w:tcBorders>
            <w:noWrap w:val="0"/>
            <w:vAlign w:val="top"/>
          </w:tcPr>
          <w:p/>
        </w:tc>
        <w:tc>
          <w:tcPr>
            <w:tcW w:w="934" w:type="dxa"/>
            <w:tcBorders>
              <w:top w:val="single" w:color="000000" w:sz="4" w:space="0"/>
              <w:left w:val="single" w:color="000000" w:sz="4" w:space="0"/>
              <w:bottom w:val="single" w:color="000000" w:sz="12" w:space="0"/>
              <w:right w:val="single" w:color="000000" w:sz="4" w:space="0"/>
            </w:tcBorders>
            <w:noWrap w:val="0"/>
            <w:vAlign w:val="top"/>
          </w:tcPr>
          <w:p/>
        </w:tc>
        <w:tc>
          <w:tcPr>
            <w:tcW w:w="744" w:type="dxa"/>
            <w:tcBorders>
              <w:top w:val="single" w:color="000000" w:sz="4" w:space="0"/>
              <w:left w:val="single" w:color="000000" w:sz="4" w:space="0"/>
              <w:bottom w:val="single" w:color="000000" w:sz="12" w:space="0"/>
              <w:right w:val="single" w:color="000000" w:sz="4" w:space="0"/>
            </w:tcBorders>
            <w:noWrap w:val="0"/>
            <w:vAlign w:val="top"/>
          </w:tcPr>
          <w:p/>
        </w:tc>
        <w:tc>
          <w:tcPr>
            <w:tcW w:w="744" w:type="dxa"/>
            <w:tcBorders>
              <w:top w:val="single" w:color="000000" w:sz="4" w:space="0"/>
              <w:left w:val="single" w:color="000000" w:sz="4" w:space="0"/>
              <w:bottom w:val="single" w:color="000000" w:sz="12" w:space="0"/>
              <w:right w:val="single" w:color="000000" w:sz="4" w:space="0"/>
            </w:tcBorders>
            <w:noWrap w:val="0"/>
            <w:vAlign w:val="top"/>
          </w:tcPr>
          <w:p/>
        </w:tc>
        <w:tc>
          <w:tcPr>
            <w:tcW w:w="743" w:type="dxa"/>
            <w:tcBorders>
              <w:top w:val="single" w:color="000000" w:sz="4" w:space="0"/>
              <w:left w:val="single" w:color="000000" w:sz="4" w:space="0"/>
              <w:bottom w:val="single" w:color="000000" w:sz="12" w:space="0"/>
              <w:right w:val="single" w:color="000000" w:sz="4" w:space="0"/>
            </w:tcBorders>
            <w:noWrap w:val="0"/>
            <w:vAlign w:val="top"/>
          </w:tcPr>
          <w:p/>
        </w:tc>
        <w:tc>
          <w:tcPr>
            <w:tcW w:w="949" w:type="dxa"/>
            <w:tcBorders>
              <w:top w:val="single" w:color="000000" w:sz="4" w:space="0"/>
              <w:left w:val="single" w:color="000000" w:sz="4" w:space="0"/>
              <w:bottom w:val="single" w:color="000000" w:sz="12" w:space="0"/>
              <w:right w:val="single" w:color="000000" w:sz="4" w:space="0"/>
            </w:tcBorders>
            <w:noWrap w:val="0"/>
            <w:vAlign w:val="top"/>
          </w:tcPr>
          <w:p/>
        </w:tc>
        <w:tc>
          <w:tcPr>
            <w:tcW w:w="1100" w:type="dxa"/>
            <w:tcBorders>
              <w:top w:val="single" w:color="000000" w:sz="4" w:space="0"/>
              <w:left w:val="single" w:color="000000" w:sz="4" w:space="0"/>
              <w:bottom w:val="single" w:color="000000" w:sz="12" w:space="0"/>
              <w:right w:val="single" w:color="000000" w:sz="4" w:space="0"/>
            </w:tcBorders>
            <w:noWrap w:val="0"/>
            <w:vAlign w:val="top"/>
          </w:tcPr>
          <w:p/>
        </w:tc>
        <w:tc>
          <w:tcPr>
            <w:tcW w:w="1123" w:type="dxa"/>
            <w:tcBorders>
              <w:top w:val="single" w:color="000000" w:sz="4" w:space="0"/>
              <w:left w:val="single" w:color="000000" w:sz="4" w:space="0"/>
              <w:bottom w:val="single" w:color="000000" w:sz="12" w:space="0"/>
              <w:right w:val="single" w:color="000000" w:sz="4" w:space="0"/>
            </w:tcBorders>
            <w:noWrap w:val="0"/>
            <w:vAlign w:val="top"/>
          </w:tcPr>
          <w:p/>
        </w:tc>
        <w:tc>
          <w:tcPr>
            <w:tcW w:w="1519" w:type="dxa"/>
            <w:tcBorders>
              <w:top w:val="single" w:color="000000" w:sz="4" w:space="0"/>
              <w:left w:val="single" w:color="000000" w:sz="4" w:space="0"/>
              <w:bottom w:val="single" w:color="000000" w:sz="12" w:space="0"/>
              <w:right w:val="single" w:color="000000" w:sz="12" w:space="0"/>
            </w:tcBorders>
            <w:noWrap w:val="0"/>
            <w:vAlign w:val="top"/>
          </w:tcPr>
          <w:p/>
        </w:tc>
      </w:tr>
    </w:tbl>
    <w:p>
      <w:pPr>
        <w:spacing w:before="5"/>
        <w:rPr>
          <w:rFonts w:ascii="宋体" w:hAnsi="宋体" w:cs="宋体"/>
          <w:sz w:val="7"/>
          <w:szCs w:val="7"/>
        </w:rPr>
      </w:pPr>
    </w:p>
    <w:p>
      <w:pPr>
        <w:spacing w:before="26"/>
        <w:ind w:left="240"/>
        <w:rPr>
          <w:rFonts w:ascii="宋体" w:hAnsi="宋体" w:cs="宋体"/>
          <w:sz w:val="24"/>
          <w:szCs w:val="24"/>
        </w:rPr>
      </w:pPr>
      <w:r>
        <w:rPr>
          <w:rFonts w:ascii="宋体" w:hAnsi="宋体" w:cs="宋体"/>
          <w:b/>
          <w:bCs/>
          <w:sz w:val="24"/>
          <w:szCs w:val="24"/>
        </w:rPr>
        <w:t>备注：根据遴选采购文件《评审标准表》相关要求提供证明材料。</w:t>
      </w: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spacing w:before="2"/>
        <w:rPr>
          <w:rFonts w:ascii="宋体" w:hAnsi="宋体" w:cs="宋体"/>
          <w:b/>
          <w:bCs/>
          <w:szCs w:val="21"/>
        </w:rPr>
      </w:pPr>
    </w:p>
    <w:p>
      <w:pPr>
        <w:pStyle w:val="10"/>
        <w:tabs>
          <w:tab w:val="left" w:pos="5967"/>
        </w:tabs>
        <w:ind w:left="240"/>
        <w:rPr>
          <w:rFonts w:ascii="Times New Roman" w:hAnsi="Times New Roman" w:eastAsia="Times New Roman"/>
        </w:rPr>
      </w:pPr>
      <w:r>
        <w:rPr>
          <w:spacing w:val="8"/>
        </w:rPr>
        <w:t>投标人名称（盖公章）：</w:t>
      </w:r>
      <w:r>
        <w:rPr>
          <w:rFonts w:ascii="Times New Roman" w:hAnsi="Times New Roman" w:eastAsia="Times New Roman"/>
          <w:u w:val="single" w:color="000000"/>
        </w:rPr>
        <w:t xml:space="preserve"> </w:t>
      </w:r>
      <w:r>
        <w:rPr>
          <w:rFonts w:ascii="Times New Roman" w:hAnsi="Times New Roman" w:eastAsia="Times New Roman"/>
          <w:u w:val="single" w:color="000000"/>
        </w:rPr>
        <w:tab/>
      </w:r>
    </w:p>
    <w:p>
      <w:pPr>
        <w:spacing w:before="1"/>
        <w:rPr>
          <w:rFonts w:ascii="Times New Roman" w:hAnsi="Times New Roman" w:eastAsia="Times New Roman"/>
          <w:szCs w:val="21"/>
        </w:rPr>
      </w:pPr>
    </w:p>
    <w:p>
      <w:pPr>
        <w:pStyle w:val="10"/>
        <w:tabs>
          <w:tab w:val="left" w:pos="6171"/>
        </w:tabs>
        <w:spacing w:before="34"/>
        <w:ind w:left="240"/>
        <w:rPr>
          <w:rFonts w:ascii="Times New Roman" w:hAnsi="Times New Roman" w:eastAsia="Times New Roman"/>
        </w:rPr>
      </w:pPr>
      <w:r>
        <w:t>法定代表人或投标人授权代表（签名或盖章）：</w:t>
      </w:r>
      <w:r>
        <w:rPr>
          <w:rFonts w:ascii="Times New Roman" w:hAnsi="Times New Roman" w:eastAsia="Times New Roman"/>
          <w:u w:val="single" w:color="000000"/>
        </w:rPr>
        <w:t xml:space="preserve"> </w:t>
      </w:r>
      <w:r>
        <w:rPr>
          <w:rFonts w:ascii="Times New Roman" w:hAnsi="Times New Roman" w:eastAsia="Times New Roman"/>
          <w:u w:val="single" w:color="000000"/>
        </w:rPr>
        <w:tab/>
      </w:r>
    </w:p>
    <w:p>
      <w:pPr>
        <w:rPr>
          <w:rFonts w:ascii="Times New Roman" w:hAnsi="Times New Roman" w:eastAsia="Times New Roman"/>
          <w:sz w:val="20"/>
        </w:rPr>
      </w:pPr>
    </w:p>
    <w:p>
      <w:pPr>
        <w:pStyle w:val="10"/>
        <w:tabs>
          <w:tab w:val="left" w:pos="1394"/>
          <w:tab w:val="left" w:pos="1919"/>
          <w:tab w:val="left" w:pos="2445"/>
        </w:tabs>
        <w:spacing w:before="176"/>
        <w:ind w:left="240"/>
      </w:pPr>
      <w:r>
        <w:rPr>
          <w:w w:val="95"/>
        </w:rPr>
        <w:t>日期：</w:t>
      </w:r>
      <w:r>
        <w:rPr>
          <w:rFonts w:ascii="Times New Roman" w:hAnsi="Times New Roman" w:eastAsia="Times New Roman"/>
          <w:w w:val="95"/>
          <w:u w:val="single" w:color="000000"/>
        </w:rPr>
        <w:tab/>
      </w:r>
      <w:r>
        <w:rPr>
          <w:spacing w:val="1"/>
          <w:w w:val="95"/>
        </w:rPr>
        <w:t>年</w:t>
      </w:r>
      <w:r>
        <w:rPr>
          <w:rFonts w:ascii="Times New Roman" w:hAnsi="Times New Roman" w:eastAsia="Times New Roman"/>
          <w:spacing w:val="1"/>
          <w:w w:val="95"/>
          <w:u w:val="single" w:color="000000"/>
        </w:rPr>
        <w:tab/>
      </w:r>
      <w:r>
        <w:rPr>
          <w:spacing w:val="-1"/>
          <w:w w:val="95"/>
        </w:rPr>
        <w:t>月</w:t>
      </w:r>
      <w:r>
        <w:rPr>
          <w:rFonts w:ascii="Times New Roman" w:hAnsi="Times New Roman" w:eastAsia="Times New Roman"/>
          <w:spacing w:val="-1"/>
          <w:w w:val="95"/>
          <w:u w:val="single" w:color="000000"/>
        </w:rPr>
        <w:tab/>
      </w:r>
      <w:r>
        <w:t>日</w:t>
      </w:r>
    </w:p>
    <w:p>
      <w:pPr>
        <w:sectPr>
          <w:type w:val="continuous"/>
          <w:pgSz w:w="11910" w:h="16840"/>
          <w:pgMar w:top="1580" w:right="1560" w:bottom="280" w:left="1560" w:header="720" w:footer="720" w:gutter="0"/>
          <w:cols w:space="720" w:num="1"/>
        </w:sectPr>
      </w:pPr>
    </w:p>
    <w:p>
      <w:pPr>
        <w:spacing w:line="355" w:lineRule="exact"/>
        <w:ind w:left="120" w:right="772"/>
        <w:rPr>
          <w:rFonts w:ascii="黑体" w:hAnsi="黑体" w:eastAsia="黑体" w:cs="黑体"/>
          <w:sz w:val="28"/>
          <w:szCs w:val="28"/>
        </w:rPr>
      </w:pPr>
      <w:r>
        <w:rPr>
          <w:rFonts w:ascii="黑体" w:hAnsi="黑体" w:eastAsia="黑体" w:cs="黑体"/>
          <w:sz w:val="28"/>
          <w:szCs w:val="28"/>
        </w:rPr>
        <w:t>格式</w:t>
      </w:r>
      <w:r>
        <w:rPr>
          <w:rFonts w:ascii="黑体" w:hAnsi="黑体" w:eastAsia="黑体" w:cs="黑体"/>
          <w:spacing w:val="-70"/>
          <w:sz w:val="28"/>
          <w:szCs w:val="28"/>
        </w:rPr>
        <w:t xml:space="preserve"> </w:t>
      </w:r>
      <w:r>
        <w:rPr>
          <w:rFonts w:ascii="黑体" w:hAnsi="黑体" w:eastAsia="黑体" w:cs="黑体"/>
          <w:sz w:val="28"/>
          <w:szCs w:val="28"/>
        </w:rPr>
        <w:t>11</w:t>
      </w:r>
    </w:p>
    <w:p>
      <w:pPr>
        <w:spacing w:before="119"/>
        <w:ind w:left="120" w:right="772"/>
        <w:rPr>
          <w:rFonts w:ascii="宋体" w:hAnsi="宋体" w:cs="宋体"/>
          <w:sz w:val="24"/>
          <w:szCs w:val="24"/>
        </w:rPr>
      </w:pPr>
      <w:r>
        <w:rPr>
          <w:rFonts w:ascii="宋体" w:hAnsi="宋体" w:cs="宋体"/>
          <w:b/>
          <w:bCs/>
          <w:sz w:val="24"/>
          <w:szCs w:val="24"/>
        </w:rPr>
        <w:t>投标文件技术部分</w:t>
      </w:r>
    </w:p>
    <w:p>
      <w:pPr>
        <w:rPr>
          <w:rFonts w:ascii="宋体" w:hAnsi="宋体" w:cs="宋体"/>
          <w:sz w:val="24"/>
          <w:szCs w:val="24"/>
        </w:rPr>
      </w:pPr>
    </w:p>
    <w:p>
      <w:pPr>
        <w:pStyle w:val="7"/>
        <w:numPr>
          <w:ilvl w:val="0"/>
          <w:numId w:val="0"/>
        </w:numPr>
        <w:rPr>
          <w:rFonts w:hint="eastAsia" w:ascii="Times New Roman" w:hAnsi="Times New Roman" w:eastAsia="宋体"/>
          <w:bCs w:val="0"/>
        </w:rPr>
      </w:pPr>
      <w:r>
        <w:rPr>
          <w:rFonts w:hint="eastAsia" w:ascii="Times New Roman" w:hAnsi="Times New Roman" w:eastAsia="宋体"/>
          <w:bCs w:val="0"/>
        </w:rPr>
        <w:t>服务说明一览表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3240"/>
        <w:gridCol w:w="1139"/>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center"/>
          </w:tcPr>
          <w:p>
            <w:pPr>
              <w:jc w:val="center"/>
              <w:rPr>
                <w:rFonts w:hint="eastAsia"/>
                <w:szCs w:val="21"/>
              </w:rPr>
            </w:pPr>
            <w:r>
              <w:rPr>
                <w:rFonts w:hint="eastAsia"/>
                <w:szCs w:val="21"/>
              </w:rPr>
              <w:t>服务名称</w:t>
            </w:r>
          </w:p>
        </w:tc>
        <w:tc>
          <w:tcPr>
            <w:tcW w:w="3240" w:type="dxa"/>
            <w:noWrap w:val="0"/>
            <w:vAlign w:val="center"/>
          </w:tcPr>
          <w:p>
            <w:pPr>
              <w:jc w:val="center"/>
              <w:rPr>
                <w:rFonts w:hint="eastAsia"/>
                <w:szCs w:val="21"/>
              </w:rPr>
            </w:pPr>
            <w:r>
              <w:rPr>
                <w:rFonts w:hint="eastAsia"/>
                <w:szCs w:val="21"/>
              </w:rPr>
              <w:t>服务内容</w:t>
            </w:r>
          </w:p>
        </w:tc>
        <w:tc>
          <w:tcPr>
            <w:tcW w:w="1139" w:type="dxa"/>
            <w:noWrap w:val="0"/>
            <w:vAlign w:val="center"/>
          </w:tcPr>
          <w:p>
            <w:pPr>
              <w:jc w:val="center"/>
              <w:rPr>
                <w:rFonts w:hint="eastAsia"/>
                <w:szCs w:val="21"/>
              </w:rPr>
            </w:pPr>
            <w:r>
              <w:rPr>
                <w:rFonts w:hint="eastAsia"/>
                <w:szCs w:val="21"/>
              </w:rPr>
              <w:t>数量</w:t>
            </w:r>
          </w:p>
        </w:tc>
        <w:tc>
          <w:tcPr>
            <w:tcW w:w="1890" w:type="dxa"/>
            <w:noWrap w:val="0"/>
            <w:vAlign w:val="center"/>
          </w:tcPr>
          <w:p>
            <w:pPr>
              <w:jc w:val="center"/>
              <w:rPr>
                <w:rFonts w:hint="eastAsia"/>
                <w:szCs w:val="21"/>
              </w:rPr>
            </w:pPr>
            <w:r>
              <w:rPr>
                <w:rFonts w:hint="eastAsia"/>
                <w:szCs w:val="21"/>
              </w:rPr>
              <w:t>完工期</w:t>
            </w:r>
          </w:p>
        </w:tc>
        <w:tc>
          <w:tcPr>
            <w:tcW w:w="1157" w:type="dxa"/>
            <w:noWrap w:val="0"/>
            <w:vAlign w:val="center"/>
          </w:tcPr>
          <w:p>
            <w:pPr>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noWrap w:val="0"/>
            <w:vAlign w:val="top"/>
          </w:tcPr>
          <w:p>
            <w:pPr>
              <w:jc w:val="center"/>
              <w:rPr>
                <w:rFonts w:hint="eastAsia"/>
                <w:szCs w:val="21"/>
              </w:rPr>
            </w:pPr>
            <w:r>
              <w:rPr>
                <w:rFonts w:hint="eastAsia"/>
                <w:szCs w:val="21"/>
              </w:rPr>
              <w:t>…</w:t>
            </w:r>
          </w:p>
        </w:tc>
        <w:tc>
          <w:tcPr>
            <w:tcW w:w="3240" w:type="dxa"/>
            <w:noWrap w:val="0"/>
            <w:vAlign w:val="top"/>
          </w:tcPr>
          <w:p>
            <w:pPr>
              <w:jc w:val="center"/>
              <w:rPr>
                <w:rFonts w:hint="eastAsia"/>
                <w:szCs w:val="21"/>
              </w:rPr>
            </w:pPr>
          </w:p>
        </w:tc>
        <w:tc>
          <w:tcPr>
            <w:tcW w:w="1139"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bl>
    <w:p>
      <w:pPr>
        <w:rPr>
          <w:rFonts w:hint="eastAsia"/>
          <w:szCs w:val="21"/>
        </w:rPr>
      </w:pPr>
    </w:p>
    <w:p>
      <w:pPr>
        <w:spacing w:after="120" w:line="360" w:lineRule="auto"/>
        <w:rPr>
          <w:rFonts w:hint="eastAsia"/>
          <w:szCs w:val="21"/>
        </w:rPr>
      </w:pPr>
      <w:r>
        <w:rPr>
          <w:rFonts w:hint="eastAsia"/>
          <w:szCs w:val="21"/>
        </w:rPr>
        <w:t xml:space="preserve">   注：附以下材料：</w:t>
      </w:r>
    </w:p>
    <w:p>
      <w:pPr>
        <w:spacing w:after="120" w:line="360" w:lineRule="auto"/>
        <w:ind w:firstLine="315" w:firstLineChars="150"/>
        <w:rPr>
          <w:rFonts w:hint="eastAsia"/>
          <w:szCs w:val="21"/>
        </w:rPr>
      </w:pPr>
      <w:r>
        <w:rPr>
          <w:rFonts w:hint="eastAsia"/>
          <w:szCs w:val="21"/>
        </w:rPr>
        <w:t>1. 服务产品技术性能条件说明和有关资料，包括服务产品技术性能说明书（中文）、检测报告及图片、系统软件操作简介等相关证明文件。</w:t>
      </w:r>
    </w:p>
    <w:p>
      <w:pPr>
        <w:spacing w:after="120" w:line="360" w:lineRule="auto"/>
        <w:rPr>
          <w:rFonts w:hint="eastAsia"/>
          <w:szCs w:val="21"/>
        </w:rPr>
      </w:pPr>
      <w:r>
        <w:rPr>
          <w:rFonts w:hint="eastAsia"/>
          <w:szCs w:val="21"/>
        </w:rPr>
        <w:t xml:space="preserve">   2. 服务清单，包括备品备件、专用工具和软件。</w:t>
      </w:r>
    </w:p>
    <w:p>
      <w:pPr>
        <w:spacing w:after="120" w:line="360" w:lineRule="auto"/>
        <w:rPr>
          <w:rFonts w:hint="eastAsia"/>
          <w:szCs w:val="21"/>
        </w:rPr>
      </w:pPr>
      <w:r>
        <w:rPr>
          <w:rFonts w:hint="eastAsia"/>
          <w:szCs w:val="21"/>
        </w:rPr>
        <w:t xml:space="preserve">   3. 如本表格式内容不能满足需要，投标人可根据本表格格式自行划表填写，但须体现以上内容。</w:t>
      </w:r>
    </w:p>
    <w:p>
      <w:pPr>
        <w:spacing w:after="120" w:line="360" w:lineRule="auto"/>
        <w:ind w:firstLine="210" w:firstLineChars="100"/>
        <w:rPr>
          <w:szCs w:val="21"/>
        </w:rPr>
      </w:pPr>
      <w:r>
        <w:rPr>
          <w:rFonts w:hint="eastAsia"/>
          <w:szCs w:val="21"/>
        </w:rPr>
        <w:t>4.投标人在技术条款响应表中标注产品实际参数数值，照搬照抄采购文件参数、不注明实际数值者视为未响应。</w:t>
      </w:r>
    </w:p>
    <w:p>
      <w:pPr>
        <w:adjustRightInd w:val="0"/>
        <w:snapToGrid w:val="0"/>
        <w:spacing w:line="360" w:lineRule="auto"/>
        <w:rPr>
          <w:rFonts w:hint="eastAsia"/>
          <w:szCs w:val="21"/>
        </w:rPr>
      </w:pPr>
    </w:p>
    <w:p>
      <w:pPr>
        <w:adjustRightInd w:val="0"/>
        <w:snapToGrid w:val="0"/>
        <w:spacing w:line="360" w:lineRule="auto"/>
        <w:rPr>
          <w:rFonts w:hint="eastAsia"/>
          <w:szCs w:val="21"/>
        </w:rPr>
      </w:pPr>
      <w:r>
        <w:rPr>
          <w:rFonts w:hint="eastAsia"/>
          <w:szCs w:val="21"/>
        </w:rPr>
        <w:t>投标人法定代表人（或法定代表人授权代表）签字或盖章：</w:t>
      </w:r>
      <w:r>
        <w:rPr>
          <w:rFonts w:hint="eastAsia"/>
          <w:szCs w:val="21"/>
          <w:u w:val="single"/>
        </w:rPr>
        <w:t xml:space="preserve">                   </w:t>
      </w:r>
    </w:p>
    <w:p>
      <w:pPr>
        <w:adjustRightInd w:val="0"/>
        <w:snapToGrid w:val="0"/>
        <w:spacing w:line="360" w:lineRule="auto"/>
        <w:rPr>
          <w:rFonts w:hint="eastAsia"/>
          <w:szCs w:val="21"/>
          <w:u w:val="single"/>
        </w:rPr>
      </w:pPr>
      <w:r>
        <w:rPr>
          <w:rFonts w:hint="eastAsia"/>
          <w:szCs w:val="21"/>
        </w:rPr>
        <w:t>投标人名称（签章）：</w:t>
      </w:r>
      <w:r>
        <w:rPr>
          <w:rFonts w:hint="eastAsia"/>
          <w:szCs w:val="21"/>
          <w:u w:val="single"/>
        </w:rPr>
        <w:t xml:space="preserve">                        </w:t>
      </w:r>
    </w:p>
    <w:p>
      <w:pPr>
        <w:spacing w:line="360" w:lineRule="auto"/>
        <w:rPr>
          <w:rFonts w:hint="eastAsia"/>
          <w:szCs w:val="21"/>
        </w:rPr>
      </w:pPr>
      <w:r>
        <w:rPr>
          <w:rFonts w:hint="eastAsia"/>
          <w:szCs w:val="21"/>
        </w:rPr>
        <w:t>日期：   年   月   日</w:t>
      </w:r>
    </w:p>
    <w:p>
      <w:pPr>
        <w:rPr>
          <w:rFonts w:hint="eastAsia"/>
          <w:szCs w:val="21"/>
        </w:rPr>
      </w:pPr>
    </w:p>
    <w:p>
      <w:pPr>
        <w:rPr>
          <w:rFonts w:hint="eastAsia"/>
          <w:szCs w:val="21"/>
        </w:rPr>
      </w:pPr>
    </w:p>
    <w:p>
      <w:pPr>
        <w:rPr>
          <w:rFonts w:hint="eastAsia"/>
          <w:szCs w:val="21"/>
        </w:rPr>
      </w:pPr>
    </w:p>
    <w:p>
      <w:pPr>
        <w:rPr>
          <w:rFonts w:hint="eastAsia"/>
          <w:szCs w:val="21"/>
        </w:rPr>
      </w:pPr>
    </w:p>
    <w:p>
      <w:pPr>
        <w:spacing w:line="360" w:lineRule="auto"/>
        <w:jc w:val="center"/>
        <w:rPr>
          <w:rFonts w:hint="eastAsia"/>
          <w:szCs w:val="21"/>
        </w:rPr>
      </w:pPr>
    </w:p>
    <w:p>
      <w:pPr>
        <w:pStyle w:val="7"/>
        <w:numPr>
          <w:ilvl w:val="0"/>
          <w:numId w:val="0"/>
        </w:numPr>
        <w:rPr>
          <w:rFonts w:hint="eastAsia" w:ascii="Times New Roman" w:hAnsi="Times New Roman" w:eastAsia="宋体"/>
          <w:bCs w:val="0"/>
        </w:rPr>
      </w:pPr>
      <w:r>
        <w:rPr>
          <w:rFonts w:hint="eastAsia" w:ascii="Times New Roman" w:hAnsi="Times New Roman" w:eastAsia="宋体"/>
          <w:bCs w:val="0"/>
        </w:rPr>
        <w:t>5.2</w:t>
      </w:r>
      <w:r>
        <w:rPr>
          <w:rFonts w:hint="eastAsia"/>
          <w:szCs w:val="21"/>
        </w:rPr>
        <w:t>技术条款响应表</w:t>
      </w:r>
    </w:p>
    <w:p>
      <w:pPr>
        <w:rPr>
          <w:rFonts w:hint="eastAsia"/>
          <w:szCs w:val="21"/>
        </w:rPr>
      </w:pPr>
      <w:r>
        <w:rPr>
          <w:rFonts w:hint="eastAsia"/>
          <w:szCs w:val="21"/>
        </w:rPr>
        <w:t>（1）技术条款响应表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center"/>
          </w:tcPr>
          <w:p>
            <w:pPr>
              <w:rPr>
                <w:rFonts w:hint="eastAsia"/>
                <w:szCs w:val="21"/>
              </w:rPr>
            </w:pPr>
            <w:r>
              <w:rPr>
                <w:rFonts w:hint="eastAsia"/>
                <w:szCs w:val="21"/>
              </w:rPr>
              <w:t>序号</w:t>
            </w:r>
          </w:p>
        </w:tc>
        <w:tc>
          <w:tcPr>
            <w:tcW w:w="1716" w:type="dxa"/>
            <w:noWrap w:val="0"/>
            <w:vAlign w:val="center"/>
          </w:tcPr>
          <w:p>
            <w:pPr>
              <w:rPr>
                <w:rFonts w:hint="eastAsia"/>
                <w:szCs w:val="21"/>
              </w:rPr>
            </w:pPr>
            <w:r>
              <w:rPr>
                <w:rFonts w:hint="eastAsia"/>
                <w:szCs w:val="21"/>
              </w:rPr>
              <w:t>招标服务要求</w:t>
            </w:r>
          </w:p>
        </w:tc>
        <w:tc>
          <w:tcPr>
            <w:tcW w:w="3207" w:type="dxa"/>
            <w:noWrap w:val="0"/>
            <w:vAlign w:val="center"/>
          </w:tcPr>
          <w:p>
            <w:pPr>
              <w:rPr>
                <w:rFonts w:hint="eastAsia"/>
                <w:szCs w:val="21"/>
              </w:rPr>
            </w:pPr>
            <w:r>
              <w:rPr>
                <w:rFonts w:hint="eastAsia"/>
                <w:szCs w:val="21"/>
              </w:rPr>
              <w:t>投标服务承诺</w:t>
            </w:r>
          </w:p>
        </w:tc>
        <w:tc>
          <w:tcPr>
            <w:tcW w:w="1890" w:type="dxa"/>
            <w:noWrap w:val="0"/>
            <w:vAlign w:val="center"/>
          </w:tcPr>
          <w:p>
            <w:pPr>
              <w:rPr>
                <w:rFonts w:hint="eastAsia"/>
                <w:szCs w:val="21"/>
              </w:rPr>
            </w:pPr>
            <w:r>
              <w:rPr>
                <w:rFonts w:hint="eastAsia"/>
                <w:szCs w:val="21"/>
              </w:rPr>
              <w:t>是否偏离（无偏离/正偏离/负偏离）</w:t>
            </w:r>
          </w:p>
        </w:tc>
        <w:tc>
          <w:tcPr>
            <w:tcW w:w="1157" w:type="dxa"/>
            <w:noWrap w:val="0"/>
            <w:vAlign w:val="center"/>
          </w:tcPr>
          <w:p>
            <w:pPr>
              <w:rPr>
                <w:rFonts w:hint="eastAsia"/>
                <w:szCs w:val="21"/>
              </w:rPr>
            </w:pPr>
            <w:r>
              <w:rPr>
                <w:rFonts w:hint="eastAsia"/>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1</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2</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3</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4</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5</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6</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7</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8</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bl>
    <w:p>
      <w:pPr>
        <w:rPr>
          <w:rFonts w:hint="eastAsia"/>
          <w:szCs w:val="21"/>
        </w:rPr>
      </w:pPr>
    </w:p>
    <w:p>
      <w:pPr>
        <w:spacing w:line="360" w:lineRule="auto"/>
        <w:rPr>
          <w:rFonts w:hint="eastAsia"/>
          <w:szCs w:val="21"/>
        </w:rPr>
      </w:pPr>
      <w:r>
        <w:rPr>
          <w:rFonts w:hint="eastAsia"/>
          <w:szCs w:val="21"/>
        </w:rPr>
        <w:t>说明：1.投标人必须对应招标文件“用户需求书”的内容逐条响应。</w:t>
      </w:r>
    </w:p>
    <w:p>
      <w:pPr>
        <w:spacing w:line="360" w:lineRule="auto"/>
        <w:ind w:firstLine="630" w:firstLineChars="300"/>
        <w:rPr>
          <w:rFonts w:hint="eastAsia"/>
          <w:szCs w:val="21"/>
        </w:rPr>
      </w:pPr>
      <w:r>
        <w:rPr>
          <w:rFonts w:hint="eastAsia"/>
          <w:szCs w:val="21"/>
          <w:lang w:val="en-GB"/>
        </w:rPr>
        <w:t>2.</w:t>
      </w:r>
      <w:r>
        <w:rPr>
          <w:rFonts w:hint="eastAsia"/>
          <w:szCs w:val="21"/>
        </w:rPr>
        <w:t>投标人响应采购需求应具体、明确，含糊不清、不确切或伪造、变造证明材料的，按照不完全响应或者完全不响应处理。构成提供虚假材料的，移送监管部门查处。</w:t>
      </w:r>
    </w:p>
    <w:p>
      <w:pPr>
        <w:spacing w:line="360" w:lineRule="auto"/>
        <w:rPr>
          <w:rFonts w:hint="eastAsia"/>
          <w:szCs w:val="21"/>
          <w:lang w:val="en-GB"/>
        </w:rPr>
      </w:pPr>
    </w:p>
    <w:p>
      <w:pPr>
        <w:spacing w:line="360" w:lineRule="auto"/>
        <w:rPr>
          <w:rFonts w:hint="eastAsia"/>
          <w:szCs w:val="21"/>
        </w:rPr>
      </w:pPr>
    </w:p>
    <w:p>
      <w:pPr>
        <w:spacing w:line="360" w:lineRule="auto"/>
        <w:rPr>
          <w:rFonts w:hint="eastAsia"/>
          <w:szCs w:val="21"/>
        </w:rPr>
      </w:pPr>
      <w:r>
        <w:rPr>
          <w:rFonts w:hint="eastAsia"/>
          <w:szCs w:val="21"/>
        </w:rPr>
        <w:t>投标人法定代表人（或法定代表人授权代表）签字或盖章：</w:t>
      </w:r>
      <w:r>
        <w:rPr>
          <w:rFonts w:hint="eastAsia"/>
          <w:szCs w:val="21"/>
          <w:u w:val="single"/>
        </w:rPr>
        <w:t xml:space="preserve">                   </w:t>
      </w:r>
    </w:p>
    <w:p>
      <w:pPr>
        <w:spacing w:line="360" w:lineRule="auto"/>
        <w:rPr>
          <w:rFonts w:hint="eastAsia"/>
          <w:szCs w:val="21"/>
          <w:u w:val="single"/>
        </w:rPr>
      </w:pPr>
      <w:r>
        <w:rPr>
          <w:rFonts w:hint="eastAsia"/>
          <w:szCs w:val="21"/>
        </w:rPr>
        <w:t>投标人名称（签章）：</w:t>
      </w:r>
      <w:r>
        <w:rPr>
          <w:rFonts w:hint="eastAsia"/>
          <w:szCs w:val="21"/>
          <w:u w:val="single"/>
        </w:rPr>
        <w:t xml:space="preserve">                        </w:t>
      </w:r>
    </w:p>
    <w:p>
      <w:pPr>
        <w:spacing w:line="360" w:lineRule="auto"/>
        <w:rPr>
          <w:rFonts w:hint="eastAsia"/>
          <w:szCs w:val="21"/>
        </w:rPr>
      </w:pPr>
      <w:r>
        <w:rPr>
          <w:rFonts w:hint="eastAsia"/>
          <w:szCs w:val="21"/>
        </w:rPr>
        <w:t>日期：   年   月   日</w:t>
      </w: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rPr>
          <w:rFonts w:hint="eastAsia"/>
          <w:szCs w:val="21"/>
        </w:rPr>
      </w:pPr>
      <w:r>
        <w:rPr>
          <w:rFonts w:hint="eastAsia"/>
          <w:szCs w:val="21"/>
        </w:rPr>
        <w:t>（2）</w:t>
      </w:r>
      <w:r>
        <w:rPr>
          <w:rFonts w:hint="eastAsia" w:cs="宋体"/>
          <w:bCs/>
        </w:rPr>
        <w:t>“★”条款</w:t>
      </w:r>
      <w:r>
        <w:rPr>
          <w:rFonts w:hint="eastAsia"/>
          <w:szCs w:val="21"/>
        </w:rPr>
        <w:t>响应表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center"/>
          </w:tcPr>
          <w:p>
            <w:pPr>
              <w:rPr>
                <w:rFonts w:hint="eastAsia"/>
                <w:szCs w:val="21"/>
              </w:rPr>
            </w:pPr>
            <w:r>
              <w:rPr>
                <w:rFonts w:hint="eastAsia"/>
                <w:szCs w:val="21"/>
              </w:rPr>
              <w:t>序号</w:t>
            </w:r>
          </w:p>
        </w:tc>
        <w:tc>
          <w:tcPr>
            <w:tcW w:w="1716" w:type="dxa"/>
            <w:noWrap w:val="0"/>
            <w:vAlign w:val="center"/>
          </w:tcPr>
          <w:p>
            <w:pPr>
              <w:rPr>
                <w:rFonts w:hint="eastAsia"/>
                <w:szCs w:val="21"/>
              </w:rPr>
            </w:pPr>
            <w:r>
              <w:rPr>
                <w:rFonts w:hint="eastAsia"/>
                <w:szCs w:val="21"/>
              </w:rPr>
              <w:t>招标规格要求</w:t>
            </w:r>
          </w:p>
        </w:tc>
        <w:tc>
          <w:tcPr>
            <w:tcW w:w="3207" w:type="dxa"/>
            <w:noWrap w:val="0"/>
            <w:vAlign w:val="center"/>
          </w:tcPr>
          <w:p>
            <w:pPr>
              <w:rPr>
                <w:rFonts w:hint="eastAsia"/>
                <w:szCs w:val="21"/>
              </w:rPr>
            </w:pPr>
            <w:r>
              <w:rPr>
                <w:rFonts w:hint="eastAsia"/>
                <w:szCs w:val="21"/>
              </w:rPr>
              <w:t>投标实际参数</w:t>
            </w:r>
          </w:p>
        </w:tc>
        <w:tc>
          <w:tcPr>
            <w:tcW w:w="1890" w:type="dxa"/>
            <w:noWrap w:val="0"/>
            <w:vAlign w:val="center"/>
          </w:tcPr>
          <w:p>
            <w:pPr>
              <w:rPr>
                <w:rFonts w:hint="eastAsia"/>
                <w:szCs w:val="21"/>
              </w:rPr>
            </w:pPr>
            <w:r>
              <w:rPr>
                <w:rFonts w:hint="eastAsia"/>
                <w:szCs w:val="21"/>
              </w:rPr>
              <w:t>是否偏离（无偏离/正偏离/负偏离）</w:t>
            </w:r>
          </w:p>
        </w:tc>
        <w:tc>
          <w:tcPr>
            <w:tcW w:w="1157" w:type="dxa"/>
            <w:noWrap w:val="0"/>
            <w:vAlign w:val="center"/>
          </w:tcPr>
          <w:p>
            <w:pPr>
              <w:rPr>
                <w:rFonts w:hint="eastAsia"/>
                <w:szCs w:val="21"/>
              </w:rPr>
            </w:pPr>
            <w:r>
              <w:rPr>
                <w:rFonts w:hint="eastAsia"/>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1</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2</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3</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4</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5</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6</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7</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8</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top"/>
          </w:tcPr>
          <w:p>
            <w:pPr>
              <w:rPr>
                <w:rFonts w:hint="eastAsia"/>
                <w:szCs w:val="21"/>
              </w:rPr>
            </w:pPr>
            <w:r>
              <w:rPr>
                <w:rFonts w:hint="eastAsia"/>
                <w:szCs w:val="21"/>
              </w:rPr>
              <w:t>…</w:t>
            </w:r>
          </w:p>
        </w:tc>
        <w:tc>
          <w:tcPr>
            <w:tcW w:w="1716" w:type="dxa"/>
            <w:noWrap w:val="0"/>
            <w:vAlign w:val="top"/>
          </w:tcPr>
          <w:p>
            <w:pPr>
              <w:rPr>
                <w:rFonts w:hint="eastAsia"/>
                <w:szCs w:val="21"/>
              </w:rPr>
            </w:pPr>
          </w:p>
        </w:tc>
        <w:tc>
          <w:tcPr>
            <w:tcW w:w="3207" w:type="dxa"/>
            <w:noWrap w:val="0"/>
            <w:vAlign w:val="top"/>
          </w:tcPr>
          <w:p>
            <w:pPr>
              <w:rPr>
                <w:rFonts w:hint="eastAsia"/>
                <w:szCs w:val="21"/>
              </w:rPr>
            </w:pPr>
          </w:p>
        </w:tc>
        <w:tc>
          <w:tcPr>
            <w:tcW w:w="1890" w:type="dxa"/>
            <w:noWrap w:val="0"/>
            <w:vAlign w:val="top"/>
          </w:tcPr>
          <w:p>
            <w:pPr>
              <w:rPr>
                <w:rFonts w:hint="eastAsia"/>
                <w:szCs w:val="21"/>
              </w:rPr>
            </w:pPr>
          </w:p>
        </w:tc>
        <w:tc>
          <w:tcPr>
            <w:tcW w:w="1157" w:type="dxa"/>
            <w:noWrap w:val="0"/>
            <w:vAlign w:val="top"/>
          </w:tcPr>
          <w:p>
            <w:pPr>
              <w:rPr>
                <w:rFonts w:hint="eastAsia"/>
                <w:szCs w:val="21"/>
              </w:rPr>
            </w:pPr>
          </w:p>
        </w:tc>
      </w:tr>
    </w:tbl>
    <w:p>
      <w:pPr>
        <w:rPr>
          <w:rFonts w:hint="eastAsia"/>
          <w:szCs w:val="21"/>
        </w:rPr>
      </w:pPr>
    </w:p>
    <w:p>
      <w:pPr>
        <w:spacing w:line="360" w:lineRule="auto"/>
        <w:rPr>
          <w:rFonts w:hint="eastAsia"/>
          <w:szCs w:val="21"/>
        </w:rPr>
      </w:pPr>
      <w:r>
        <w:rPr>
          <w:rFonts w:hint="eastAsia"/>
          <w:szCs w:val="21"/>
        </w:rPr>
        <w:t>说明：1.投标人必须对应招标文件“用户需求书”中的</w:t>
      </w:r>
      <w:r>
        <w:rPr>
          <w:rFonts w:hint="eastAsia" w:cs="宋体"/>
          <w:bCs/>
        </w:rPr>
        <w:t>“★”条款</w:t>
      </w:r>
      <w:r>
        <w:rPr>
          <w:rFonts w:hint="eastAsia"/>
          <w:szCs w:val="21"/>
        </w:rPr>
        <w:t>内容逐条响应。</w:t>
      </w:r>
    </w:p>
    <w:p>
      <w:pPr>
        <w:spacing w:line="360" w:lineRule="auto"/>
        <w:ind w:firstLine="630" w:firstLineChars="300"/>
        <w:rPr>
          <w:rFonts w:hint="eastAsia"/>
          <w:szCs w:val="21"/>
        </w:rPr>
      </w:pPr>
      <w:r>
        <w:rPr>
          <w:rFonts w:hint="eastAsia"/>
          <w:szCs w:val="21"/>
          <w:lang w:val="en-GB"/>
        </w:rPr>
        <w:t>2.</w:t>
      </w:r>
      <w:r>
        <w:rPr>
          <w:rFonts w:hint="eastAsia"/>
          <w:szCs w:val="21"/>
        </w:rPr>
        <w:t>投标人响应采购需求应具体、明确，含糊不清、不确切或伪造、变造证明材料的，按照不完全响应或者完全不响应处理。构成提供虚假材料的，移送监管部门查处。</w:t>
      </w:r>
    </w:p>
    <w:p>
      <w:pPr>
        <w:spacing w:line="360" w:lineRule="auto"/>
        <w:rPr>
          <w:rFonts w:hint="eastAsia"/>
          <w:szCs w:val="21"/>
          <w:lang w:val="en-GB"/>
        </w:rPr>
      </w:pPr>
    </w:p>
    <w:p>
      <w:pPr>
        <w:spacing w:line="360" w:lineRule="auto"/>
        <w:rPr>
          <w:rFonts w:hint="eastAsia"/>
          <w:szCs w:val="21"/>
        </w:rPr>
      </w:pPr>
    </w:p>
    <w:p>
      <w:pPr>
        <w:spacing w:line="360" w:lineRule="auto"/>
        <w:rPr>
          <w:rFonts w:hint="eastAsia"/>
          <w:szCs w:val="21"/>
        </w:rPr>
      </w:pPr>
      <w:r>
        <w:rPr>
          <w:rFonts w:hint="eastAsia"/>
          <w:szCs w:val="21"/>
        </w:rPr>
        <w:t>投标人法定代表人（或法定代表人授权代表）签字或盖章：</w:t>
      </w:r>
      <w:r>
        <w:rPr>
          <w:rFonts w:hint="eastAsia"/>
          <w:szCs w:val="21"/>
          <w:u w:val="single"/>
        </w:rPr>
        <w:t xml:space="preserve">                   </w:t>
      </w:r>
    </w:p>
    <w:p>
      <w:pPr>
        <w:spacing w:line="360" w:lineRule="auto"/>
        <w:rPr>
          <w:rFonts w:hint="eastAsia"/>
          <w:szCs w:val="21"/>
          <w:u w:val="single"/>
        </w:rPr>
      </w:pPr>
      <w:r>
        <w:rPr>
          <w:rFonts w:hint="eastAsia"/>
          <w:szCs w:val="21"/>
        </w:rPr>
        <w:t>投标人名称（盖章）：</w:t>
      </w:r>
      <w:r>
        <w:rPr>
          <w:rFonts w:hint="eastAsia"/>
          <w:szCs w:val="21"/>
          <w:u w:val="single"/>
        </w:rPr>
        <w:t xml:space="preserve">                        </w:t>
      </w:r>
    </w:p>
    <w:p>
      <w:pPr>
        <w:spacing w:line="360" w:lineRule="auto"/>
        <w:rPr>
          <w:rFonts w:hint="eastAsia"/>
          <w:szCs w:val="21"/>
        </w:rPr>
      </w:pPr>
      <w:r>
        <w:rPr>
          <w:rFonts w:hint="eastAsia"/>
          <w:szCs w:val="21"/>
        </w:rPr>
        <w:t>日期：   年   月   日</w:t>
      </w:r>
    </w:p>
    <w:p>
      <w:pPr>
        <w:spacing w:line="360" w:lineRule="auto"/>
        <w:rPr>
          <w:rFonts w:hint="eastAsia"/>
          <w:szCs w:val="21"/>
        </w:rPr>
      </w:pPr>
    </w:p>
    <w:p>
      <w:pPr>
        <w:spacing w:line="360" w:lineRule="auto"/>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spacing w:line="360" w:lineRule="auto"/>
        <w:rPr>
          <w:rFonts w:hint="eastAsia"/>
          <w:b/>
          <w:sz w:val="28"/>
          <w:szCs w:val="28"/>
        </w:rPr>
      </w:pPr>
      <w:r>
        <w:rPr>
          <w:rFonts w:hint="eastAsia"/>
          <w:b/>
          <w:sz w:val="28"/>
          <w:szCs w:val="28"/>
        </w:rPr>
        <w:t>5.3 服务方案</w:t>
      </w:r>
    </w:p>
    <w:p>
      <w:pPr>
        <w:spacing w:line="360" w:lineRule="auto"/>
        <w:ind w:firstLine="525" w:firstLineChars="250"/>
        <w:rPr>
          <w:rFonts w:hint="eastAsia"/>
          <w:szCs w:val="21"/>
        </w:rPr>
      </w:pPr>
      <w:r>
        <w:rPr>
          <w:rFonts w:hint="eastAsia" w:ascii="宋体"/>
        </w:rPr>
        <w:t>投标人应按照招标文件的要求，根据《用户需求书》要求内容做出全面响应并编制服务方案。其内容应包括但不限于人力、物力等资源的投入以及服务内容、方式、手段、措施、质量保证及建议等。服务</w:t>
      </w:r>
      <w:r>
        <w:rPr>
          <w:rFonts w:hint="eastAsia"/>
          <w:szCs w:val="21"/>
        </w:rPr>
        <w:t>方案设计必须科学合理、真实可行，能充分体现出自身技术和专业优势。</w:t>
      </w:r>
      <w:r>
        <w:rPr>
          <w:rFonts w:hint="eastAsia" w:ascii="宋体" w:hAnsi="宋体"/>
          <w:szCs w:val="21"/>
        </w:rPr>
        <w:t>对含糊不清或欠具体明确之处，评委会可视为投标人履约能力不足或响应不全。</w:t>
      </w:r>
      <w:r>
        <w:rPr>
          <w:rFonts w:hint="eastAsia"/>
          <w:szCs w:val="21"/>
        </w:rPr>
        <w:t>其要点和主要内容为：</w:t>
      </w:r>
    </w:p>
    <w:p>
      <w:pPr>
        <w:spacing w:line="360" w:lineRule="auto"/>
        <w:ind w:firstLine="525" w:firstLineChars="250"/>
        <w:rPr>
          <w:rFonts w:hint="eastAsia"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对项目的理解（项目概述、目标、服务范围、采购人的义务及配合条件）</w:t>
      </w:r>
    </w:p>
    <w:p>
      <w:pPr>
        <w:spacing w:line="360" w:lineRule="auto"/>
        <w:ind w:firstLine="525" w:firstLineChars="250"/>
        <w:rPr>
          <w:rFonts w:hint="eastAsia"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针对本项目的组织实施方案</w:t>
      </w:r>
    </w:p>
    <w:p>
      <w:pPr>
        <w:spacing w:line="360" w:lineRule="auto"/>
        <w:ind w:firstLine="525" w:firstLineChars="250"/>
        <w:rPr>
          <w:rFonts w:hint="eastAsia"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进度计划和保证项目完成的具体措施</w:t>
      </w:r>
    </w:p>
    <w:p>
      <w:pPr>
        <w:spacing w:line="360" w:lineRule="auto"/>
        <w:ind w:firstLine="525" w:firstLineChars="250"/>
        <w:rPr>
          <w:rFonts w:hint="eastAsia"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项目整体验收计划</w:t>
      </w:r>
    </w:p>
    <w:p>
      <w:pPr>
        <w:spacing w:line="360" w:lineRule="auto"/>
        <w:ind w:firstLine="525" w:firstLineChars="250"/>
        <w:rPr>
          <w:rFonts w:hint="eastAsia"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培训计划</w:t>
      </w:r>
    </w:p>
    <w:p>
      <w:pPr>
        <w:spacing w:line="360" w:lineRule="auto"/>
        <w:ind w:firstLine="525" w:firstLineChars="250"/>
        <w:rPr>
          <w:rFonts w:hint="eastAsia" w:ascii="宋体" w:hAnsi="宋体"/>
          <w:szCs w:val="21"/>
        </w:rPr>
      </w:pPr>
      <w:r>
        <w:rPr>
          <w:rFonts w:hint="eastAsia" w:ascii="宋体" w:hAnsi="宋体"/>
          <w:szCs w:val="21"/>
        </w:rPr>
        <w:t>6.</w:t>
      </w:r>
      <w:r>
        <w:rPr>
          <w:rFonts w:hint="eastAsia" w:ascii="宋体" w:hAnsi="宋体"/>
          <w:szCs w:val="21"/>
        </w:rPr>
        <w:tab/>
      </w:r>
      <w:r>
        <w:rPr>
          <w:rFonts w:hint="eastAsia" w:ascii="宋体" w:hAnsi="宋体"/>
          <w:szCs w:val="21"/>
        </w:rPr>
        <w:t>投标人认为必要说明的其它内容</w:t>
      </w: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rPr>
          <w:rFonts w:hint="eastAsia"/>
          <w:szCs w:val="21"/>
        </w:rPr>
      </w:pPr>
    </w:p>
    <w:p>
      <w:pPr>
        <w:adjustRightInd w:val="0"/>
        <w:snapToGrid w:val="0"/>
        <w:spacing w:line="360" w:lineRule="auto"/>
        <w:rPr>
          <w:rFonts w:hint="eastAsia"/>
          <w:szCs w:val="21"/>
        </w:rPr>
      </w:pPr>
      <w:r>
        <w:rPr>
          <w:rFonts w:hint="eastAsia"/>
          <w:szCs w:val="21"/>
        </w:rPr>
        <w:t>投标人法定代表人（或法定代表人授权代表）签字或盖章：</w:t>
      </w:r>
      <w:r>
        <w:rPr>
          <w:rFonts w:hint="eastAsia"/>
          <w:szCs w:val="21"/>
          <w:u w:val="single"/>
        </w:rPr>
        <w:t xml:space="preserve">                   </w:t>
      </w:r>
    </w:p>
    <w:p>
      <w:pPr>
        <w:adjustRightInd w:val="0"/>
        <w:snapToGrid w:val="0"/>
        <w:spacing w:line="360" w:lineRule="auto"/>
        <w:rPr>
          <w:rFonts w:hint="eastAsia"/>
          <w:szCs w:val="21"/>
          <w:u w:val="single"/>
        </w:rPr>
      </w:pPr>
      <w:r>
        <w:rPr>
          <w:rFonts w:hint="eastAsia"/>
          <w:szCs w:val="21"/>
        </w:rPr>
        <w:t>投标人名称（签章）：</w:t>
      </w:r>
      <w:r>
        <w:rPr>
          <w:rFonts w:hint="eastAsia"/>
          <w:szCs w:val="21"/>
          <w:u w:val="single"/>
        </w:rPr>
        <w:t xml:space="preserve">                        </w:t>
      </w:r>
    </w:p>
    <w:p>
      <w:pPr>
        <w:spacing w:line="360" w:lineRule="auto"/>
        <w:rPr>
          <w:rFonts w:hint="eastAsia"/>
          <w:szCs w:val="21"/>
        </w:rPr>
      </w:pPr>
      <w:r>
        <w:rPr>
          <w:rFonts w:hint="eastAsia"/>
          <w:szCs w:val="21"/>
        </w:rPr>
        <w:t>日期：   年   月   日</w:t>
      </w:r>
    </w:p>
    <w:p>
      <w:pPr>
        <w:pStyle w:val="6"/>
        <w:ind w:left="0"/>
        <w:rPr>
          <w:rFonts w:hint="eastAsia"/>
        </w:rPr>
      </w:pPr>
    </w:p>
    <w:p>
      <w:pPr>
        <w:spacing w:line="360" w:lineRule="auto"/>
        <w:ind w:left="850" w:leftChars="405"/>
        <w:rPr>
          <w:rFonts w:hint="eastAsia" w:ascii="宋体" w:hAnsi="宋体"/>
          <w:szCs w:val="21"/>
        </w:rPr>
      </w:pPr>
      <w:r>
        <w:rPr>
          <w:rFonts w:hint="eastAsia" w:ascii="宋体" w:hAnsi="宋体"/>
          <w:szCs w:val="21"/>
        </w:rPr>
        <w:t>投标人应按招标文件要求的内容和顺序，对完成整个项目提出相应的实施方案。</w:t>
      </w:r>
    </w:p>
    <w:p>
      <w:pPr>
        <w:spacing w:line="360" w:lineRule="auto"/>
        <w:ind w:left="850" w:leftChars="405"/>
        <w:rPr>
          <w:rFonts w:hint="eastAsia" w:ascii="宋体" w:hAnsi="宋体"/>
          <w:szCs w:val="21"/>
        </w:rPr>
      </w:pPr>
      <w:r>
        <w:rPr>
          <w:rFonts w:hint="eastAsia" w:ascii="宋体" w:hAnsi="宋体"/>
          <w:szCs w:val="21"/>
        </w:rPr>
        <w:t>组织实施方案的内容应包括</w:t>
      </w:r>
      <w:r>
        <w:rPr>
          <w:rFonts w:hint="eastAsia" w:ascii="宋体" w:hAnsi="宋体"/>
          <w:szCs w:val="21"/>
          <w:lang w:val="en-GB"/>
        </w:rPr>
        <w:t>：</w:t>
      </w:r>
    </w:p>
    <w:p>
      <w:pPr>
        <w:pStyle w:val="7"/>
        <w:numPr>
          <w:ilvl w:val="3"/>
          <w:numId w:val="0"/>
        </w:numPr>
        <w:spacing w:before="0" w:after="0" w:line="360" w:lineRule="auto"/>
        <w:jc w:val="center"/>
        <w:rPr>
          <w:rFonts w:hint="eastAsia"/>
          <w:sz w:val="24"/>
          <w:szCs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numPr>
          <w:ilvl w:val="3"/>
          <w:numId w:val="0"/>
        </w:numPr>
        <w:spacing w:before="0" w:after="0" w:line="360" w:lineRule="auto"/>
        <w:jc w:val="center"/>
        <w:rPr>
          <w:rFonts w:hint="eastAsia"/>
          <w:sz w:val="24"/>
          <w:szCs w:val="24"/>
        </w:rPr>
      </w:pPr>
    </w:p>
    <w:p>
      <w:pPr>
        <w:rPr>
          <w:rFonts w:hint="eastAsia"/>
        </w:rPr>
      </w:pPr>
    </w:p>
    <w:p>
      <w:pPr>
        <w:pStyle w:val="7"/>
        <w:numPr>
          <w:ilvl w:val="0"/>
          <w:numId w:val="0"/>
        </w:numPr>
        <w:rPr>
          <w:rFonts w:hint="eastAsia"/>
          <w:szCs w:val="21"/>
        </w:rPr>
      </w:pPr>
      <w:r>
        <w:rPr>
          <w:rFonts w:hint="eastAsia"/>
          <w:szCs w:val="21"/>
        </w:rPr>
        <w:t>5.4政策适用性说明</w:t>
      </w:r>
    </w:p>
    <w:p>
      <w:pPr>
        <w:tabs>
          <w:tab w:val="left" w:pos="1260"/>
        </w:tabs>
        <w:spacing w:line="360" w:lineRule="auto"/>
        <w:ind w:firstLine="420" w:firstLineChars="200"/>
        <w:rPr>
          <w:rFonts w:hint="eastAsia" w:ascii="宋体" w:hAnsi="宋体"/>
          <w:szCs w:val="21"/>
          <w:lang w:val="en-GB"/>
        </w:rPr>
      </w:pPr>
      <w:r>
        <w:rPr>
          <w:rFonts w:hint="eastAsia" w:ascii="宋体" w:hAnsi="宋体"/>
          <w:szCs w:val="21"/>
          <w:lang w:val="en-GB"/>
        </w:rPr>
        <w:t>按照政府采购有关政策的要求，在本次的技术方案中，采用符合政策的节能产品、环保标志产品，</w:t>
      </w:r>
      <w:r>
        <w:rPr>
          <w:rFonts w:hint="eastAsia" w:ascii="宋体" w:hAnsi="宋体"/>
          <w:szCs w:val="21"/>
          <w:u w:val="wave" w:color="FF0000"/>
          <w:lang w:val="en-GB"/>
        </w:rPr>
        <w:t>主要产品与核心技术</w:t>
      </w:r>
      <w:r>
        <w:rPr>
          <w:rFonts w:hint="eastAsia" w:ascii="宋体" w:hAnsi="宋体"/>
          <w:szCs w:val="21"/>
          <w:lang w:val="en-GB"/>
        </w:rPr>
        <w:t>介绍说明如下：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823"/>
        <w:gridCol w:w="2217"/>
        <w:gridCol w:w="1760"/>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7" w:type="dxa"/>
            <w:noWrap w:val="0"/>
            <w:vAlign w:val="center"/>
          </w:tcPr>
          <w:p>
            <w:pPr>
              <w:tabs>
                <w:tab w:val="left" w:pos="1260"/>
              </w:tabs>
              <w:rPr>
                <w:rFonts w:hint="eastAsia" w:ascii="宋体" w:hAnsi="宋体"/>
                <w:b/>
                <w:szCs w:val="21"/>
                <w:lang w:val="en-GB"/>
              </w:rPr>
            </w:pPr>
            <w:r>
              <w:rPr>
                <w:rFonts w:hint="eastAsia" w:ascii="宋体" w:hAnsi="宋体"/>
                <w:b/>
                <w:szCs w:val="21"/>
                <w:lang w:val="en-GB"/>
              </w:rPr>
              <w:t>类别</w:t>
            </w:r>
          </w:p>
        </w:tc>
        <w:tc>
          <w:tcPr>
            <w:tcW w:w="2823" w:type="dxa"/>
            <w:noWrap w:val="0"/>
            <w:vAlign w:val="center"/>
          </w:tcPr>
          <w:p>
            <w:pPr>
              <w:tabs>
                <w:tab w:val="left" w:pos="1260"/>
              </w:tabs>
              <w:jc w:val="center"/>
              <w:rPr>
                <w:rFonts w:hint="eastAsia" w:ascii="宋体" w:hAnsi="宋体"/>
                <w:b/>
                <w:szCs w:val="21"/>
                <w:lang w:val="en-GB"/>
              </w:rPr>
            </w:pPr>
            <w:r>
              <w:rPr>
                <w:rFonts w:hint="eastAsia" w:ascii="宋体" w:hAnsi="宋体"/>
                <w:b/>
                <w:szCs w:val="21"/>
                <w:lang w:val="en-GB"/>
              </w:rPr>
              <w:t>主要产品/技术名称</w:t>
            </w:r>
          </w:p>
          <w:p>
            <w:pPr>
              <w:tabs>
                <w:tab w:val="left" w:pos="1260"/>
              </w:tabs>
              <w:jc w:val="center"/>
              <w:rPr>
                <w:rFonts w:hint="eastAsia" w:ascii="宋体" w:hAnsi="宋体"/>
                <w:b/>
                <w:szCs w:val="21"/>
                <w:lang w:val="en-GB"/>
              </w:rPr>
            </w:pPr>
            <w:r>
              <w:rPr>
                <w:rFonts w:hint="eastAsia" w:ascii="宋体" w:hAnsi="宋体"/>
                <w:b/>
                <w:szCs w:val="21"/>
                <w:lang w:val="en-GB"/>
              </w:rPr>
              <w:t>（规格型号、注册商标）</w:t>
            </w:r>
          </w:p>
        </w:tc>
        <w:tc>
          <w:tcPr>
            <w:tcW w:w="2217" w:type="dxa"/>
            <w:noWrap w:val="0"/>
            <w:vAlign w:val="center"/>
          </w:tcPr>
          <w:p>
            <w:pPr>
              <w:tabs>
                <w:tab w:val="left" w:pos="1260"/>
              </w:tabs>
              <w:jc w:val="center"/>
              <w:rPr>
                <w:rFonts w:hint="eastAsia" w:ascii="宋体" w:hAnsi="宋体"/>
                <w:b/>
                <w:szCs w:val="21"/>
                <w:lang w:val="en-GB"/>
              </w:rPr>
            </w:pPr>
            <w:r>
              <w:rPr>
                <w:rFonts w:hint="eastAsia" w:ascii="宋体" w:hAnsi="宋体"/>
                <w:b/>
                <w:szCs w:val="21"/>
                <w:lang w:val="en-GB"/>
              </w:rPr>
              <w:t>制造商/开发商</w:t>
            </w:r>
          </w:p>
        </w:tc>
        <w:tc>
          <w:tcPr>
            <w:tcW w:w="1760" w:type="dxa"/>
            <w:noWrap w:val="0"/>
            <w:vAlign w:val="center"/>
          </w:tcPr>
          <w:p>
            <w:pPr>
              <w:tabs>
                <w:tab w:val="left" w:pos="1260"/>
              </w:tabs>
              <w:jc w:val="center"/>
              <w:rPr>
                <w:rFonts w:hint="eastAsia" w:ascii="宋体" w:hAnsi="宋体"/>
                <w:b/>
                <w:szCs w:val="21"/>
                <w:lang w:val="en-GB"/>
              </w:rPr>
            </w:pPr>
            <w:r>
              <w:rPr>
                <w:rFonts w:hint="eastAsia" w:ascii="宋体" w:hAnsi="宋体"/>
                <w:b/>
                <w:szCs w:val="21"/>
                <w:lang w:val="en-GB"/>
              </w:rPr>
              <w:t>认证证书编号</w:t>
            </w:r>
          </w:p>
        </w:tc>
        <w:tc>
          <w:tcPr>
            <w:tcW w:w="1747" w:type="dxa"/>
            <w:noWrap w:val="0"/>
            <w:vAlign w:val="center"/>
          </w:tcPr>
          <w:p>
            <w:pPr>
              <w:tabs>
                <w:tab w:val="left" w:pos="1260"/>
              </w:tabs>
              <w:jc w:val="center"/>
              <w:rPr>
                <w:rFonts w:hint="eastAsia" w:ascii="宋体" w:hAnsi="宋体"/>
                <w:b/>
                <w:szCs w:val="21"/>
                <w:lang w:val="en-GB"/>
              </w:rPr>
            </w:pPr>
            <w:r>
              <w:rPr>
                <w:rFonts w:hint="eastAsia" w:ascii="宋体" w:hAnsi="宋体"/>
                <w:b/>
                <w:szCs w:val="21"/>
                <w:lang w:val="en-GB"/>
              </w:rPr>
              <w:t>该产品报价占总报价比重</w:t>
            </w:r>
          </w:p>
          <w:p>
            <w:pPr>
              <w:tabs>
                <w:tab w:val="left" w:pos="1260"/>
              </w:tabs>
              <w:jc w:val="center"/>
              <w:rPr>
                <w:rFonts w:hint="eastAsia" w:ascii="宋体" w:hAnsi="宋体"/>
                <w:b/>
                <w:szCs w:val="21"/>
                <w:lang w:val="en-GB"/>
              </w:rPr>
            </w:pPr>
            <w:r>
              <w:rPr>
                <w:rFonts w:hint="eastAsia" w:ascii="宋体" w:hAnsi="宋体"/>
                <w:b/>
                <w:szCs w:val="21"/>
                <w:lang w:val="en-GB"/>
              </w:rPr>
              <w:t>（</w:t>
            </w:r>
            <w:r>
              <w:rPr>
                <w:rFonts w:hint="eastAsia" w:ascii="宋体" w:hAnsi="宋体"/>
                <w:szCs w:val="21"/>
                <w:lang w:val="en-GB"/>
              </w:rPr>
              <w:t>累计</w:t>
            </w:r>
            <w:r>
              <w:rPr>
                <w:rFonts w:hint="eastAsia" w:ascii="宋体" w:hAnsi="宋体"/>
                <w:b/>
                <w:szCs w:val="21"/>
                <w:lang w:val="en-GB"/>
              </w:rPr>
              <w:t xml:space="preserve"> </w:t>
            </w:r>
            <w:r>
              <w:rPr>
                <w:rFonts w:hint="eastAsia" w:ascii="宋体" w:hAnsi="宋体"/>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 w:type="dxa"/>
            <w:vMerge w:val="restart"/>
            <w:noWrap w:val="0"/>
            <w:vAlign w:val="center"/>
          </w:tcPr>
          <w:p>
            <w:pPr>
              <w:tabs>
                <w:tab w:val="left" w:pos="1260"/>
              </w:tabs>
              <w:jc w:val="center"/>
              <w:rPr>
                <w:rFonts w:hint="eastAsia" w:ascii="宋体" w:hAnsi="宋体"/>
                <w:szCs w:val="21"/>
                <w:lang w:val="en-GB"/>
              </w:rPr>
            </w:pPr>
            <w:r>
              <w:rPr>
                <w:rFonts w:hint="eastAsia" w:ascii="宋体" w:hAnsi="宋体"/>
                <w:szCs w:val="21"/>
                <w:lang w:val="en-GB"/>
              </w:rPr>
              <w:t>节能</w:t>
            </w:r>
            <w:r>
              <w:rPr>
                <w:rFonts w:ascii="宋体" w:hAnsi="宋体"/>
                <w:szCs w:val="21"/>
                <w:lang w:val="en-GB"/>
              </w:rPr>
              <w:br w:type="textWrapping"/>
            </w:r>
            <w:r>
              <w:rPr>
                <w:rFonts w:hint="eastAsia" w:ascii="宋体" w:hAnsi="宋体"/>
                <w:szCs w:val="21"/>
                <w:lang w:val="en-GB"/>
              </w:rPr>
              <w:t>产品</w:t>
            </w:r>
          </w:p>
        </w:tc>
        <w:tc>
          <w:tcPr>
            <w:tcW w:w="2823" w:type="dxa"/>
            <w:noWrap w:val="0"/>
            <w:vAlign w:val="center"/>
          </w:tcPr>
          <w:p>
            <w:pPr>
              <w:tabs>
                <w:tab w:val="left" w:pos="1260"/>
              </w:tabs>
              <w:jc w:val="center"/>
              <w:rPr>
                <w:rFonts w:hint="eastAsia" w:ascii="宋体" w:hAnsi="宋体"/>
                <w:szCs w:val="21"/>
                <w:lang w:val="en-GB"/>
              </w:rPr>
            </w:pPr>
          </w:p>
        </w:tc>
        <w:tc>
          <w:tcPr>
            <w:tcW w:w="2217" w:type="dxa"/>
            <w:noWrap w:val="0"/>
            <w:vAlign w:val="center"/>
          </w:tcPr>
          <w:p>
            <w:pPr>
              <w:tabs>
                <w:tab w:val="left" w:pos="1260"/>
              </w:tabs>
              <w:jc w:val="center"/>
              <w:rPr>
                <w:rFonts w:hint="eastAsia" w:ascii="宋体" w:hAnsi="宋体"/>
                <w:szCs w:val="21"/>
                <w:lang w:val="en-GB"/>
              </w:rPr>
            </w:pPr>
          </w:p>
        </w:tc>
        <w:tc>
          <w:tcPr>
            <w:tcW w:w="1760" w:type="dxa"/>
            <w:noWrap w:val="0"/>
            <w:vAlign w:val="center"/>
          </w:tcPr>
          <w:p>
            <w:pPr>
              <w:tabs>
                <w:tab w:val="left" w:pos="1260"/>
              </w:tabs>
              <w:jc w:val="center"/>
              <w:rPr>
                <w:rFonts w:hint="eastAsia" w:ascii="宋体" w:hAnsi="宋体"/>
                <w:szCs w:val="21"/>
                <w:lang w:val="en-GB"/>
              </w:rPr>
            </w:pPr>
          </w:p>
        </w:tc>
        <w:tc>
          <w:tcPr>
            <w:tcW w:w="1747" w:type="dxa"/>
            <w:noWrap w:val="0"/>
            <w:vAlign w:val="center"/>
          </w:tcPr>
          <w:p>
            <w:pPr>
              <w:tabs>
                <w:tab w:val="left" w:pos="1260"/>
              </w:tabs>
              <w:jc w:val="cente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 w:type="dxa"/>
            <w:vMerge w:val="continue"/>
            <w:noWrap w:val="0"/>
            <w:vAlign w:val="center"/>
          </w:tcPr>
          <w:p>
            <w:pPr>
              <w:tabs>
                <w:tab w:val="left" w:pos="1260"/>
              </w:tabs>
              <w:jc w:val="center"/>
              <w:rPr>
                <w:rFonts w:hint="eastAsia" w:ascii="宋体" w:hAnsi="宋体"/>
                <w:szCs w:val="21"/>
                <w:lang w:val="en-GB"/>
              </w:rPr>
            </w:pPr>
          </w:p>
        </w:tc>
        <w:tc>
          <w:tcPr>
            <w:tcW w:w="2823" w:type="dxa"/>
            <w:noWrap w:val="0"/>
            <w:vAlign w:val="center"/>
          </w:tcPr>
          <w:p>
            <w:pPr>
              <w:tabs>
                <w:tab w:val="left" w:pos="1260"/>
              </w:tabs>
              <w:jc w:val="center"/>
              <w:rPr>
                <w:rFonts w:hint="eastAsia" w:ascii="宋体" w:hAnsi="宋体"/>
                <w:szCs w:val="21"/>
                <w:lang w:val="en-GB"/>
              </w:rPr>
            </w:pPr>
          </w:p>
        </w:tc>
        <w:tc>
          <w:tcPr>
            <w:tcW w:w="2217" w:type="dxa"/>
            <w:noWrap w:val="0"/>
            <w:vAlign w:val="center"/>
          </w:tcPr>
          <w:p>
            <w:pPr>
              <w:tabs>
                <w:tab w:val="left" w:pos="1260"/>
              </w:tabs>
              <w:jc w:val="center"/>
              <w:rPr>
                <w:rFonts w:hint="eastAsia" w:ascii="宋体" w:hAnsi="宋体"/>
                <w:szCs w:val="21"/>
                <w:lang w:val="en-GB"/>
              </w:rPr>
            </w:pPr>
          </w:p>
        </w:tc>
        <w:tc>
          <w:tcPr>
            <w:tcW w:w="1760" w:type="dxa"/>
            <w:noWrap w:val="0"/>
            <w:vAlign w:val="center"/>
          </w:tcPr>
          <w:p>
            <w:pPr>
              <w:tabs>
                <w:tab w:val="left" w:pos="1260"/>
              </w:tabs>
              <w:jc w:val="center"/>
              <w:rPr>
                <w:rFonts w:hint="eastAsia" w:ascii="宋体" w:hAnsi="宋体"/>
                <w:szCs w:val="21"/>
                <w:lang w:val="en-GB"/>
              </w:rPr>
            </w:pPr>
          </w:p>
        </w:tc>
        <w:tc>
          <w:tcPr>
            <w:tcW w:w="1747" w:type="dxa"/>
            <w:noWrap w:val="0"/>
            <w:vAlign w:val="center"/>
          </w:tcPr>
          <w:p>
            <w:pPr>
              <w:tabs>
                <w:tab w:val="left" w:pos="1260"/>
              </w:tabs>
              <w:jc w:val="cente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 w:type="dxa"/>
            <w:vMerge w:val="continue"/>
            <w:noWrap w:val="0"/>
            <w:vAlign w:val="center"/>
          </w:tcPr>
          <w:p>
            <w:pPr>
              <w:tabs>
                <w:tab w:val="left" w:pos="1260"/>
              </w:tabs>
              <w:jc w:val="center"/>
              <w:rPr>
                <w:rFonts w:hint="eastAsia" w:ascii="宋体" w:hAnsi="宋体"/>
                <w:szCs w:val="21"/>
                <w:lang w:val="en-GB"/>
              </w:rPr>
            </w:pPr>
          </w:p>
        </w:tc>
        <w:tc>
          <w:tcPr>
            <w:tcW w:w="2823" w:type="dxa"/>
            <w:noWrap w:val="0"/>
            <w:vAlign w:val="center"/>
          </w:tcPr>
          <w:p>
            <w:pPr>
              <w:tabs>
                <w:tab w:val="left" w:pos="1260"/>
              </w:tabs>
              <w:jc w:val="center"/>
              <w:rPr>
                <w:rFonts w:hint="eastAsia" w:ascii="宋体" w:hAnsi="宋体"/>
                <w:szCs w:val="21"/>
                <w:lang w:val="en-GB"/>
              </w:rPr>
            </w:pPr>
          </w:p>
        </w:tc>
        <w:tc>
          <w:tcPr>
            <w:tcW w:w="2217" w:type="dxa"/>
            <w:noWrap w:val="0"/>
            <w:vAlign w:val="center"/>
          </w:tcPr>
          <w:p>
            <w:pPr>
              <w:tabs>
                <w:tab w:val="left" w:pos="1260"/>
              </w:tabs>
              <w:jc w:val="center"/>
              <w:rPr>
                <w:rFonts w:hint="eastAsia" w:ascii="宋体" w:hAnsi="宋体"/>
                <w:szCs w:val="21"/>
                <w:lang w:val="en-GB"/>
              </w:rPr>
            </w:pPr>
          </w:p>
        </w:tc>
        <w:tc>
          <w:tcPr>
            <w:tcW w:w="1760" w:type="dxa"/>
            <w:noWrap w:val="0"/>
            <w:vAlign w:val="center"/>
          </w:tcPr>
          <w:p>
            <w:pPr>
              <w:tabs>
                <w:tab w:val="left" w:pos="1260"/>
              </w:tabs>
              <w:jc w:val="center"/>
              <w:rPr>
                <w:rFonts w:hint="eastAsia" w:ascii="宋体" w:hAnsi="宋体"/>
                <w:szCs w:val="21"/>
                <w:lang w:val="en-GB"/>
              </w:rPr>
            </w:pPr>
          </w:p>
        </w:tc>
        <w:tc>
          <w:tcPr>
            <w:tcW w:w="1747" w:type="dxa"/>
            <w:noWrap w:val="0"/>
            <w:vAlign w:val="center"/>
          </w:tcPr>
          <w:p>
            <w:pPr>
              <w:tabs>
                <w:tab w:val="left" w:pos="1260"/>
              </w:tabs>
              <w:jc w:val="cente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 w:type="dxa"/>
            <w:vMerge w:val="restart"/>
            <w:noWrap w:val="0"/>
            <w:vAlign w:val="center"/>
          </w:tcPr>
          <w:p>
            <w:pPr>
              <w:tabs>
                <w:tab w:val="left" w:pos="1260"/>
              </w:tabs>
              <w:jc w:val="center"/>
              <w:rPr>
                <w:rFonts w:hint="eastAsia" w:ascii="宋体" w:hAnsi="宋体"/>
                <w:szCs w:val="21"/>
                <w:lang w:val="en-GB"/>
              </w:rPr>
            </w:pPr>
            <w:r>
              <w:rPr>
                <w:rFonts w:hint="eastAsia" w:ascii="宋体" w:hAnsi="宋体"/>
                <w:szCs w:val="21"/>
                <w:lang w:val="en-GB"/>
              </w:rPr>
              <w:t>环保</w:t>
            </w:r>
            <w:r>
              <w:rPr>
                <w:rFonts w:ascii="宋体" w:hAnsi="宋体"/>
                <w:szCs w:val="21"/>
                <w:lang w:val="en-GB"/>
              </w:rPr>
              <w:br w:type="textWrapping"/>
            </w:r>
            <w:r>
              <w:rPr>
                <w:rFonts w:hint="eastAsia" w:ascii="宋体" w:hAnsi="宋体"/>
                <w:szCs w:val="21"/>
                <w:lang w:val="en-GB"/>
              </w:rPr>
              <w:t>标志</w:t>
            </w:r>
            <w:r>
              <w:rPr>
                <w:rFonts w:ascii="宋体" w:hAnsi="宋体"/>
                <w:szCs w:val="21"/>
                <w:lang w:val="en-GB"/>
              </w:rPr>
              <w:br w:type="textWrapping"/>
            </w:r>
            <w:r>
              <w:rPr>
                <w:rFonts w:hint="eastAsia" w:ascii="宋体" w:hAnsi="宋体"/>
                <w:szCs w:val="21"/>
                <w:lang w:val="en-GB"/>
              </w:rPr>
              <w:t>产品</w:t>
            </w:r>
          </w:p>
        </w:tc>
        <w:tc>
          <w:tcPr>
            <w:tcW w:w="2823" w:type="dxa"/>
            <w:noWrap w:val="0"/>
            <w:vAlign w:val="center"/>
          </w:tcPr>
          <w:p>
            <w:pPr>
              <w:tabs>
                <w:tab w:val="left" w:pos="1260"/>
              </w:tabs>
              <w:jc w:val="center"/>
              <w:rPr>
                <w:rFonts w:hint="eastAsia" w:ascii="宋体" w:hAnsi="宋体"/>
                <w:szCs w:val="21"/>
                <w:lang w:val="en-GB"/>
              </w:rPr>
            </w:pPr>
          </w:p>
        </w:tc>
        <w:tc>
          <w:tcPr>
            <w:tcW w:w="2217" w:type="dxa"/>
            <w:noWrap w:val="0"/>
            <w:vAlign w:val="center"/>
          </w:tcPr>
          <w:p>
            <w:pPr>
              <w:tabs>
                <w:tab w:val="left" w:pos="1260"/>
              </w:tabs>
              <w:jc w:val="center"/>
              <w:rPr>
                <w:rFonts w:hint="eastAsia" w:ascii="宋体" w:hAnsi="宋体"/>
                <w:szCs w:val="21"/>
                <w:lang w:val="en-GB"/>
              </w:rPr>
            </w:pPr>
          </w:p>
        </w:tc>
        <w:tc>
          <w:tcPr>
            <w:tcW w:w="1760" w:type="dxa"/>
            <w:noWrap w:val="0"/>
            <w:vAlign w:val="center"/>
          </w:tcPr>
          <w:p>
            <w:pPr>
              <w:tabs>
                <w:tab w:val="left" w:pos="1260"/>
              </w:tabs>
              <w:jc w:val="center"/>
              <w:rPr>
                <w:rFonts w:hint="eastAsia" w:ascii="宋体" w:hAnsi="宋体"/>
                <w:szCs w:val="21"/>
                <w:lang w:val="en-GB"/>
              </w:rPr>
            </w:pPr>
          </w:p>
        </w:tc>
        <w:tc>
          <w:tcPr>
            <w:tcW w:w="1747" w:type="dxa"/>
            <w:noWrap w:val="0"/>
            <w:vAlign w:val="center"/>
          </w:tcPr>
          <w:p>
            <w:pPr>
              <w:tabs>
                <w:tab w:val="left" w:pos="1260"/>
              </w:tabs>
              <w:jc w:val="cente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 w:type="dxa"/>
            <w:vMerge w:val="continue"/>
            <w:noWrap w:val="0"/>
            <w:vAlign w:val="center"/>
          </w:tcPr>
          <w:p>
            <w:pPr>
              <w:tabs>
                <w:tab w:val="left" w:pos="1260"/>
              </w:tabs>
              <w:jc w:val="center"/>
              <w:rPr>
                <w:rFonts w:hint="eastAsia" w:ascii="宋体" w:hAnsi="宋体"/>
                <w:szCs w:val="21"/>
                <w:lang w:val="en-GB"/>
              </w:rPr>
            </w:pPr>
          </w:p>
        </w:tc>
        <w:tc>
          <w:tcPr>
            <w:tcW w:w="2823" w:type="dxa"/>
            <w:noWrap w:val="0"/>
            <w:vAlign w:val="center"/>
          </w:tcPr>
          <w:p>
            <w:pPr>
              <w:tabs>
                <w:tab w:val="left" w:pos="1260"/>
              </w:tabs>
              <w:jc w:val="center"/>
              <w:rPr>
                <w:rFonts w:hint="eastAsia" w:ascii="宋体" w:hAnsi="宋体"/>
                <w:szCs w:val="21"/>
                <w:lang w:val="en-GB"/>
              </w:rPr>
            </w:pPr>
          </w:p>
        </w:tc>
        <w:tc>
          <w:tcPr>
            <w:tcW w:w="2217" w:type="dxa"/>
            <w:noWrap w:val="0"/>
            <w:vAlign w:val="center"/>
          </w:tcPr>
          <w:p>
            <w:pPr>
              <w:tabs>
                <w:tab w:val="left" w:pos="1260"/>
              </w:tabs>
              <w:jc w:val="center"/>
              <w:rPr>
                <w:rFonts w:hint="eastAsia" w:ascii="宋体" w:hAnsi="宋体"/>
                <w:szCs w:val="21"/>
                <w:lang w:val="en-GB"/>
              </w:rPr>
            </w:pPr>
          </w:p>
        </w:tc>
        <w:tc>
          <w:tcPr>
            <w:tcW w:w="1760" w:type="dxa"/>
            <w:noWrap w:val="0"/>
            <w:vAlign w:val="center"/>
          </w:tcPr>
          <w:p>
            <w:pPr>
              <w:tabs>
                <w:tab w:val="left" w:pos="1260"/>
              </w:tabs>
              <w:jc w:val="center"/>
              <w:rPr>
                <w:rFonts w:hint="eastAsia" w:ascii="宋体" w:hAnsi="宋体"/>
                <w:szCs w:val="21"/>
                <w:lang w:val="en-GB"/>
              </w:rPr>
            </w:pPr>
          </w:p>
        </w:tc>
        <w:tc>
          <w:tcPr>
            <w:tcW w:w="1747" w:type="dxa"/>
            <w:noWrap w:val="0"/>
            <w:vAlign w:val="center"/>
          </w:tcPr>
          <w:p>
            <w:pPr>
              <w:tabs>
                <w:tab w:val="left" w:pos="1260"/>
              </w:tabs>
              <w:jc w:val="cente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 w:type="dxa"/>
            <w:vMerge w:val="continue"/>
            <w:noWrap w:val="0"/>
            <w:vAlign w:val="center"/>
          </w:tcPr>
          <w:p>
            <w:pPr>
              <w:tabs>
                <w:tab w:val="left" w:pos="1260"/>
              </w:tabs>
              <w:jc w:val="center"/>
              <w:rPr>
                <w:rFonts w:hint="eastAsia" w:ascii="宋体" w:hAnsi="宋体"/>
                <w:szCs w:val="21"/>
                <w:lang w:val="en-GB"/>
              </w:rPr>
            </w:pPr>
          </w:p>
        </w:tc>
        <w:tc>
          <w:tcPr>
            <w:tcW w:w="2823" w:type="dxa"/>
            <w:noWrap w:val="0"/>
            <w:vAlign w:val="center"/>
          </w:tcPr>
          <w:p>
            <w:pPr>
              <w:tabs>
                <w:tab w:val="left" w:pos="1260"/>
              </w:tabs>
              <w:jc w:val="center"/>
              <w:rPr>
                <w:rFonts w:hint="eastAsia" w:ascii="宋体" w:hAnsi="宋体"/>
                <w:szCs w:val="21"/>
                <w:lang w:val="en-GB"/>
              </w:rPr>
            </w:pPr>
          </w:p>
        </w:tc>
        <w:tc>
          <w:tcPr>
            <w:tcW w:w="2217" w:type="dxa"/>
            <w:noWrap w:val="0"/>
            <w:vAlign w:val="center"/>
          </w:tcPr>
          <w:p>
            <w:pPr>
              <w:tabs>
                <w:tab w:val="left" w:pos="1260"/>
              </w:tabs>
              <w:jc w:val="center"/>
              <w:rPr>
                <w:rFonts w:hint="eastAsia" w:ascii="宋体" w:hAnsi="宋体"/>
                <w:szCs w:val="21"/>
                <w:lang w:val="en-GB"/>
              </w:rPr>
            </w:pPr>
          </w:p>
        </w:tc>
        <w:tc>
          <w:tcPr>
            <w:tcW w:w="1760" w:type="dxa"/>
            <w:noWrap w:val="0"/>
            <w:vAlign w:val="center"/>
          </w:tcPr>
          <w:p>
            <w:pPr>
              <w:tabs>
                <w:tab w:val="left" w:pos="1260"/>
              </w:tabs>
              <w:jc w:val="center"/>
              <w:rPr>
                <w:rFonts w:hint="eastAsia" w:ascii="宋体" w:hAnsi="宋体"/>
                <w:szCs w:val="21"/>
                <w:lang w:val="en-GB"/>
              </w:rPr>
            </w:pPr>
          </w:p>
        </w:tc>
        <w:tc>
          <w:tcPr>
            <w:tcW w:w="1747" w:type="dxa"/>
            <w:noWrap w:val="0"/>
            <w:vAlign w:val="center"/>
          </w:tcPr>
          <w:p>
            <w:pPr>
              <w:tabs>
                <w:tab w:val="left" w:pos="1260"/>
              </w:tabs>
              <w:jc w:val="cente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 w:type="dxa"/>
            <w:noWrap w:val="0"/>
            <w:vAlign w:val="center"/>
          </w:tcPr>
          <w:p>
            <w:pPr>
              <w:tabs>
                <w:tab w:val="left" w:pos="1260"/>
              </w:tabs>
              <w:jc w:val="center"/>
              <w:rPr>
                <w:rFonts w:hint="eastAsia" w:ascii="宋体" w:hAnsi="宋体"/>
                <w:szCs w:val="21"/>
                <w:lang w:val="en-GB"/>
              </w:rPr>
            </w:pPr>
            <w:r>
              <w:rPr>
                <w:rFonts w:hint="eastAsia" w:ascii="宋体" w:hAnsi="宋体"/>
                <w:szCs w:val="21"/>
                <w:lang w:val="en-GB"/>
              </w:rPr>
              <w:t>说明</w:t>
            </w:r>
          </w:p>
        </w:tc>
        <w:tc>
          <w:tcPr>
            <w:tcW w:w="8547" w:type="dxa"/>
            <w:gridSpan w:val="4"/>
            <w:noWrap w:val="0"/>
            <w:vAlign w:val="center"/>
          </w:tcPr>
          <w:p>
            <w:pPr>
              <w:tabs>
                <w:tab w:val="left" w:pos="1260"/>
              </w:tabs>
              <w:rPr>
                <w:rFonts w:hint="eastAsia" w:ascii="宋体" w:hAnsi="宋体"/>
                <w:szCs w:val="21"/>
                <w:lang w:val="en-GB"/>
              </w:rPr>
            </w:pPr>
          </w:p>
        </w:tc>
      </w:tr>
    </w:tbl>
    <w:p>
      <w:pPr>
        <w:spacing w:line="360" w:lineRule="auto"/>
        <w:rPr>
          <w:rFonts w:hint="eastAsia" w:ascii="宋体" w:hAnsi="宋体"/>
          <w:szCs w:val="21"/>
          <w:lang w:val="en-GB"/>
        </w:rPr>
      </w:pPr>
      <w:r>
        <w:rPr>
          <w:rFonts w:hint="eastAsia" w:ascii="宋体" w:hAnsi="宋体"/>
          <w:szCs w:val="21"/>
          <w:lang w:val="en-GB"/>
        </w:rPr>
        <w:t>注：1.属于政府采购节能产品、环境标志产品品目清单中的产品，须提供国家确定的认证机构出具的、处于有效期之内的节能产品、环境标志产品认证证书（复印件，加盖报</w:t>
      </w:r>
      <w:r>
        <w:rPr>
          <w:rFonts w:hint="eastAsia" w:ascii="宋体" w:hAnsi="宋体"/>
          <w:szCs w:val="21"/>
        </w:rPr>
        <w:t>价供应商公章）</w:t>
      </w:r>
      <w:r>
        <w:rPr>
          <w:rFonts w:hint="eastAsia" w:ascii="宋体" w:hAnsi="宋体"/>
          <w:szCs w:val="21"/>
          <w:lang w:val="en-GB"/>
        </w:rPr>
        <w:t>：</w:t>
      </w:r>
    </w:p>
    <w:p>
      <w:pPr>
        <w:spacing w:line="360" w:lineRule="auto"/>
        <w:rPr>
          <w:rFonts w:hint="eastAsia" w:ascii="宋体" w:hAnsi="宋体"/>
          <w:szCs w:val="21"/>
          <w:lang w:val="en-GB"/>
        </w:rPr>
      </w:pPr>
      <w:r>
        <w:rPr>
          <w:rFonts w:hint="eastAsia" w:ascii="宋体" w:hAnsi="宋体"/>
          <w:szCs w:val="21"/>
          <w:lang w:val="en-GB"/>
        </w:rPr>
        <w:t>2、报价中“该产品报价占总报价比重”视作不变。</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spacing w:line="360" w:lineRule="auto"/>
        <w:rPr>
          <w:rFonts w:hint="eastAsia"/>
          <w:szCs w:val="21"/>
        </w:rPr>
      </w:pPr>
      <w:r>
        <w:rPr>
          <w:rFonts w:hint="eastAsia"/>
          <w:szCs w:val="21"/>
        </w:rPr>
        <w:t>投标人法定代表人（或法定代表人授权代表）签字或盖章：</w:t>
      </w:r>
      <w:r>
        <w:rPr>
          <w:rFonts w:hint="eastAsia"/>
          <w:szCs w:val="21"/>
          <w:u w:val="single"/>
        </w:rPr>
        <w:t xml:space="preserve">                   </w:t>
      </w:r>
    </w:p>
    <w:p>
      <w:pPr>
        <w:spacing w:line="360" w:lineRule="auto"/>
        <w:rPr>
          <w:rFonts w:hint="eastAsia"/>
          <w:szCs w:val="21"/>
          <w:u w:val="single"/>
        </w:rPr>
      </w:pPr>
      <w:r>
        <w:rPr>
          <w:rFonts w:hint="eastAsia"/>
          <w:szCs w:val="21"/>
        </w:rPr>
        <w:t>投标人名称（盖章）：</w:t>
      </w:r>
      <w:r>
        <w:rPr>
          <w:rFonts w:hint="eastAsia"/>
          <w:szCs w:val="21"/>
          <w:u w:val="single"/>
        </w:rPr>
        <w:t xml:space="preserve">                        </w:t>
      </w:r>
    </w:p>
    <w:p>
      <w:pPr>
        <w:spacing w:line="360" w:lineRule="auto"/>
        <w:rPr>
          <w:rFonts w:hint="eastAsia"/>
          <w:szCs w:val="21"/>
        </w:rPr>
      </w:pPr>
      <w:r>
        <w:rPr>
          <w:rFonts w:hint="eastAsia"/>
          <w:szCs w:val="21"/>
        </w:rPr>
        <w:t>日期：   年   月   日</w:t>
      </w:r>
    </w:p>
    <w:p>
      <w:pPr>
        <w:pStyle w:val="4"/>
        <w:sectPr>
          <w:pgSz w:w="11910" w:h="16840"/>
          <w:pgMar w:top="1460" w:right="1680" w:bottom="1160" w:left="1680" w:header="0" w:footer="978" w:gutter="0"/>
          <w:cols w:space="720" w:num="1"/>
        </w:sectPr>
      </w:pPr>
    </w:p>
    <w:p>
      <w:pPr>
        <w:ind w:left="120"/>
        <w:rPr>
          <w:rFonts w:ascii="宋体" w:hAnsi="宋体" w:cs="宋体"/>
          <w:sz w:val="24"/>
          <w:szCs w:val="24"/>
        </w:rPr>
      </w:pPr>
      <w:r>
        <w:rPr>
          <w:rFonts w:ascii="宋体" w:hAnsi="宋体" w:cs="宋体"/>
          <w:b/>
          <w:bCs/>
          <w:sz w:val="24"/>
          <w:szCs w:val="24"/>
        </w:rPr>
        <w:t>投标人认为有必要提供的其他资料</w:t>
      </w:r>
    </w:p>
    <w:p>
      <w:pPr>
        <w:widowControl/>
        <w:spacing w:line="360" w:lineRule="auto"/>
        <w:jc w:val="center"/>
      </w:pPr>
    </w:p>
    <w:p/>
    <w:p/>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律师顾问团" w:date="2023-11-23T18:09:59Z" w:initials="">
    <w:p w14:paraId="41BB5AF1">
      <w:pPr>
        <w:pStyle w:val="9"/>
        <w:rPr>
          <w:rFonts w:hint="default" w:eastAsia="宋体"/>
          <w:lang w:val="en-US" w:eastAsia="zh-CN"/>
        </w:rPr>
      </w:pPr>
      <w:r>
        <w:rPr>
          <w:rFonts w:hint="eastAsia"/>
          <w:lang w:val="en-US" w:eastAsia="zh-CN"/>
        </w:rPr>
        <w:t>建议根据采购需求的内容填妥。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BB5A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180"/>
        <w:tab w:val="clear" w:pos="8306"/>
      </w:tabs>
      <w:ind w:left="-523" w:leftChars="-249" w:right="-868" w:firstLine="630" w:firstLineChars="300"/>
      <w:rPr>
        <w:rFonts w:hint="eastAsia" w:ascii="仿宋" w:hAnsi="仿宋" w:eastAsia="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3726815</wp:posOffset>
              </wp:positionH>
              <wp:positionV relativeFrom="page">
                <wp:posOffset>9931400</wp:posOffset>
              </wp:positionV>
              <wp:extent cx="107950" cy="1397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a:effectLst/>
                    </wps:spPr>
                    <wps:txbx>
                      <w:txbxContent>
                        <w:p>
                          <w:pPr>
                            <w:spacing w:line="204" w:lineRule="exact"/>
                            <w:ind w:left="40"/>
                            <w:rPr>
                              <w:rFonts w:ascii="Times New Roman" w:hAnsi="Times New Roman" w:eastAsia="Times New Roman"/>
                              <w:sz w:val="18"/>
                              <w:szCs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45pt;margin-top:782pt;height:11pt;width:8.5pt;mso-position-horizontal-relative:page;mso-position-vertical-relative:page;z-index:-251656192;mso-width-relative:page;mso-height-relative:page;" filled="f" stroked="f" coordsize="21600,21600" o:gfxdata="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67rT9kAAAANAQAADwAAAAAAAAABACAAAAAiAAAAZHJzL2Rvd25yZXYueG1s&#10;UEsBAhQAFAAAAAgAh07iQM77ju6+AQAAgQMAAA4AAAAAAAAAAQAgAAAAKAEAAGRycy9lMm9Eb2Mu&#10;eG1sUEsFBgAAAAAGAAYAWQEAAFgFAAAAAA==&#10;">
              <v:fill on="f" focussize="0,0"/>
              <v:stroke on="f"/>
              <v:imagedata o:title=""/>
              <o:lock v:ext="edit" aspectratio="f"/>
              <v:textbox inset="0mm,0mm,0mm,0mm">
                <w:txbxContent>
                  <w:p>
                    <w:pPr>
                      <w:spacing w:line="204" w:lineRule="exact"/>
                      <w:ind w:left="40"/>
                      <w:rPr>
                        <w:rFonts w:ascii="Times New Roman" w:hAnsi="Times New Roman" w:eastAsia="Times New Roman"/>
                        <w:sz w:val="18"/>
                        <w:szCs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9931400</wp:posOffset>
              </wp:positionV>
              <wp:extent cx="16637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04" w:lineRule="exact"/>
                            <w:ind w:left="40"/>
                            <w:rPr>
                              <w:rFonts w:ascii="Times New Roman" w:hAnsi="Times New Roman" w:eastAsia="Times New Roman"/>
                              <w:sz w:val="18"/>
                              <w:szCs w:val="18"/>
                            </w:rPr>
                          </w:pPr>
                          <w:r>
                            <w:fldChar w:fldCharType="begin"/>
                          </w:r>
                          <w:r>
                            <w:rPr>
                              <w:rFonts w:ascii="Times New Roman"/>
                              <w:sz w:val="18"/>
                            </w:rPr>
                            <w:instrText xml:space="preserve"> PAGE </w:instrText>
                          </w:r>
                          <w:r>
                            <w:fldChar w:fldCharType="separate"/>
                          </w:r>
                          <w:r>
                            <w:rPr>
                              <w:rFonts w:ascii="Times New Roman"/>
                              <w:sz w:val="18"/>
                            </w:rPr>
                            <w:t>43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2pt;height:11pt;width:13.1pt;mso-position-horizontal-relative:page;mso-position-vertical-relative:page;z-index:-251655168;mso-width-relative:page;mso-height-relative:page;" filled="f" stroked="f" coordsize="21600,21600" o:gfxdata="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c94NfaAAAADQEAAA8AAAAAAAAAAQAgAAAAIgAAAGRycy9kb3ducmV2Lnht&#10;bFBLAQIUABQAAAAIAIdO4kDnMlebvgEAAH8DAAAOAAAAAAAAAAEAIAAAACkBAABkcnMvZTJvRG9j&#10;LnhtbFBLBQYAAAAABgAGAFkBAABZBQAAAAA=&#10;">
              <v:fill on="f" focussize="0,0"/>
              <v:stroke on="f"/>
              <v:imagedata o:title=""/>
              <o:lock v:ext="edit" aspectratio="f"/>
              <v:textbox inset="0mm,0mm,0mm,0mm">
                <w:txbxContent>
                  <w:p>
                    <w:pPr>
                      <w:spacing w:line="204" w:lineRule="exact"/>
                      <w:ind w:left="40"/>
                      <w:rPr>
                        <w:rFonts w:ascii="Times New Roman" w:hAnsi="Times New Roman" w:eastAsia="Times New Roman"/>
                        <w:sz w:val="18"/>
                        <w:szCs w:val="18"/>
                      </w:rPr>
                    </w:pPr>
                    <w:r>
                      <w:fldChar w:fldCharType="begin"/>
                    </w:r>
                    <w:r>
                      <w:rPr>
                        <w:rFonts w:ascii="Times New Roman"/>
                        <w:sz w:val="18"/>
                      </w:rPr>
                      <w:instrText xml:space="preserve"> PAGE </w:instrText>
                    </w:r>
                    <w:r>
                      <w:fldChar w:fldCharType="separate"/>
                    </w:r>
                    <w:r>
                      <w:rPr>
                        <w:rFonts w:ascii="Times New Roman"/>
                        <w:sz w:val="18"/>
                      </w:rP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707"/>
      </w:tabs>
      <w:spacing w:line="360" w:lineRule="auto"/>
      <w:rPr>
        <w:rFonts w:hint="eastAsia" w:ascii="宋体" w:hAnsi="宋体"/>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2EFC5"/>
    <w:multiLevelType w:val="singleLevel"/>
    <w:tmpl w:val="D252EFC5"/>
    <w:lvl w:ilvl="0" w:tentative="0">
      <w:start w:val="1"/>
      <w:numFmt w:val="decimal"/>
      <w:suff w:val="space"/>
      <w:lvlText w:val="%1."/>
      <w:lvlJc w:val="left"/>
    </w:lvl>
  </w:abstractNum>
  <w:abstractNum w:abstractNumId="1">
    <w:nsid w:val="00000013"/>
    <w:multiLevelType w:val="multilevel"/>
    <w:tmpl w:val="00000013"/>
    <w:lvl w:ilvl="0" w:tentative="0">
      <w:start w:val="1"/>
      <w:numFmt w:val="decimal"/>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1.%2.%3"/>
      <w:lvlJc w:val="left"/>
      <w:pPr>
        <w:tabs>
          <w:tab w:val="left" w:pos="720"/>
        </w:tabs>
        <w:ind w:left="720" w:hanging="720"/>
      </w:pPr>
      <w:rPr>
        <w:rFonts w:hint="eastAsia"/>
      </w:rPr>
    </w:lvl>
    <w:lvl w:ilvl="3" w:tentative="0">
      <w:start w:val="1"/>
      <w:numFmt w:val="decimal"/>
      <w:pStyle w:val="7"/>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400C500D"/>
    <w:multiLevelType w:val="multilevel"/>
    <w:tmpl w:val="400C500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B6C0F6"/>
    <w:multiLevelType w:val="singleLevel"/>
    <w:tmpl w:val="58B6C0F6"/>
    <w:lvl w:ilvl="0" w:tentative="0">
      <w:start w:val="1"/>
      <w:numFmt w:val="decimal"/>
      <w:suff w:val="nothing"/>
      <w:lvlText w:val="%1、"/>
      <w:lvlJc w:val="left"/>
      <w:pPr>
        <w:ind w:left="0" w:firstLine="420"/>
      </w:pPr>
      <w:rPr>
        <w:rFonts w:hint="default"/>
        <w:b w:val="0"/>
      </w:rPr>
    </w:lvl>
  </w:abstractNum>
  <w:abstractNum w:abstractNumId="4">
    <w:nsid w:val="60008C5E"/>
    <w:multiLevelType w:val="singleLevel"/>
    <w:tmpl w:val="60008C5E"/>
    <w:lvl w:ilvl="0" w:tentative="0">
      <w:start w:val="1"/>
      <w:numFmt w:val="decimal"/>
      <w:suff w:val="nothing"/>
      <w:lvlText w:val="%1．"/>
      <w:lvlJc w:val="left"/>
      <w:pPr>
        <w:ind w:left="0" w:firstLine="400"/>
      </w:pPr>
      <w:rPr>
        <w:rFonts w:hint="default"/>
      </w:rPr>
    </w:lvl>
  </w:abstractNum>
  <w:abstractNum w:abstractNumId="5">
    <w:nsid w:val="60008CFF"/>
    <w:multiLevelType w:val="singleLevel"/>
    <w:tmpl w:val="60008CFF"/>
    <w:lvl w:ilvl="0" w:tentative="0">
      <w:start w:val="1"/>
      <w:numFmt w:val="decimal"/>
      <w:suff w:val="nothing"/>
      <w:lvlText w:val="（%1）"/>
      <w:lvlJc w:val="left"/>
      <w:pPr>
        <w:ind w:left="0" w:firstLine="420"/>
      </w:pPr>
      <w:rPr>
        <w:rFonts w:hint="default"/>
      </w:rPr>
    </w:lvl>
  </w:abstractNum>
  <w:abstractNum w:abstractNumId="6">
    <w:nsid w:val="60008D1D"/>
    <w:multiLevelType w:val="singleLevel"/>
    <w:tmpl w:val="60008D1D"/>
    <w:lvl w:ilvl="0" w:tentative="0">
      <w:start w:val="1"/>
      <w:numFmt w:val="decimal"/>
      <w:suff w:val="nothing"/>
      <w:lvlText w:val="（%1）"/>
      <w:lvlJc w:val="left"/>
      <w:pPr>
        <w:ind w:left="0" w:firstLine="420"/>
      </w:pPr>
      <w:rPr>
        <w:rFonts w:hint="default"/>
      </w:rPr>
    </w:lvl>
  </w:abstractNum>
  <w:abstractNum w:abstractNumId="7">
    <w:nsid w:val="60008D40"/>
    <w:multiLevelType w:val="singleLevel"/>
    <w:tmpl w:val="60008D40"/>
    <w:lvl w:ilvl="0" w:tentative="0">
      <w:start w:val="1"/>
      <w:numFmt w:val="decimal"/>
      <w:suff w:val="nothing"/>
      <w:lvlText w:val="（%1）"/>
      <w:lvlJc w:val="left"/>
      <w:pPr>
        <w:ind w:left="0" w:firstLine="420"/>
      </w:pPr>
      <w:rPr>
        <w:rFonts w:hint="default"/>
      </w:rPr>
    </w:lvl>
  </w:abstractNum>
  <w:abstractNum w:abstractNumId="8">
    <w:nsid w:val="6E421B9F"/>
    <w:multiLevelType w:val="multilevel"/>
    <w:tmpl w:val="6E421B9F"/>
    <w:lvl w:ilvl="0" w:tentative="0">
      <w:start w:val="1"/>
      <w:numFmt w:val="chineseCountingThousand"/>
      <w:lvlText w:val="%1、"/>
      <w:lvlJc w:val="left"/>
      <w:pPr>
        <w:ind w:left="1131" w:hanging="705"/>
      </w:pPr>
      <w:rPr>
        <w:rFonts w:hint="eastAsia" w:asci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740AE4D2"/>
    <w:multiLevelType w:val="singleLevel"/>
    <w:tmpl w:val="740AE4D2"/>
    <w:lvl w:ilvl="0" w:tentative="0">
      <w:start w:val="1"/>
      <w:numFmt w:val="decimal"/>
      <w:suff w:val="space"/>
      <w:lvlText w:val="%1."/>
      <w:lvlJc w:val="left"/>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6"/>
  </w:num>
  <w:num w:numId="8">
    <w:abstractNumId w:val="8"/>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律师顾问团">
    <w15:presenceInfo w15:providerId="None" w15:userId="律师顾问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MjM0NmVjM2E1YTJjZjViOTI1YTZjMzYxYzg1ZTIifQ=="/>
  </w:docVars>
  <w:rsids>
    <w:rsidRoot w:val="7CB6658A"/>
    <w:rsid w:val="1F184345"/>
    <w:rsid w:val="51FF0996"/>
    <w:rsid w:val="7CB6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kern w:val="44"/>
      <w:sz w:val="48"/>
      <w:szCs w:val="48"/>
      <w:lang w:val="en-US" w:eastAsia="zh-CN" w:bidi="ar"/>
    </w:rPr>
  </w:style>
  <w:style w:type="paragraph" w:styleId="5">
    <w:name w:val="heading 2"/>
    <w:basedOn w:val="1"/>
    <w:next w:val="1"/>
    <w:qFormat/>
    <w:uiPriority w:val="9"/>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1"/>
    <w:pPr>
      <w:spacing w:before="133"/>
      <w:ind w:left="120"/>
      <w:outlineLvl w:val="2"/>
    </w:pPr>
    <w:rPr>
      <w:rFonts w:ascii="宋体" w:hAnsi="宋体" w:eastAsia="宋体"/>
      <w:b/>
      <w:bCs/>
      <w:sz w:val="21"/>
      <w:szCs w:val="21"/>
    </w:rPr>
  </w:style>
  <w:style w:type="paragraph" w:styleId="7">
    <w:name w:val="heading 4"/>
    <w:basedOn w:val="1"/>
    <w:next w:val="1"/>
    <w:qFormat/>
    <w:uiPriority w:val="0"/>
    <w:pPr>
      <w:keepNext/>
      <w:keepLines/>
      <w:numPr>
        <w:ilvl w:val="3"/>
        <w:numId w:val="1"/>
      </w:numPr>
      <w:spacing w:before="280" w:after="290" w:line="372"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qFormat/>
    <w:uiPriority w:val="0"/>
    <w:pPr>
      <w:spacing w:after="120"/>
      <w:ind w:left="420" w:leftChars="200"/>
    </w:pPr>
    <w:rPr>
      <w:sz w:val="16"/>
      <w:szCs w:val="16"/>
    </w:rPr>
  </w:style>
  <w:style w:type="paragraph" w:styleId="8">
    <w:name w:val="Normal Indent"/>
    <w:basedOn w:val="1"/>
    <w:qFormat/>
    <w:uiPriority w:val="0"/>
    <w:pPr>
      <w:widowControl/>
      <w:spacing w:before="100" w:beforeAutospacing="1" w:after="100" w:afterAutospacing="1"/>
      <w:jc w:val="left"/>
    </w:pPr>
    <w:rPr>
      <w:rFonts w:ascii="宋体" w:hAnsi="宋体" w:eastAsia="宋体" w:cs="宋体"/>
      <w:sz w:val="24"/>
      <w:szCs w:val="24"/>
    </w:rPr>
  </w:style>
  <w:style w:type="paragraph" w:styleId="9">
    <w:name w:val="annotation text"/>
    <w:basedOn w:val="1"/>
    <w:qFormat/>
    <w:uiPriority w:val="0"/>
    <w:pPr>
      <w:jc w:val="left"/>
    </w:pPr>
  </w:style>
  <w:style w:type="paragraph" w:styleId="10">
    <w:name w:val="Body Text"/>
    <w:basedOn w:val="1"/>
    <w:qFormat/>
    <w:uiPriority w:val="0"/>
    <w:pPr>
      <w:spacing w:after="120"/>
    </w:pPr>
    <w:rPr>
      <w:szCs w:val="24"/>
    </w:r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4">
    <w:name w:val="Title"/>
    <w:basedOn w:val="1"/>
    <w:qFormat/>
    <w:uiPriority w:val="0"/>
    <w:pPr>
      <w:spacing w:before="1"/>
      <w:ind w:left="1329" w:right="1471"/>
      <w:jc w:val="center"/>
    </w:pPr>
    <w:rPr>
      <w:rFonts w:ascii="楷体" w:hAnsi="楷体" w:eastAsia="楷体" w:cs="楷体"/>
      <w:b/>
      <w:bCs/>
      <w:sz w:val="70"/>
      <w:szCs w:val="70"/>
    </w:rPr>
  </w:style>
  <w:style w:type="character" w:styleId="17">
    <w:name w:val="annotation reference"/>
    <w:qFormat/>
    <w:uiPriority w:val="0"/>
    <w:rPr>
      <w:sz w:val="21"/>
      <w:szCs w:val="21"/>
    </w:rPr>
  </w:style>
  <w:style w:type="paragraph" w:customStyle="1" w:styleId="18">
    <w:name w:val="Table Paragraph"/>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2023-11-24T07:32:00Z</dcterms:created>
  <dc:creator>彭靖洲</dc:creator>
  <cp:lastModifiedBy>彭靖洲</cp:lastModifiedBy>
  <dcterms:modified xsi:type="dcterms:W3CDTF">2023-11-24T07:39:57Z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427EDEE45966440DA2336EB8766F2773_11</vt:lpwstr>
  </property>
</Properties>
</file>