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 w:val="32"/>
          <w:szCs w:val="32"/>
        </w:rPr>
      </w:pPr>
    </w:p>
    <w:p>
      <w:pPr>
        <w:pStyle w:val="5"/>
        <w:rPr>
          <w:sz w:val="32"/>
          <w:szCs w:val="32"/>
        </w:rPr>
      </w:pPr>
    </w:p>
    <w:p>
      <w:pPr>
        <w:pStyle w:val="5"/>
        <w:rPr>
          <w:sz w:val="32"/>
          <w:szCs w:val="32"/>
        </w:rPr>
      </w:pPr>
    </w:p>
    <w:p>
      <w:pPr>
        <w:spacing w:line="594" w:lineRule="exact"/>
        <w:jc w:val="center"/>
        <w:rPr>
          <w:rFonts w:ascii="宋体" w:hAnsi="宋体"/>
          <w:b/>
          <w:bCs/>
          <w:spacing w:val="-30"/>
          <w:w w:val="90"/>
          <w:sz w:val="56"/>
          <w:szCs w:val="56"/>
        </w:rPr>
      </w:pPr>
      <w:r>
        <w:rPr>
          <w:rFonts w:hint="eastAsia" w:ascii="宋体" w:hAnsi="宋体"/>
          <w:b/>
          <w:bCs/>
          <w:spacing w:val="-30"/>
          <w:w w:val="90"/>
          <w:sz w:val="56"/>
          <w:szCs w:val="56"/>
        </w:rPr>
        <w:t>202</w:t>
      </w:r>
      <w:r>
        <w:rPr>
          <w:rFonts w:hint="eastAsia" w:ascii="宋体" w:hAnsi="宋体"/>
          <w:b/>
          <w:bCs/>
          <w:spacing w:val="-30"/>
          <w:w w:val="90"/>
          <w:sz w:val="56"/>
          <w:szCs w:val="56"/>
          <w:lang w:val="en-US" w:eastAsia="zh-CN"/>
        </w:rPr>
        <w:t>3</w:t>
      </w:r>
      <w:r>
        <w:rPr>
          <w:rFonts w:hint="eastAsia" w:ascii="宋体" w:hAnsi="宋体"/>
          <w:b/>
          <w:bCs/>
          <w:spacing w:val="-30"/>
          <w:w w:val="90"/>
          <w:sz w:val="56"/>
          <w:szCs w:val="56"/>
        </w:rPr>
        <w:t>年度全省消防救援队伍消防监督管理集中理论考试</w:t>
      </w:r>
      <w:r>
        <w:rPr>
          <w:rFonts w:ascii="宋体" w:hAnsi="宋体"/>
          <w:b/>
          <w:bCs/>
          <w:spacing w:val="-30"/>
          <w:w w:val="90"/>
          <w:sz w:val="56"/>
          <w:szCs w:val="56"/>
        </w:rPr>
        <w:t>采购</w:t>
      </w:r>
      <w:r>
        <w:rPr>
          <w:rFonts w:hint="eastAsia" w:ascii="宋体" w:hAnsi="宋体"/>
          <w:b/>
          <w:bCs/>
          <w:spacing w:val="-30"/>
          <w:w w:val="90"/>
          <w:sz w:val="56"/>
          <w:szCs w:val="56"/>
        </w:rPr>
        <w:t>项目</w:t>
      </w:r>
    </w:p>
    <w:p>
      <w:pPr>
        <w:pStyle w:val="17"/>
        <w:adjustRightInd/>
        <w:snapToGrid/>
        <w:spacing w:line="360" w:lineRule="auto"/>
        <w:ind w:left="1806" w:leftChars="860" w:firstLine="1285" w:firstLineChars="400"/>
        <w:rPr>
          <w:rFonts w:ascii="宋体" w:hAnsi="宋体" w:eastAsia="宋体" w:cs="宋体"/>
          <w:b/>
          <w:bCs/>
        </w:rPr>
      </w:pPr>
      <w:r>
        <w:rPr>
          <w:rFonts w:hint="eastAsia" w:ascii="宋体" w:hAnsi="宋体" w:eastAsia="宋体" w:cs="宋体"/>
          <w:b/>
          <w:bCs/>
        </w:rPr>
        <w:t>（项目编号</w:t>
      </w:r>
      <w:r>
        <w:rPr>
          <w:rFonts w:ascii="宋体" w:hAnsi="宋体" w:eastAsia="宋体" w:cs="宋体"/>
          <w:b/>
          <w:bCs/>
        </w:rPr>
        <w:t>：</w:t>
      </w:r>
      <w:r>
        <w:rPr>
          <w:rFonts w:hint="eastAsia" w:ascii="宋体" w:hAnsi="宋体" w:eastAsia="宋体" w:cs="宋体"/>
          <w:b/>
          <w:bCs/>
        </w:rPr>
        <w:t xml:space="preserve"> ）</w:t>
      </w:r>
      <w:bookmarkStart w:id="11" w:name="_GoBack"/>
      <w:bookmarkEnd w:id="11"/>
    </w:p>
    <w:p>
      <w:pPr>
        <w:tabs>
          <w:tab w:val="left" w:pos="720"/>
        </w:tabs>
        <w:spacing w:line="360" w:lineRule="auto"/>
        <w:jc w:val="center"/>
        <w:rPr>
          <w:rFonts w:ascii="宋体" w:hAnsi="宋体"/>
          <w:sz w:val="52"/>
          <w:szCs w:val="52"/>
        </w:rPr>
      </w:pPr>
    </w:p>
    <w:p>
      <w:pPr>
        <w:spacing w:line="360" w:lineRule="auto"/>
        <w:jc w:val="center"/>
        <w:rPr>
          <w:rFonts w:ascii="宋体" w:hAnsi="宋体"/>
          <w:b/>
          <w:bCs/>
          <w:spacing w:val="-30"/>
          <w:sz w:val="52"/>
          <w:szCs w:val="52"/>
        </w:rPr>
      </w:pPr>
      <w:r>
        <w:rPr>
          <w:rFonts w:hint="eastAsia" w:ascii="宋体" w:hAnsi="宋体"/>
          <w:b/>
          <w:bCs/>
          <w:spacing w:val="-30"/>
          <w:sz w:val="52"/>
          <w:szCs w:val="52"/>
        </w:rPr>
        <w:t>遴选文件</w:t>
      </w:r>
    </w:p>
    <w:p>
      <w:pPr>
        <w:spacing w:line="360" w:lineRule="auto"/>
        <w:jc w:val="center"/>
        <w:rPr>
          <w:rFonts w:ascii="宋体" w:hAnsi="宋体"/>
          <w:b/>
          <w:bCs/>
          <w:sz w:val="52"/>
          <w:szCs w:val="52"/>
        </w:rPr>
      </w:pPr>
    </w:p>
    <w:p>
      <w:pPr>
        <w:spacing w:line="360" w:lineRule="auto"/>
        <w:rPr>
          <w:rFonts w:ascii="宋体" w:hAnsi="宋体"/>
          <w:bCs/>
          <w:sz w:val="32"/>
          <w:szCs w:val="32"/>
        </w:rPr>
      </w:pPr>
    </w:p>
    <w:p>
      <w:pPr>
        <w:pStyle w:val="5"/>
      </w:pPr>
    </w:p>
    <w:p>
      <w:pPr>
        <w:spacing w:line="360" w:lineRule="auto"/>
        <w:rPr>
          <w:rFonts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采购人：广东省消防救援总队</w:t>
      </w:r>
    </w:p>
    <w:p>
      <w:pPr>
        <w:spacing w:line="360" w:lineRule="auto"/>
        <w:jc w:val="center"/>
        <w:rPr>
          <w:rFonts w:ascii="宋体" w:hAnsi="宋体"/>
          <w:b/>
          <w:bCs/>
          <w:sz w:val="32"/>
          <w:szCs w:val="32"/>
        </w:rPr>
      </w:pPr>
      <w:r>
        <w:rPr>
          <w:rFonts w:ascii="宋体" w:hAnsi="宋体"/>
          <w:b/>
          <w:bCs/>
          <w:sz w:val="32"/>
          <w:szCs w:val="32"/>
        </w:rPr>
        <w:t>202</w:t>
      </w:r>
      <w:r>
        <w:rPr>
          <w:rFonts w:hint="eastAsia" w:ascii="宋体" w:hAnsi="宋体"/>
          <w:b/>
          <w:bCs/>
          <w:sz w:val="32"/>
          <w:szCs w:val="32"/>
          <w:lang w:val="en-US" w:eastAsia="zh-CN"/>
        </w:rPr>
        <w:t>3</w:t>
      </w:r>
      <w:r>
        <w:rPr>
          <w:rFonts w:hint="eastAsia" w:ascii="宋体" w:hAnsi="宋体"/>
          <w:b/>
          <w:bCs/>
          <w:sz w:val="32"/>
          <w:szCs w:val="32"/>
        </w:rPr>
        <w:t>年</w:t>
      </w:r>
      <w:r>
        <w:rPr>
          <w:rFonts w:hint="eastAsia" w:ascii="宋体" w:hAnsi="宋体"/>
          <w:b/>
          <w:bCs/>
          <w:sz w:val="32"/>
          <w:szCs w:val="32"/>
          <w:lang w:val="en-US" w:eastAsia="zh-CN"/>
        </w:rPr>
        <w:t>11</w:t>
      </w:r>
      <w:r>
        <w:rPr>
          <w:rFonts w:hint="eastAsia" w:ascii="宋体" w:hAnsi="宋体"/>
          <w:b/>
          <w:bCs/>
          <w:sz w:val="32"/>
          <w:szCs w:val="32"/>
        </w:rPr>
        <w:t>月</w:t>
      </w:r>
    </w:p>
    <w:p>
      <w:pPr>
        <w:jc w:val="center"/>
        <w:rPr>
          <w:rFonts w:ascii="宋体" w:hAnsi="宋体"/>
          <w:b/>
          <w:sz w:val="32"/>
          <w:szCs w:val="32"/>
        </w:rPr>
        <w:sectPr>
          <w:headerReference r:id="rId3" w:type="default"/>
          <w:footerReference r:id="rId4" w:type="default"/>
          <w:pgSz w:w="11906" w:h="16838"/>
          <w:pgMar w:top="1440" w:right="1416" w:bottom="1440" w:left="1276" w:header="851" w:footer="992" w:gutter="0"/>
          <w:pgNumType w:start="0"/>
          <w:cols w:space="720" w:num="1"/>
          <w:docGrid w:type="lines" w:linePitch="312" w:charSpace="0"/>
        </w:sectPr>
      </w:pPr>
      <w:bookmarkStart w:id="0" w:name="_Toc370744755"/>
    </w:p>
    <w:bookmarkEnd w:id="0"/>
    <w:p>
      <w:pPr>
        <w:keepNext/>
        <w:keepLines/>
        <w:adjustRightInd w:val="0"/>
        <w:spacing w:line="400" w:lineRule="exact"/>
        <w:jc w:val="center"/>
        <w:textAlignment w:val="baseline"/>
        <w:outlineLvl w:val="1"/>
        <w:rPr>
          <w:rFonts w:ascii="宋体" w:hAnsi="宋体"/>
          <w:b/>
          <w:sz w:val="36"/>
          <w:szCs w:val="36"/>
        </w:rPr>
      </w:pPr>
      <w:bookmarkStart w:id="1" w:name="_Toc337541094"/>
      <w:bookmarkStart w:id="2" w:name="_Toc371172264"/>
      <w:r>
        <w:rPr>
          <w:rFonts w:hint="eastAsia" w:ascii="宋体" w:hAnsi="宋体" w:cs="Arial"/>
          <w:b/>
          <w:bCs/>
          <w:kern w:val="0"/>
          <w:sz w:val="36"/>
          <w:szCs w:val="36"/>
        </w:rPr>
        <w:t>第一</w:t>
      </w:r>
      <w:r>
        <w:rPr>
          <w:rFonts w:hint="eastAsia" w:ascii="宋体" w:hAnsi="宋体"/>
          <w:b/>
          <w:sz w:val="36"/>
          <w:szCs w:val="36"/>
        </w:rPr>
        <w:t>章  参评须知</w:t>
      </w:r>
      <w:bookmarkEnd w:id="1"/>
      <w:bookmarkEnd w:id="2"/>
    </w:p>
    <w:p>
      <w:pPr>
        <w:spacing w:line="400" w:lineRule="exact"/>
        <w:jc w:val="center"/>
        <w:rPr>
          <w:rFonts w:ascii="宋体" w:hAnsi="宋体"/>
          <w:b/>
          <w:sz w:val="28"/>
          <w:szCs w:val="28"/>
        </w:rPr>
      </w:pPr>
    </w:p>
    <w:p>
      <w:pPr>
        <w:spacing w:line="400" w:lineRule="exact"/>
        <w:jc w:val="center"/>
        <w:rPr>
          <w:rFonts w:ascii="宋体" w:hAnsi="宋体"/>
          <w:b/>
          <w:sz w:val="36"/>
          <w:szCs w:val="36"/>
        </w:rPr>
      </w:pPr>
      <w:r>
        <w:rPr>
          <w:rFonts w:hint="eastAsia" w:ascii="宋体" w:hAnsi="宋体"/>
          <w:b/>
          <w:sz w:val="36"/>
          <w:szCs w:val="36"/>
        </w:rPr>
        <w:t>参评须知前附表</w:t>
      </w:r>
    </w:p>
    <w:p>
      <w:pPr>
        <w:pStyle w:val="2"/>
        <w:spacing w:line="400" w:lineRule="exact"/>
        <w:rPr>
          <w:sz w:val="22"/>
          <w:szCs w:val="24"/>
        </w:rPr>
      </w:pPr>
    </w:p>
    <w:tbl>
      <w:tblPr>
        <w:tblStyle w:val="14"/>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60"/>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9"/>
              <w:adjustRightInd w:val="0"/>
              <w:snapToGrid w:val="0"/>
              <w:spacing w:line="400" w:lineRule="exact"/>
              <w:jc w:val="center"/>
              <w:rPr>
                <w:rFonts w:hAnsi="宋体"/>
                <w:b/>
                <w:sz w:val="22"/>
                <w:szCs w:val="22"/>
              </w:rPr>
            </w:pPr>
            <w:r>
              <w:rPr>
                <w:rFonts w:hint="eastAsia" w:hAnsi="宋体"/>
                <w:b/>
                <w:sz w:val="22"/>
                <w:szCs w:val="22"/>
              </w:rPr>
              <w:t>序号</w:t>
            </w:r>
          </w:p>
        </w:tc>
        <w:tc>
          <w:tcPr>
            <w:tcW w:w="1560"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9"/>
              <w:adjustRightInd w:val="0"/>
              <w:snapToGrid w:val="0"/>
              <w:spacing w:line="400" w:lineRule="exact"/>
              <w:jc w:val="center"/>
              <w:rPr>
                <w:rFonts w:hAnsi="宋体"/>
                <w:b/>
                <w:sz w:val="22"/>
                <w:szCs w:val="22"/>
              </w:rPr>
            </w:pPr>
            <w:r>
              <w:rPr>
                <w:rFonts w:hint="eastAsia" w:hAnsi="宋体"/>
                <w:b/>
                <w:sz w:val="22"/>
                <w:szCs w:val="22"/>
              </w:rPr>
              <w:t>项目</w:t>
            </w:r>
          </w:p>
        </w:tc>
        <w:tc>
          <w:tcPr>
            <w:tcW w:w="6913"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9"/>
              <w:adjustRightInd w:val="0"/>
              <w:snapToGrid w:val="0"/>
              <w:spacing w:line="400" w:lineRule="exact"/>
              <w:jc w:val="center"/>
              <w:rPr>
                <w:rFonts w:hAnsi="宋体"/>
                <w:b/>
                <w:sz w:val="22"/>
                <w:szCs w:val="22"/>
              </w:rPr>
            </w:pPr>
            <w:r>
              <w:rPr>
                <w:rFonts w:hint="eastAsia" w:hAnsi="宋体"/>
                <w:b/>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pStyle w:val="9"/>
              <w:numPr>
                <w:ilvl w:val="0"/>
                <w:numId w:val="1"/>
              </w:numPr>
              <w:adjustRightInd w:val="0"/>
              <w:snapToGrid w:val="0"/>
              <w:spacing w:line="276" w:lineRule="auto"/>
              <w:jc w:val="center"/>
              <w:rPr>
                <w:rFonts w:hAnsi="宋体"/>
                <w:bCs/>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9"/>
              <w:adjustRightInd w:val="0"/>
              <w:snapToGrid w:val="0"/>
              <w:spacing w:line="276" w:lineRule="auto"/>
              <w:jc w:val="center"/>
              <w:rPr>
                <w:rFonts w:hAnsi="宋体"/>
                <w:sz w:val="22"/>
                <w:szCs w:val="22"/>
              </w:rPr>
            </w:pPr>
            <w:r>
              <w:rPr>
                <w:rFonts w:hint="eastAsia" w:hAnsi="宋体"/>
                <w:sz w:val="22"/>
                <w:szCs w:val="22"/>
              </w:rPr>
              <w:t>项目概况</w:t>
            </w:r>
          </w:p>
        </w:tc>
        <w:tc>
          <w:tcPr>
            <w:tcW w:w="6913" w:type="dxa"/>
            <w:tcBorders>
              <w:top w:val="single" w:color="auto" w:sz="4" w:space="0"/>
              <w:left w:val="single" w:color="auto" w:sz="4" w:space="0"/>
              <w:bottom w:val="single" w:color="auto" w:sz="4" w:space="0"/>
              <w:right w:val="single" w:color="auto" w:sz="4" w:space="0"/>
            </w:tcBorders>
            <w:vAlign w:val="center"/>
          </w:tcPr>
          <w:p>
            <w:pPr>
              <w:spacing w:line="594" w:lineRule="exact"/>
              <w:rPr>
                <w:rFonts w:ascii="宋体" w:hAnsi="宋体"/>
                <w:sz w:val="22"/>
                <w:szCs w:val="22"/>
              </w:rPr>
            </w:pPr>
            <w:r>
              <w:rPr>
                <w:rFonts w:hint="eastAsia" w:ascii="宋体" w:hAnsi="宋体"/>
                <w:sz w:val="22"/>
                <w:szCs w:val="22"/>
              </w:rPr>
              <w:t>项目名称：</w:t>
            </w:r>
            <w:r>
              <w:rPr>
                <w:rFonts w:hint="eastAsia" w:ascii="仿宋_GB2312" w:hAnsi="仿宋_GB2312" w:eastAsia="仿宋_GB2312" w:cs="仿宋_GB2312"/>
                <w:color w:val="auto"/>
                <w:sz w:val="32"/>
                <w:szCs w:val="32"/>
                <w:highlight w:val="none"/>
                <w:u w:val="single"/>
                <w:lang w:val="en-US" w:eastAsia="zh-CN"/>
              </w:rPr>
              <w:t>全省2023年度业务考试暨首次一级消防监督执法资格考试服务</w:t>
            </w:r>
            <w:r>
              <w:rPr>
                <w:rFonts w:hint="eastAsia" w:ascii="宋体" w:hAnsi="宋体"/>
                <w:sz w:val="22"/>
                <w:szCs w:val="22"/>
              </w:rPr>
              <w:t>采购项目</w:t>
            </w:r>
          </w:p>
          <w:p>
            <w:pPr>
              <w:tabs>
                <w:tab w:val="left" w:pos="2552"/>
              </w:tabs>
              <w:spacing w:line="276" w:lineRule="auto"/>
              <w:rPr>
                <w:rFonts w:ascii="宋体" w:hAnsi="宋体"/>
                <w:sz w:val="22"/>
                <w:szCs w:val="22"/>
              </w:rPr>
            </w:pPr>
            <w:r>
              <w:rPr>
                <w:rFonts w:hint="eastAsia" w:ascii="宋体" w:hAnsi="宋体"/>
                <w:sz w:val="22"/>
                <w:szCs w:val="22"/>
              </w:rPr>
              <w:t>项目编号：</w:t>
            </w:r>
            <w:r>
              <w:rPr>
                <w:rFonts w:hint="eastAsia" w:ascii="宋体" w:hAnsi="宋体"/>
                <w:sz w:val="22"/>
                <w:szCs w:val="22"/>
                <w:u w:val="single"/>
              </w:rPr>
              <w:t xml:space="preserve">                    </w:t>
            </w:r>
          </w:p>
          <w:p>
            <w:pPr>
              <w:tabs>
                <w:tab w:val="left" w:pos="2552"/>
              </w:tabs>
              <w:spacing w:line="276" w:lineRule="auto"/>
              <w:rPr>
                <w:rFonts w:ascii="宋体" w:hAnsi="宋体"/>
                <w:sz w:val="22"/>
                <w:szCs w:val="22"/>
              </w:rPr>
            </w:pPr>
            <w:r>
              <w:rPr>
                <w:rFonts w:hint="eastAsia" w:ascii="宋体" w:hAnsi="宋体"/>
                <w:sz w:val="22"/>
                <w:szCs w:val="22"/>
              </w:rPr>
              <w:t>采购人名称：广东省消防救援总队</w:t>
            </w:r>
          </w:p>
          <w:p>
            <w:pPr>
              <w:tabs>
                <w:tab w:val="left" w:pos="2552"/>
              </w:tabs>
              <w:spacing w:line="276" w:lineRule="auto"/>
              <w:rPr>
                <w:rFonts w:ascii="宋体" w:hAnsi="宋体"/>
                <w:sz w:val="22"/>
                <w:szCs w:val="22"/>
              </w:rPr>
            </w:pPr>
            <w:r>
              <w:rPr>
                <w:rFonts w:hint="eastAsia" w:ascii="宋体" w:hAnsi="宋体"/>
                <w:sz w:val="22"/>
                <w:szCs w:val="22"/>
              </w:rPr>
              <w:t>采购方式：遴选采购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959" w:type="dxa"/>
            <w:vAlign w:val="center"/>
          </w:tcPr>
          <w:p>
            <w:pPr>
              <w:pStyle w:val="9"/>
              <w:numPr>
                <w:ilvl w:val="0"/>
                <w:numId w:val="1"/>
              </w:numPr>
              <w:adjustRightInd w:val="0"/>
              <w:snapToGrid w:val="0"/>
              <w:spacing w:line="276" w:lineRule="auto"/>
              <w:jc w:val="center"/>
              <w:rPr>
                <w:rFonts w:hAnsi="宋体"/>
                <w:bCs/>
                <w:sz w:val="22"/>
                <w:szCs w:val="22"/>
              </w:rPr>
            </w:pPr>
          </w:p>
        </w:tc>
        <w:tc>
          <w:tcPr>
            <w:tcW w:w="1560" w:type="dxa"/>
            <w:vAlign w:val="center"/>
          </w:tcPr>
          <w:p>
            <w:pPr>
              <w:tabs>
                <w:tab w:val="left" w:pos="2552"/>
              </w:tabs>
              <w:spacing w:line="276" w:lineRule="auto"/>
              <w:jc w:val="center"/>
              <w:rPr>
                <w:rFonts w:ascii="宋体" w:hAnsi="宋体"/>
                <w:sz w:val="22"/>
                <w:szCs w:val="22"/>
              </w:rPr>
            </w:pPr>
            <w:r>
              <w:rPr>
                <w:rFonts w:hint="eastAsia" w:ascii="宋体" w:hAnsi="宋体"/>
                <w:sz w:val="22"/>
                <w:szCs w:val="22"/>
              </w:rPr>
              <w:t>评选有效期</w:t>
            </w:r>
          </w:p>
        </w:tc>
        <w:tc>
          <w:tcPr>
            <w:tcW w:w="6913" w:type="dxa"/>
            <w:vAlign w:val="center"/>
          </w:tcPr>
          <w:p>
            <w:pPr>
              <w:tabs>
                <w:tab w:val="left" w:pos="2552"/>
              </w:tabs>
              <w:spacing w:line="276" w:lineRule="auto"/>
              <w:rPr>
                <w:rFonts w:ascii="宋体" w:hAnsi="宋体"/>
                <w:sz w:val="22"/>
                <w:szCs w:val="22"/>
              </w:rPr>
            </w:pPr>
            <w:r>
              <w:rPr>
                <w:rFonts w:hint="eastAsia" w:ascii="宋体" w:hAnsi="宋体"/>
                <w:sz w:val="22"/>
                <w:szCs w:val="22"/>
              </w:rPr>
              <w:t>从评选截止之日起 90 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9"/>
              <w:numPr>
                <w:ilvl w:val="0"/>
                <w:numId w:val="1"/>
              </w:numPr>
              <w:adjustRightInd w:val="0"/>
              <w:snapToGrid w:val="0"/>
              <w:spacing w:line="276" w:lineRule="auto"/>
              <w:jc w:val="center"/>
              <w:rPr>
                <w:rFonts w:hAnsi="宋体"/>
                <w:bCs/>
                <w:sz w:val="22"/>
                <w:szCs w:val="22"/>
              </w:rPr>
            </w:pPr>
          </w:p>
        </w:tc>
        <w:tc>
          <w:tcPr>
            <w:tcW w:w="1560" w:type="dxa"/>
            <w:vAlign w:val="center"/>
          </w:tcPr>
          <w:p>
            <w:pPr>
              <w:tabs>
                <w:tab w:val="left" w:pos="2552"/>
              </w:tabs>
              <w:spacing w:line="276" w:lineRule="auto"/>
              <w:jc w:val="center"/>
              <w:rPr>
                <w:rFonts w:ascii="宋体" w:hAnsi="宋体"/>
                <w:sz w:val="22"/>
                <w:szCs w:val="22"/>
              </w:rPr>
            </w:pPr>
            <w:r>
              <w:rPr>
                <w:rFonts w:hint="eastAsia" w:ascii="宋体" w:hAnsi="宋体"/>
                <w:sz w:val="22"/>
                <w:szCs w:val="22"/>
              </w:rPr>
              <w:t>参评递交材料</w:t>
            </w:r>
          </w:p>
        </w:tc>
        <w:tc>
          <w:tcPr>
            <w:tcW w:w="6913" w:type="dxa"/>
            <w:vAlign w:val="center"/>
          </w:tcPr>
          <w:p>
            <w:pPr>
              <w:tabs>
                <w:tab w:val="left" w:pos="2552"/>
              </w:tabs>
              <w:spacing w:line="276" w:lineRule="auto"/>
              <w:rPr>
                <w:rFonts w:ascii="宋体" w:hAnsi="宋体"/>
                <w:sz w:val="22"/>
                <w:szCs w:val="22"/>
              </w:rPr>
            </w:pPr>
            <w:r>
              <w:rPr>
                <w:rFonts w:hint="eastAsia" w:ascii="宋体" w:hAnsi="宋体"/>
                <w:sz w:val="22"/>
                <w:szCs w:val="22"/>
              </w:rPr>
              <w:t>参评文</w:t>
            </w:r>
            <w:r>
              <w:rPr>
                <w:rFonts w:hint="eastAsia" w:ascii="宋体" w:hAnsi="宋体"/>
                <w:color w:val="000000"/>
                <w:sz w:val="22"/>
                <w:szCs w:val="22"/>
              </w:rPr>
              <w:t>件</w:t>
            </w:r>
            <w:r>
              <w:rPr>
                <w:rFonts w:hint="eastAsia" w:ascii="宋体" w:hAnsi="宋体"/>
                <w:b/>
                <w:color w:val="000000"/>
                <w:sz w:val="22"/>
                <w:szCs w:val="22"/>
              </w:rPr>
              <w:t>一式三份（正本一份，复印件副本二份）</w:t>
            </w:r>
            <w:r>
              <w:rPr>
                <w:rFonts w:hint="eastAsia" w:ascii="宋体" w:hAnsi="宋体"/>
                <w:color w:val="000000"/>
                <w:sz w:val="22"/>
                <w:szCs w:val="22"/>
              </w:rPr>
              <w:t>，</w:t>
            </w:r>
            <w:r>
              <w:rPr>
                <w:rFonts w:hint="eastAsia" w:ascii="宋体" w:hAnsi="宋体"/>
                <w:sz w:val="22"/>
                <w:szCs w:val="22"/>
              </w:rPr>
              <w:t>在每一封口处加盖公章，并在封套上标明项目名称、参评人名称等字样。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9"/>
              <w:numPr>
                <w:ilvl w:val="0"/>
                <w:numId w:val="1"/>
              </w:numPr>
              <w:adjustRightInd w:val="0"/>
              <w:snapToGrid w:val="0"/>
              <w:spacing w:line="276" w:lineRule="auto"/>
              <w:jc w:val="center"/>
              <w:rPr>
                <w:rFonts w:hAnsi="宋体"/>
                <w:bCs/>
                <w:sz w:val="22"/>
                <w:szCs w:val="22"/>
              </w:rPr>
            </w:pPr>
          </w:p>
        </w:tc>
        <w:tc>
          <w:tcPr>
            <w:tcW w:w="1560" w:type="dxa"/>
            <w:vAlign w:val="center"/>
          </w:tcPr>
          <w:p>
            <w:pPr>
              <w:tabs>
                <w:tab w:val="left" w:pos="2552"/>
              </w:tabs>
              <w:spacing w:line="276" w:lineRule="auto"/>
              <w:jc w:val="center"/>
              <w:rPr>
                <w:rFonts w:ascii="宋体" w:hAnsi="宋体"/>
                <w:sz w:val="22"/>
                <w:szCs w:val="22"/>
              </w:rPr>
            </w:pPr>
            <w:r>
              <w:rPr>
                <w:rFonts w:hint="eastAsia" w:ascii="宋体" w:hAnsi="宋体"/>
                <w:sz w:val="22"/>
                <w:szCs w:val="22"/>
              </w:rPr>
              <w:t>材料递交方式</w:t>
            </w:r>
          </w:p>
        </w:tc>
        <w:tc>
          <w:tcPr>
            <w:tcW w:w="6913" w:type="dxa"/>
            <w:tcBorders>
              <w:bottom w:val="single" w:color="000000" w:sz="4" w:space="0"/>
            </w:tcBorders>
            <w:vAlign w:val="center"/>
          </w:tcPr>
          <w:p>
            <w:pPr>
              <w:tabs>
                <w:tab w:val="left" w:pos="2552"/>
              </w:tabs>
              <w:spacing w:line="276" w:lineRule="auto"/>
              <w:rPr>
                <w:rFonts w:ascii="宋体" w:hAnsi="宋体"/>
                <w:sz w:val="22"/>
                <w:szCs w:val="22"/>
              </w:rPr>
            </w:pPr>
            <w:r>
              <w:rPr>
                <w:rFonts w:hint="eastAsia" w:ascii="宋体" w:hAnsi="宋体"/>
                <w:sz w:val="22"/>
                <w:szCs w:val="22"/>
              </w:rPr>
              <w:t>采用EMS邮寄参评，邮寄地址及收件人：广东省广州市天河区瘦狗岭路483号，广东省消防救援总队</w:t>
            </w:r>
            <w:r>
              <w:rPr>
                <w:rFonts w:hint="eastAsia" w:ascii="宋体" w:hAnsi="宋体"/>
                <w:sz w:val="22"/>
                <w:szCs w:val="22"/>
                <w:lang w:val="en-US" w:eastAsia="zh-CN"/>
              </w:rPr>
              <w:t xml:space="preserve"> 李海</w:t>
            </w:r>
            <w:r>
              <w:rPr>
                <w:rFonts w:hint="eastAsia" w:ascii="宋体" w:hAnsi="宋体"/>
                <w:sz w:val="22"/>
                <w:szCs w:val="22"/>
              </w:rPr>
              <w:t>（收）（</w:t>
            </w:r>
            <w:r>
              <w:rPr>
                <w:rFonts w:hint="eastAsia" w:ascii="宋体" w:hAnsi="宋体"/>
                <w:sz w:val="22"/>
                <w:szCs w:val="22"/>
                <w:highlight w:val="none"/>
              </w:rPr>
              <w:t>电话020-</w:t>
            </w:r>
            <w:r>
              <w:rPr>
                <w:rFonts w:ascii="宋体" w:hAnsi="宋体"/>
                <w:sz w:val="22"/>
                <w:szCs w:val="22"/>
                <w:highlight w:val="none"/>
              </w:rPr>
              <w:t xml:space="preserve"> </w:t>
            </w:r>
            <w:r>
              <w:rPr>
                <w:rFonts w:hint="eastAsia" w:ascii="宋体" w:hAnsi="宋体"/>
                <w:sz w:val="22"/>
                <w:szCs w:val="22"/>
                <w:highlight w:val="none"/>
                <w:lang w:val="en-US" w:eastAsia="zh-CN"/>
              </w:rPr>
              <w:t>87119414</w:t>
            </w:r>
            <w:r>
              <w:rPr>
                <w:rFonts w:ascii="宋体" w:hAnsi="宋体"/>
                <w:sz w:val="22"/>
                <w:szCs w:val="22"/>
              </w:rPr>
              <w:t xml:space="preserve"> </w:t>
            </w:r>
            <w:r>
              <w:rPr>
                <w:rFonts w:hint="eastAsia" w:ascii="宋体" w:hAnsi="宋体"/>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959" w:type="dxa"/>
            <w:vAlign w:val="center"/>
          </w:tcPr>
          <w:p>
            <w:pPr>
              <w:pStyle w:val="9"/>
              <w:numPr>
                <w:ilvl w:val="0"/>
                <w:numId w:val="1"/>
              </w:numPr>
              <w:adjustRightInd w:val="0"/>
              <w:snapToGrid w:val="0"/>
              <w:spacing w:line="276" w:lineRule="auto"/>
              <w:jc w:val="center"/>
              <w:rPr>
                <w:rFonts w:hAnsi="宋体"/>
                <w:bCs/>
                <w:sz w:val="22"/>
                <w:szCs w:val="22"/>
              </w:rPr>
            </w:pPr>
          </w:p>
        </w:tc>
        <w:tc>
          <w:tcPr>
            <w:tcW w:w="1560" w:type="dxa"/>
            <w:vAlign w:val="center"/>
          </w:tcPr>
          <w:p>
            <w:pPr>
              <w:tabs>
                <w:tab w:val="left" w:pos="2552"/>
              </w:tabs>
              <w:spacing w:line="276" w:lineRule="auto"/>
              <w:jc w:val="center"/>
              <w:rPr>
                <w:rFonts w:ascii="宋体" w:hAnsi="宋体"/>
                <w:sz w:val="22"/>
                <w:szCs w:val="22"/>
              </w:rPr>
            </w:pPr>
            <w:r>
              <w:rPr>
                <w:rFonts w:hint="eastAsia" w:ascii="宋体" w:hAnsi="宋体"/>
                <w:sz w:val="22"/>
                <w:szCs w:val="22"/>
              </w:rPr>
              <w:t>评选</w:t>
            </w:r>
          </w:p>
        </w:tc>
        <w:tc>
          <w:tcPr>
            <w:tcW w:w="6913" w:type="dxa"/>
            <w:tcBorders>
              <w:bottom w:val="single" w:color="000000" w:sz="4" w:space="0"/>
            </w:tcBorders>
            <w:vAlign w:val="center"/>
          </w:tcPr>
          <w:p>
            <w:pPr>
              <w:tabs>
                <w:tab w:val="left" w:pos="2552"/>
              </w:tabs>
              <w:spacing w:line="276" w:lineRule="auto"/>
              <w:rPr>
                <w:rFonts w:ascii="宋体" w:hAnsi="宋体"/>
                <w:b/>
                <w:sz w:val="22"/>
                <w:szCs w:val="22"/>
              </w:rPr>
            </w:pPr>
            <w:r>
              <w:rPr>
                <w:rFonts w:hint="eastAsia"/>
                <w:sz w:val="22"/>
                <w:szCs w:val="24"/>
              </w:rPr>
              <w:t>采购人根据工作安排确定评选时间，不晚于202</w:t>
            </w:r>
            <w:r>
              <w:rPr>
                <w:rFonts w:hint="eastAsia"/>
                <w:sz w:val="22"/>
                <w:szCs w:val="24"/>
                <w:lang w:val="en-US" w:eastAsia="zh-CN"/>
              </w:rPr>
              <w:t>3</w:t>
            </w:r>
            <w:r>
              <w:rPr>
                <w:rFonts w:hint="eastAsia"/>
                <w:sz w:val="22"/>
                <w:szCs w:val="24"/>
              </w:rPr>
              <w:t>年</w:t>
            </w:r>
            <w:r>
              <w:rPr>
                <w:rFonts w:hint="eastAsia"/>
                <w:sz w:val="22"/>
                <w:szCs w:val="24"/>
                <w:lang w:val="en-US" w:eastAsia="zh-CN"/>
              </w:rPr>
              <w:t>11</w:t>
            </w:r>
            <w:r>
              <w:rPr>
                <w:rFonts w:hint="eastAsia"/>
                <w:sz w:val="22"/>
                <w:szCs w:val="24"/>
              </w:rPr>
              <w:t xml:space="preserve"> 月 </w:t>
            </w:r>
            <w:r>
              <w:rPr>
                <w:rFonts w:hint="eastAsia"/>
                <w:sz w:val="22"/>
                <w:szCs w:val="24"/>
                <w:lang w:val="en-US" w:eastAsia="zh-CN"/>
              </w:rPr>
              <w:t>30</w:t>
            </w:r>
            <w:r>
              <w:rPr>
                <w:rFonts w:hint="eastAsia"/>
                <w:sz w:val="22"/>
                <w:szCs w:val="24"/>
              </w:rPr>
              <w:t xml:space="preserve"> </w:t>
            </w:r>
            <w:r>
              <w:rPr>
                <w:sz w:val="22"/>
                <w:szCs w:val="24"/>
              </w:rPr>
              <w:t xml:space="preserve"> </w:t>
            </w:r>
            <w:r>
              <w:rPr>
                <w:rFonts w:hint="eastAsia"/>
                <w:sz w:val="22"/>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959" w:type="dxa"/>
            <w:tcBorders>
              <w:top w:val="single" w:color="auto" w:sz="4" w:space="0"/>
            </w:tcBorders>
            <w:vAlign w:val="center"/>
          </w:tcPr>
          <w:p>
            <w:pPr>
              <w:pStyle w:val="9"/>
              <w:numPr>
                <w:ilvl w:val="0"/>
                <w:numId w:val="1"/>
              </w:numPr>
              <w:adjustRightInd w:val="0"/>
              <w:snapToGrid w:val="0"/>
              <w:spacing w:line="276" w:lineRule="auto"/>
              <w:jc w:val="center"/>
              <w:rPr>
                <w:rFonts w:hAnsi="宋体"/>
                <w:bCs/>
                <w:sz w:val="22"/>
                <w:szCs w:val="22"/>
              </w:rPr>
            </w:pPr>
          </w:p>
        </w:tc>
        <w:tc>
          <w:tcPr>
            <w:tcW w:w="1560" w:type="dxa"/>
            <w:tcBorders>
              <w:top w:val="single" w:color="auto" w:sz="4" w:space="0"/>
            </w:tcBorders>
            <w:vAlign w:val="center"/>
          </w:tcPr>
          <w:p>
            <w:pPr>
              <w:tabs>
                <w:tab w:val="left" w:pos="2552"/>
              </w:tabs>
              <w:spacing w:line="276" w:lineRule="auto"/>
              <w:jc w:val="center"/>
              <w:rPr>
                <w:rFonts w:ascii="宋体" w:hAnsi="宋体"/>
                <w:sz w:val="22"/>
                <w:szCs w:val="22"/>
              </w:rPr>
            </w:pPr>
            <w:r>
              <w:rPr>
                <w:rFonts w:hint="eastAsia" w:ascii="宋体" w:hAnsi="宋体"/>
                <w:sz w:val="22"/>
                <w:szCs w:val="22"/>
              </w:rPr>
              <w:t>评审小组</w:t>
            </w:r>
          </w:p>
        </w:tc>
        <w:tc>
          <w:tcPr>
            <w:tcW w:w="6913" w:type="dxa"/>
            <w:vAlign w:val="center"/>
          </w:tcPr>
          <w:p>
            <w:pPr>
              <w:tabs>
                <w:tab w:val="left" w:pos="2552"/>
              </w:tabs>
              <w:spacing w:line="276" w:lineRule="auto"/>
              <w:rPr>
                <w:rFonts w:ascii="宋体" w:hAnsi="宋体"/>
                <w:sz w:val="22"/>
                <w:szCs w:val="22"/>
              </w:rPr>
            </w:pPr>
            <w:r>
              <w:rPr>
                <w:rFonts w:hint="eastAsia" w:ascii="宋体" w:hAnsi="宋体"/>
                <w:bCs/>
                <w:sz w:val="22"/>
                <w:szCs w:val="22"/>
              </w:rPr>
              <w:t>全部评审过程由采购人组建的评审小组负责完成，评审小组由3人单数成员组成。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9"/>
              <w:numPr>
                <w:ilvl w:val="0"/>
                <w:numId w:val="1"/>
              </w:numPr>
              <w:adjustRightInd w:val="0"/>
              <w:snapToGrid w:val="0"/>
              <w:spacing w:line="276" w:lineRule="auto"/>
              <w:jc w:val="center"/>
              <w:rPr>
                <w:rFonts w:hAnsi="宋体"/>
                <w:bCs/>
                <w:sz w:val="22"/>
                <w:szCs w:val="22"/>
              </w:rPr>
            </w:pPr>
          </w:p>
        </w:tc>
        <w:tc>
          <w:tcPr>
            <w:tcW w:w="1560" w:type="dxa"/>
            <w:vAlign w:val="center"/>
          </w:tcPr>
          <w:p>
            <w:pPr>
              <w:tabs>
                <w:tab w:val="left" w:pos="2552"/>
              </w:tabs>
              <w:spacing w:line="276" w:lineRule="auto"/>
              <w:jc w:val="center"/>
              <w:rPr>
                <w:rFonts w:ascii="宋体" w:hAnsi="宋体"/>
                <w:sz w:val="22"/>
                <w:szCs w:val="22"/>
              </w:rPr>
            </w:pPr>
            <w:r>
              <w:rPr>
                <w:rFonts w:hint="eastAsia" w:ascii="宋体" w:hAnsi="宋体"/>
                <w:sz w:val="22"/>
                <w:szCs w:val="22"/>
              </w:rPr>
              <w:t>评审方法</w:t>
            </w:r>
          </w:p>
        </w:tc>
        <w:tc>
          <w:tcPr>
            <w:tcW w:w="6913" w:type="dxa"/>
            <w:vAlign w:val="center"/>
          </w:tcPr>
          <w:p>
            <w:pPr>
              <w:autoSpaceDE w:val="0"/>
              <w:autoSpaceDN w:val="0"/>
              <w:adjustRightInd w:val="0"/>
              <w:spacing w:line="276" w:lineRule="auto"/>
              <w:rPr>
                <w:rFonts w:ascii="宋体" w:hAnsi="宋体"/>
                <w:bCs/>
                <w:sz w:val="22"/>
                <w:szCs w:val="22"/>
              </w:rPr>
            </w:pPr>
            <w:r>
              <w:rPr>
                <w:rFonts w:hint="eastAsia" w:ascii="宋体" w:hAnsi="宋体"/>
                <w:bCs/>
                <w:sz w:val="22"/>
                <w:szCs w:val="22"/>
              </w:rPr>
              <w:t>综合评分法（</w:t>
            </w:r>
            <w:r>
              <w:rPr>
                <w:rFonts w:ascii="宋体" w:hAnsi="宋体"/>
                <w:bCs/>
                <w:sz w:val="22"/>
                <w:szCs w:val="22"/>
              </w:rPr>
              <w:t>100%</w:t>
            </w:r>
            <w:r>
              <w:rPr>
                <w:rFonts w:hint="eastAsia" w:ascii="宋体" w:hAnsi="宋体"/>
                <w:bCs/>
                <w:sz w:val="22"/>
                <w:szCs w:val="22"/>
              </w:rPr>
              <w:t>）</w:t>
            </w:r>
          </w:p>
          <w:p>
            <w:pPr>
              <w:tabs>
                <w:tab w:val="left" w:pos="2552"/>
              </w:tabs>
              <w:spacing w:line="276" w:lineRule="auto"/>
              <w:rPr>
                <w:rFonts w:ascii="宋体" w:hAnsi="宋体"/>
                <w:sz w:val="22"/>
                <w:szCs w:val="22"/>
              </w:rPr>
            </w:pPr>
            <w:r>
              <w:rPr>
                <w:rFonts w:hint="eastAsia" w:ascii="宋体" w:hAnsi="宋体"/>
                <w:bCs/>
                <w:sz w:val="22"/>
                <w:szCs w:val="22"/>
              </w:rPr>
              <w:t>技术分值</w:t>
            </w:r>
            <w:r>
              <w:rPr>
                <w:rFonts w:hint="eastAsia" w:ascii="宋体" w:hAnsi="宋体"/>
                <w:bCs/>
                <w:sz w:val="22"/>
                <w:szCs w:val="22"/>
                <w:lang w:val="en-US" w:eastAsia="zh-CN"/>
              </w:rPr>
              <w:t>50</w:t>
            </w:r>
            <w:r>
              <w:rPr>
                <w:rFonts w:ascii="宋体" w:hAnsi="宋体"/>
                <w:bCs/>
                <w:sz w:val="22"/>
                <w:szCs w:val="22"/>
              </w:rPr>
              <w:t>%</w:t>
            </w:r>
            <w:r>
              <w:rPr>
                <w:rFonts w:hint="eastAsia" w:ascii="宋体" w:hAnsi="宋体"/>
                <w:bCs/>
                <w:sz w:val="22"/>
                <w:szCs w:val="22"/>
              </w:rPr>
              <w:t>，商务分值</w:t>
            </w:r>
            <w:r>
              <w:rPr>
                <w:rFonts w:ascii="宋体" w:hAnsi="宋体"/>
                <w:bCs/>
                <w:sz w:val="22"/>
                <w:szCs w:val="22"/>
              </w:rPr>
              <w:t>40</w:t>
            </w:r>
            <w:r>
              <w:rPr>
                <w:rFonts w:hint="eastAsia" w:ascii="宋体" w:hAnsi="宋体"/>
                <w:bCs/>
                <w:sz w:val="22"/>
                <w:szCs w:val="22"/>
              </w:rPr>
              <w:t>%，价格分值</w:t>
            </w:r>
            <w:r>
              <w:rPr>
                <w:rFonts w:hint="eastAsia" w:ascii="宋体" w:hAnsi="宋体"/>
                <w:bCs/>
                <w:sz w:val="22"/>
                <w:szCs w:val="22"/>
                <w:lang w:val="en-US" w:eastAsia="zh-CN"/>
              </w:rPr>
              <w:t>10</w:t>
            </w:r>
            <w:r>
              <w:rPr>
                <w:rFonts w:ascii="宋体" w:hAnsi="宋体"/>
                <w:bCs/>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9"/>
              <w:numPr>
                <w:ilvl w:val="0"/>
                <w:numId w:val="1"/>
              </w:numPr>
              <w:adjustRightInd w:val="0"/>
              <w:snapToGrid w:val="0"/>
              <w:spacing w:line="276" w:lineRule="auto"/>
              <w:jc w:val="center"/>
              <w:rPr>
                <w:rFonts w:hAnsi="宋体"/>
                <w:bCs/>
                <w:sz w:val="22"/>
                <w:szCs w:val="22"/>
              </w:rPr>
            </w:pPr>
          </w:p>
        </w:tc>
        <w:tc>
          <w:tcPr>
            <w:tcW w:w="1560" w:type="dxa"/>
            <w:vAlign w:val="center"/>
          </w:tcPr>
          <w:p>
            <w:pPr>
              <w:spacing w:line="276" w:lineRule="auto"/>
              <w:jc w:val="center"/>
              <w:rPr>
                <w:rFonts w:ascii="宋体" w:hAnsi="宋体"/>
                <w:sz w:val="22"/>
                <w:szCs w:val="22"/>
              </w:rPr>
            </w:pPr>
            <w:r>
              <w:rPr>
                <w:rFonts w:hint="eastAsia" w:ascii="宋体" w:hAnsi="宋体"/>
                <w:sz w:val="22"/>
                <w:szCs w:val="22"/>
              </w:rPr>
              <w:t>评审步骤</w:t>
            </w:r>
          </w:p>
        </w:tc>
        <w:tc>
          <w:tcPr>
            <w:tcW w:w="6913" w:type="dxa"/>
            <w:vAlign w:val="center"/>
          </w:tcPr>
          <w:p>
            <w:pPr>
              <w:spacing w:line="276" w:lineRule="auto"/>
              <w:rPr>
                <w:rFonts w:ascii="宋体" w:hAnsi="宋体"/>
                <w:sz w:val="22"/>
                <w:szCs w:val="22"/>
              </w:rPr>
            </w:pPr>
            <w:r>
              <w:rPr>
                <w:rFonts w:hint="eastAsia" w:ascii="宋体" w:hAnsi="宋体"/>
                <w:sz w:val="22"/>
                <w:szCs w:val="22"/>
              </w:rPr>
              <w:t>先进行资格、符合性评审，再进行技术、商务及价格的详细评审。只有通过资格、符合性评审的参评人才能进入详细的评审，即为</w:t>
            </w:r>
            <w:r>
              <w:rPr>
                <w:rFonts w:hint="eastAsia" w:ascii="宋体" w:hAnsi="宋体"/>
                <w:bCs/>
                <w:sz w:val="22"/>
                <w:szCs w:val="22"/>
              </w:rPr>
              <w:t>入围参评人</w:t>
            </w:r>
            <w:r>
              <w:rPr>
                <w:rFonts w:hint="eastAsia" w:ascii="宋体" w:hAnsi="宋体"/>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pStyle w:val="9"/>
              <w:numPr>
                <w:ilvl w:val="0"/>
                <w:numId w:val="1"/>
              </w:numPr>
              <w:adjustRightInd w:val="0"/>
              <w:snapToGrid w:val="0"/>
              <w:spacing w:line="276" w:lineRule="auto"/>
              <w:jc w:val="center"/>
              <w:rPr>
                <w:rFonts w:hAnsi="宋体"/>
                <w:bCs/>
                <w:sz w:val="22"/>
                <w:szCs w:val="22"/>
              </w:rPr>
            </w:pPr>
          </w:p>
        </w:tc>
        <w:tc>
          <w:tcPr>
            <w:tcW w:w="1560" w:type="dxa"/>
            <w:vAlign w:val="center"/>
          </w:tcPr>
          <w:p>
            <w:pPr>
              <w:spacing w:line="276" w:lineRule="auto"/>
              <w:jc w:val="center"/>
              <w:rPr>
                <w:rFonts w:ascii="宋体" w:hAnsi="宋体"/>
                <w:sz w:val="22"/>
                <w:szCs w:val="22"/>
              </w:rPr>
            </w:pPr>
            <w:r>
              <w:rPr>
                <w:rFonts w:hint="eastAsia" w:ascii="宋体" w:hAnsi="宋体"/>
                <w:bCs/>
                <w:sz w:val="22"/>
                <w:szCs w:val="22"/>
              </w:rPr>
              <w:t>成交候选人的推荐</w:t>
            </w:r>
          </w:p>
        </w:tc>
        <w:tc>
          <w:tcPr>
            <w:tcW w:w="6913" w:type="dxa"/>
            <w:vAlign w:val="center"/>
          </w:tcPr>
          <w:p>
            <w:pPr>
              <w:spacing w:line="276" w:lineRule="auto"/>
              <w:rPr>
                <w:rFonts w:ascii="宋体" w:hAnsi="宋体"/>
                <w:bCs/>
                <w:sz w:val="22"/>
                <w:szCs w:val="22"/>
              </w:rPr>
            </w:pPr>
            <w:r>
              <w:rPr>
                <w:rFonts w:hint="eastAsia" w:ascii="宋体" w:hAnsi="宋体"/>
                <w:bCs/>
                <w:sz w:val="22"/>
                <w:szCs w:val="22"/>
              </w:rPr>
              <w:t>评审小组结合商务文件部分、技术文件部分和价格部分进行综合评估，将商务得分、技术得分和价格得分相加得出各入围参评人的综合得分。评审小组按综合得分高低次序排出名次，并推荐综合得分排名第一的参评人为第一成交候选人，排名第二的参评人为第二成交候选人。</w:t>
            </w:r>
          </w:p>
          <w:p>
            <w:pPr>
              <w:spacing w:line="276" w:lineRule="auto"/>
              <w:rPr>
                <w:rFonts w:ascii="宋体" w:hAnsi="宋体"/>
                <w:bCs/>
                <w:sz w:val="22"/>
                <w:szCs w:val="22"/>
              </w:rPr>
            </w:pPr>
            <w:r>
              <w:rPr>
                <w:rFonts w:hint="eastAsia" w:ascii="宋体" w:hAnsi="宋体"/>
                <w:bCs/>
                <w:sz w:val="22"/>
                <w:szCs w:val="22"/>
              </w:rPr>
              <w:t>综合得分相同的，名次按技术评分由高到低顺序排列；综合得分相同且技术评分相同的，名次按商务评分由高到低顺序排列；综合得分相同、技术评分和商务评分均相同的，名次由评审价由低到高顺序排列。综合得分相同、技术评分、商务评分和评审价均相同的评审小组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959" w:type="dxa"/>
            <w:vAlign w:val="center"/>
          </w:tcPr>
          <w:p>
            <w:pPr>
              <w:pStyle w:val="9"/>
              <w:numPr>
                <w:ilvl w:val="0"/>
                <w:numId w:val="1"/>
              </w:numPr>
              <w:adjustRightInd w:val="0"/>
              <w:snapToGrid w:val="0"/>
              <w:spacing w:line="276" w:lineRule="auto"/>
              <w:jc w:val="center"/>
              <w:rPr>
                <w:rFonts w:hAnsi="宋体"/>
                <w:bCs/>
                <w:sz w:val="22"/>
                <w:szCs w:val="22"/>
              </w:rPr>
            </w:pPr>
          </w:p>
        </w:tc>
        <w:tc>
          <w:tcPr>
            <w:tcW w:w="1560" w:type="dxa"/>
            <w:vAlign w:val="center"/>
          </w:tcPr>
          <w:p>
            <w:pPr>
              <w:spacing w:line="276" w:lineRule="auto"/>
              <w:jc w:val="center"/>
              <w:rPr>
                <w:rFonts w:ascii="宋体" w:hAnsi="宋体"/>
                <w:sz w:val="22"/>
                <w:szCs w:val="22"/>
              </w:rPr>
            </w:pPr>
            <w:r>
              <w:rPr>
                <w:rFonts w:hint="eastAsia" w:ascii="宋体" w:hAnsi="宋体"/>
                <w:sz w:val="22"/>
                <w:szCs w:val="22"/>
              </w:rPr>
              <w:t>其他</w:t>
            </w:r>
          </w:p>
        </w:tc>
        <w:tc>
          <w:tcPr>
            <w:tcW w:w="6913" w:type="dxa"/>
            <w:vAlign w:val="center"/>
          </w:tcPr>
          <w:p>
            <w:pPr>
              <w:tabs>
                <w:tab w:val="left" w:pos="0"/>
              </w:tabs>
              <w:snapToGrid w:val="0"/>
              <w:spacing w:line="276" w:lineRule="auto"/>
              <w:rPr>
                <w:rFonts w:ascii="宋体" w:hAnsi="宋体"/>
                <w:bCs/>
                <w:sz w:val="22"/>
                <w:szCs w:val="22"/>
              </w:rPr>
            </w:pPr>
            <w:r>
              <w:rPr>
                <w:rFonts w:hint="eastAsia" w:ascii="宋体" w:hAnsi="宋体"/>
                <w:bCs/>
                <w:sz w:val="22"/>
                <w:szCs w:val="22"/>
              </w:rPr>
              <w:t>本项目不接受备选参评方案，不接受有任何选择或具有附加条件的报价，参评文件的报价只允许唯一方案报价。</w:t>
            </w:r>
          </w:p>
        </w:tc>
      </w:tr>
    </w:tbl>
    <w:p>
      <w:pPr>
        <w:spacing w:line="360" w:lineRule="auto"/>
        <w:ind w:firstLine="442" w:firstLineChars="200"/>
        <w:rPr>
          <w:rFonts w:ascii="宋体" w:hAnsi="宋体"/>
          <w:sz w:val="22"/>
          <w:szCs w:val="22"/>
        </w:rPr>
      </w:pPr>
      <w:r>
        <w:rPr>
          <w:rFonts w:hint="eastAsia" w:ascii="宋体" w:hAnsi="宋体"/>
          <w:b/>
          <w:sz w:val="22"/>
          <w:szCs w:val="22"/>
        </w:rPr>
        <w:t>参评人必须认真阅读参评须知的内容，以免造成参评失败。</w:t>
      </w:r>
    </w:p>
    <w:p>
      <w:pPr>
        <w:keepNext/>
        <w:keepLines/>
        <w:adjustRightInd w:val="0"/>
        <w:spacing w:line="360" w:lineRule="auto"/>
        <w:jc w:val="center"/>
        <w:textAlignment w:val="baseline"/>
        <w:outlineLvl w:val="1"/>
        <w:rPr>
          <w:rFonts w:hint="eastAsia" w:ascii="宋体" w:hAnsi="宋体"/>
          <w:b/>
          <w:sz w:val="36"/>
          <w:szCs w:val="36"/>
        </w:rPr>
      </w:pPr>
    </w:p>
    <w:p>
      <w:pPr>
        <w:keepNext/>
        <w:keepLines/>
        <w:adjustRightInd w:val="0"/>
        <w:spacing w:line="360" w:lineRule="auto"/>
        <w:jc w:val="center"/>
        <w:textAlignment w:val="baseline"/>
        <w:outlineLvl w:val="1"/>
        <w:rPr>
          <w:rFonts w:hint="eastAsia" w:ascii="宋体" w:hAnsi="宋体"/>
          <w:b/>
          <w:sz w:val="36"/>
          <w:szCs w:val="36"/>
        </w:rPr>
      </w:pPr>
    </w:p>
    <w:p>
      <w:pPr>
        <w:keepNext/>
        <w:keepLines/>
        <w:adjustRightInd w:val="0"/>
        <w:spacing w:line="360" w:lineRule="auto"/>
        <w:jc w:val="center"/>
        <w:textAlignment w:val="baseline"/>
        <w:outlineLvl w:val="1"/>
        <w:rPr>
          <w:rFonts w:ascii="宋体" w:hAnsi="宋体"/>
          <w:b/>
          <w:sz w:val="36"/>
          <w:szCs w:val="36"/>
        </w:rPr>
      </w:pPr>
      <w:r>
        <w:rPr>
          <w:rFonts w:hint="eastAsia" w:ascii="宋体" w:hAnsi="宋体"/>
          <w:b/>
          <w:sz w:val="36"/>
          <w:szCs w:val="36"/>
        </w:rPr>
        <w:t>第二章  采购需求</w:t>
      </w:r>
    </w:p>
    <w:p>
      <w:pPr>
        <w:tabs>
          <w:tab w:val="left" w:pos="0"/>
          <w:tab w:val="left" w:pos="540"/>
        </w:tabs>
        <w:autoSpaceDE w:val="0"/>
        <w:autoSpaceDN w:val="0"/>
        <w:adjustRightInd w:val="0"/>
        <w:snapToGrid w:val="0"/>
        <w:spacing w:line="360" w:lineRule="auto"/>
        <w:outlineLvl w:val="1"/>
        <w:rPr>
          <w:rFonts w:ascii="宋体" w:hAnsi="宋体" w:cs="宋体"/>
          <w:b/>
          <w:bCs/>
          <w:sz w:val="22"/>
          <w:szCs w:val="22"/>
        </w:rPr>
      </w:pPr>
    </w:p>
    <w:p>
      <w:pPr>
        <w:spacing w:line="360" w:lineRule="auto"/>
        <w:rPr>
          <w:b/>
          <w:sz w:val="22"/>
          <w:szCs w:val="21"/>
        </w:rPr>
      </w:pPr>
      <w:r>
        <w:rPr>
          <w:rFonts w:hint="eastAsia"/>
          <w:b/>
          <w:sz w:val="22"/>
          <w:szCs w:val="21"/>
        </w:rPr>
        <w:t xml:space="preserve">   </w:t>
      </w:r>
      <w:r>
        <w:rPr>
          <w:rFonts w:hint="eastAsia" w:ascii="宋体" w:hAnsi="宋体" w:cs="宋体"/>
          <w:b/>
          <w:bCs/>
          <w:sz w:val="22"/>
          <w:szCs w:val="22"/>
        </w:rPr>
        <w:t xml:space="preserve"> 一、基本要求</w:t>
      </w:r>
    </w:p>
    <w:p>
      <w:pPr>
        <w:numPr>
          <w:ilvl w:val="0"/>
          <w:numId w:val="2"/>
        </w:num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标有“▲”的条款为必须完全满足的项目，任何</w:t>
      </w:r>
      <w:r>
        <w:rPr>
          <w:rFonts w:hint="eastAsia" w:ascii="宋体" w:hAnsi="宋体" w:cs="宋体"/>
          <w:sz w:val="22"/>
          <w:szCs w:val="22"/>
        </w:rPr>
        <w:t>未响应或负偏离</w:t>
      </w:r>
      <w:r>
        <w:rPr>
          <w:rFonts w:hint="eastAsia" w:ascii="宋体" w:hAnsi="宋体" w:cs="宋体"/>
          <w:kern w:val="28"/>
          <w:sz w:val="22"/>
          <w:szCs w:val="22"/>
        </w:rPr>
        <w:t>将导致无效响应。</w:t>
      </w:r>
    </w:p>
    <w:p>
      <w:pPr>
        <w:numPr>
          <w:ilvl w:val="0"/>
          <w:numId w:val="2"/>
        </w:num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标有“★”的条款和为重要项目，任何</w:t>
      </w:r>
      <w:r>
        <w:rPr>
          <w:rFonts w:hint="eastAsia" w:ascii="宋体" w:hAnsi="宋体" w:cs="宋体"/>
          <w:sz w:val="22"/>
          <w:szCs w:val="22"/>
        </w:rPr>
        <w:t>未响应或负偏离</w:t>
      </w:r>
      <w:r>
        <w:rPr>
          <w:rFonts w:hint="eastAsia" w:ascii="宋体" w:hAnsi="宋体" w:cs="宋体"/>
          <w:kern w:val="28"/>
          <w:sz w:val="22"/>
          <w:szCs w:val="22"/>
        </w:rPr>
        <w:t>将被严重扣分。</w:t>
      </w:r>
    </w:p>
    <w:p>
      <w:pPr>
        <w:numPr>
          <w:ilvl w:val="0"/>
          <w:numId w:val="2"/>
        </w:num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参评人必须具有独立法人资格。</w:t>
      </w:r>
    </w:p>
    <w:p>
      <w:pPr>
        <w:numPr>
          <w:ilvl w:val="0"/>
          <w:numId w:val="2"/>
        </w:num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参评人在响应建议中必须列出具体数值</w:t>
      </w:r>
      <w:r>
        <w:rPr>
          <w:rFonts w:hint="eastAsia" w:ascii="宋体" w:hAnsi="宋体"/>
          <w:kern w:val="28"/>
          <w:sz w:val="22"/>
          <w:szCs w:val="22"/>
        </w:rPr>
        <w:t>或具体承诺</w:t>
      </w:r>
      <w:r>
        <w:rPr>
          <w:rFonts w:ascii="宋体" w:hAnsi="宋体"/>
          <w:kern w:val="28"/>
          <w:sz w:val="22"/>
          <w:szCs w:val="22"/>
        </w:rPr>
        <w:t>。如果</w:t>
      </w:r>
      <w:r>
        <w:rPr>
          <w:rFonts w:hint="eastAsia" w:ascii="宋体" w:hAnsi="宋体" w:cs="宋体"/>
          <w:kern w:val="28"/>
          <w:sz w:val="22"/>
          <w:szCs w:val="22"/>
        </w:rPr>
        <w:t>参评</w:t>
      </w:r>
      <w:r>
        <w:rPr>
          <w:rFonts w:hint="eastAsia" w:ascii="宋体" w:hAnsi="宋体"/>
          <w:kern w:val="28"/>
          <w:sz w:val="22"/>
          <w:szCs w:val="22"/>
        </w:rPr>
        <w:t>人</w:t>
      </w:r>
      <w:r>
        <w:rPr>
          <w:rFonts w:ascii="宋体" w:hAnsi="宋体"/>
          <w:kern w:val="28"/>
          <w:sz w:val="22"/>
          <w:szCs w:val="22"/>
        </w:rPr>
        <w:t>只注明“</w:t>
      </w:r>
      <w:r>
        <w:rPr>
          <w:rFonts w:hint="eastAsia" w:ascii="宋体" w:hAnsi="宋体"/>
          <w:kern w:val="28"/>
          <w:sz w:val="22"/>
          <w:szCs w:val="22"/>
        </w:rPr>
        <w:t>正偏离</w:t>
      </w:r>
      <w:r>
        <w:rPr>
          <w:rFonts w:ascii="宋体" w:hAnsi="宋体"/>
          <w:kern w:val="28"/>
          <w:sz w:val="22"/>
          <w:szCs w:val="22"/>
        </w:rPr>
        <w:t>”或“</w:t>
      </w:r>
      <w:r>
        <w:rPr>
          <w:rFonts w:hint="eastAsia" w:ascii="宋体" w:hAnsi="宋体"/>
          <w:kern w:val="28"/>
          <w:sz w:val="22"/>
          <w:szCs w:val="22"/>
        </w:rPr>
        <w:t>无偏离</w:t>
      </w:r>
      <w:r>
        <w:rPr>
          <w:rFonts w:ascii="宋体" w:hAnsi="宋体"/>
          <w:kern w:val="28"/>
          <w:sz w:val="22"/>
          <w:szCs w:val="22"/>
        </w:rPr>
        <w:t>”，将被视为“</w:t>
      </w:r>
      <w:r>
        <w:rPr>
          <w:rFonts w:hint="eastAsia" w:ascii="宋体" w:hAnsi="宋体"/>
          <w:kern w:val="28"/>
          <w:sz w:val="22"/>
          <w:szCs w:val="22"/>
        </w:rPr>
        <w:t>负偏离</w:t>
      </w:r>
      <w:r>
        <w:rPr>
          <w:rFonts w:ascii="宋体" w:hAnsi="宋体"/>
          <w:kern w:val="28"/>
          <w:sz w:val="22"/>
          <w:szCs w:val="22"/>
        </w:rPr>
        <w:t>”</w:t>
      </w:r>
      <w:r>
        <w:rPr>
          <w:rFonts w:hint="eastAsia" w:ascii="宋体" w:hAnsi="宋体"/>
          <w:kern w:val="28"/>
          <w:sz w:val="22"/>
          <w:szCs w:val="22"/>
        </w:rPr>
        <w:t>，</w:t>
      </w:r>
      <w:r>
        <w:rPr>
          <w:rFonts w:ascii="宋体" w:hAnsi="宋体"/>
          <w:kern w:val="28"/>
          <w:sz w:val="22"/>
          <w:szCs w:val="22"/>
        </w:rPr>
        <w:t>从而可能导致严重影响</w:t>
      </w:r>
      <w:r>
        <w:rPr>
          <w:rFonts w:hint="eastAsia" w:ascii="宋体" w:hAnsi="宋体"/>
          <w:kern w:val="28"/>
          <w:sz w:val="22"/>
          <w:szCs w:val="22"/>
        </w:rPr>
        <w:t>评审</w:t>
      </w:r>
      <w:r>
        <w:rPr>
          <w:rFonts w:ascii="宋体" w:hAnsi="宋体"/>
          <w:kern w:val="28"/>
          <w:sz w:val="22"/>
          <w:szCs w:val="22"/>
        </w:rPr>
        <w:t>结果</w:t>
      </w:r>
      <w:r>
        <w:rPr>
          <w:rFonts w:hint="eastAsia" w:ascii="宋体" w:hAnsi="宋体" w:cs="宋体"/>
          <w:kern w:val="28"/>
          <w:sz w:val="22"/>
          <w:szCs w:val="22"/>
        </w:rPr>
        <w:t>。</w:t>
      </w:r>
    </w:p>
    <w:p>
      <w:pPr>
        <w:numPr>
          <w:ilvl w:val="0"/>
          <w:numId w:val="2"/>
        </w:num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参评人</w:t>
      </w:r>
      <w:r>
        <w:rPr>
          <w:rFonts w:hint="eastAsia" w:ascii="宋体" w:hAnsi="宋体" w:cs="宋体"/>
          <w:sz w:val="22"/>
          <w:szCs w:val="22"/>
        </w:rPr>
        <w:t>须对所投报价服务及自身经营情况描述的真实性承担法律责任</w:t>
      </w:r>
      <w:r>
        <w:rPr>
          <w:rFonts w:hint="eastAsia" w:ascii="宋体" w:hAnsi="宋体" w:cs="宋体"/>
          <w:kern w:val="28"/>
          <w:sz w:val="22"/>
          <w:szCs w:val="22"/>
        </w:rPr>
        <w:t>。</w:t>
      </w:r>
    </w:p>
    <w:p>
      <w:pPr>
        <w:numPr>
          <w:ilvl w:val="0"/>
          <w:numId w:val="2"/>
        </w:numPr>
        <w:tabs>
          <w:tab w:val="left" w:pos="0"/>
          <w:tab w:val="left" w:pos="170"/>
          <w:tab w:val="left" w:pos="540"/>
        </w:tabs>
        <w:adjustRightInd w:val="0"/>
        <w:snapToGrid w:val="0"/>
        <w:spacing w:line="360" w:lineRule="auto"/>
        <w:ind w:firstLine="440" w:firstLineChars="200"/>
        <w:rPr>
          <w:rFonts w:ascii="宋体" w:hAnsi="宋体" w:cs="宋体"/>
          <w:sz w:val="22"/>
          <w:szCs w:val="22"/>
        </w:rPr>
      </w:pPr>
      <w:r>
        <w:rPr>
          <w:rFonts w:hint="eastAsia" w:ascii="宋体" w:hAnsi="宋体" w:cs="宋体"/>
          <w:kern w:val="28"/>
          <w:sz w:val="22"/>
          <w:szCs w:val="22"/>
        </w:rPr>
        <w:t>参评</w:t>
      </w:r>
      <w:r>
        <w:rPr>
          <w:rFonts w:hint="eastAsia" w:ascii="宋体" w:hAnsi="宋体" w:cs="宋体"/>
          <w:sz w:val="22"/>
          <w:szCs w:val="22"/>
        </w:rPr>
        <w:t>人没有在</w:t>
      </w:r>
      <w:r>
        <w:rPr>
          <w:rFonts w:hint="eastAsia" w:ascii="宋体" w:hAnsi="宋体" w:cs="宋体"/>
          <w:kern w:val="28"/>
          <w:sz w:val="22"/>
          <w:szCs w:val="22"/>
        </w:rPr>
        <w:t>参评</w:t>
      </w:r>
      <w:r>
        <w:rPr>
          <w:rFonts w:hint="eastAsia" w:ascii="宋体" w:hAnsi="宋体" w:cs="宋体"/>
          <w:sz w:val="22"/>
          <w:szCs w:val="22"/>
        </w:rPr>
        <w:t>文件中注明偏离（文字说明或在响应表注明）的描述、条款视为被</w:t>
      </w:r>
      <w:r>
        <w:rPr>
          <w:rFonts w:hint="eastAsia" w:ascii="宋体" w:hAnsi="宋体" w:cs="宋体"/>
          <w:kern w:val="28"/>
          <w:sz w:val="22"/>
          <w:szCs w:val="22"/>
        </w:rPr>
        <w:t>参评</w:t>
      </w:r>
      <w:r>
        <w:rPr>
          <w:rFonts w:hint="eastAsia" w:ascii="宋体" w:hAnsi="宋体" w:cs="宋体"/>
          <w:sz w:val="22"/>
          <w:szCs w:val="22"/>
        </w:rPr>
        <w:t>人完全接受。</w:t>
      </w:r>
    </w:p>
    <w:p>
      <w:pPr>
        <w:numPr>
          <w:ilvl w:val="0"/>
          <w:numId w:val="2"/>
        </w:numPr>
        <w:tabs>
          <w:tab w:val="left" w:pos="0"/>
          <w:tab w:val="left" w:pos="170"/>
          <w:tab w:val="left" w:pos="540"/>
        </w:tabs>
        <w:adjustRightInd w:val="0"/>
        <w:snapToGrid w:val="0"/>
        <w:spacing w:line="360" w:lineRule="auto"/>
        <w:ind w:firstLine="440" w:firstLineChars="200"/>
        <w:rPr>
          <w:rFonts w:ascii="宋体" w:hAnsi="宋体" w:cs="宋体"/>
          <w:sz w:val="22"/>
          <w:szCs w:val="22"/>
        </w:rPr>
      </w:pPr>
      <w:r>
        <w:rPr>
          <w:rFonts w:hint="eastAsia" w:ascii="宋体" w:hAnsi="宋体" w:cs="宋体"/>
          <w:kern w:val="28"/>
          <w:sz w:val="22"/>
          <w:szCs w:val="22"/>
        </w:rPr>
        <w:t>参评</w:t>
      </w:r>
      <w:r>
        <w:rPr>
          <w:rFonts w:hint="eastAsia" w:ascii="宋体" w:hAnsi="宋体" w:cs="宋体"/>
          <w:sz w:val="22"/>
          <w:szCs w:val="22"/>
        </w:rPr>
        <w:t>人应保证，采购人在中华人民共和国使用该货物、服务或货物、服务的任何一部分时，免受第三方提出的侵犯其专利权、商标权、著作权或其它知识产权的起诉。</w:t>
      </w:r>
    </w:p>
    <w:p>
      <w:pPr>
        <w:spacing w:line="360" w:lineRule="auto"/>
        <w:rPr>
          <w:b/>
          <w:sz w:val="22"/>
          <w:szCs w:val="21"/>
        </w:rPr>
      </w:pPr>
      <w:r>
        <w:rPr>
          <w:rFonts w:hint="eastAsia"/>
          <w:b/>
          <w:sz w:val="22"/>
          <w:szCs w:val="21"/>
        </w:rPr>
        <w:t xml:space="preserve">    二、参评报价</w:t>
      </w:r>
      <w:r>
        <w:rPr>
          <w:rFonts w:hint="eastAsia"/>
          <w:b/>
          <w:sz w:val="22"/>
          <w:szCs w:val="21"/>
          <w:lang w:val="en-US" w:eastAsia="zh-CN"/>
        </w:rPr>
        <w:t>及</w:t>
      </w:r>
      <w:r>
        <w:rPr>
          <w:rFonts w:hint="eastAsia"/>
          <w:b/>
          <w:sz w:val="22"/>
          <w:szCs w:val="21"/>
        </w:rPr>
        <w:t>说明</w:t>
      </w:r>
    </w:p>
    <w:p>
      <w:pPr>
        <w:tabs>
          <w:tab w:val="left" w:pos="0"/>
          <w:tab w:val="left" w:pos="170"/>
          <w:tab w:val="left" w:pos="540"/>
        </w:tabs>
        <w:adjustRightInd w:val="0"/>
        <w:snapToGrid w:val="0"/>
        <w:spacing w:line="360" w:lineRule="auto"/>
        <w:ind w:firstLine="442" w:firstLineChars="200"/>
        <w:rPr>
          <w:rFonts w:ascii="宋体" w:hAnsi="宋体"/>
          <w:b/>
          <w:bCs/>
          <w:sz w:val="22"/>
          <w:szCs w:val="22"/>
        </w:rPr>
      </w:pPr>
      <w:r>
        <w:rPr>
          <w:rFonts w:hint="eastAsia" w:ascii="宋体" w:hAnsi="宋体" w:cs="宋体"/>
          <w:b/>
          <w:bCs/>
          <w:kern w:val="28"/>
          <w:sz w:val="22"/>
          <w:szCs w:val="22"/>
          <w:lang w:val="en-US" w:eastAsia="zh-CN"/>
        </w:rPr>
        <w:t>本项目限价</w:t>
      </w:r>
      <w:r>
        <w:rPr>
          <w:rFonts w:hint="eastAsia" w:ascii="宋体" w:hAnsi="宋体" w:cs="宋体"/>
          <w:b/>
          <w:bCs/>
          <w:kern w:val="28"/>
          <w:sz w:val="22"/>
          <w:szCs w:val="22"/>
          <w:u w:val="single"/>
          <w:lang w:val="en-US" w:eastAsia="zh-CN"/>
        </w:rPr>
        <w:t xml:space="preserve"> 120元</w:t>
      </w:r>
      <w:r>
        <w:rPr>
          <w:rFonts w:hint="eastAsia" w:ascii="宋体" w:hAnsi="宋体" w:cs="宋体"/>
          <w:b/>
          <w:bCs/>
          <w:kern w:val="28"/>
          <w:sz w:val="22"/>
          <w:szCs w:val="22"/>
          <w:lang w:val="en-US" w:eastAsia="zh-CN"/>
        </w:rPr>
        <w:t>/科次，高于限价无效，要求按照坐一隔一安排考生座位。考试费用计算按照报名人数中标单价，</w:t>
      </w:r>
      <w:r>
        <w:rPr>
          <w:rFonts w:hint="eastAsia" w:ascii="宋体" w:hAnsi="宋体" w:cs="宋体"/>
          <w:b/>
          <w:bCs/>
          <w:kern w:val="28"/>
          <w:sz w:val="22"/>
          <w:szCs w:val="22"/>
        </w:rPr>
        <w:t>参评</w:t>
      </w:r>
      <w:r>
        <w:rPr>
          <w:rFonts w:hint="eastAsia" w:ascii="宋体" w:hAnsi="宋体" w:cs="宋体"/>
          <w:b/>
          <w:bCs/>
          <w:sz w:val="22"/>
          <w:szCs w:val="22"/>
          <w:lang w:val="zh-CN"/>
        </w:rPr>
        <w:t>报价包括：</w:t>
      </w:r>
      <w:r>
        <w:rPr>
          <w:rFonts w:hint="eastAsia" w:ascii="宋体" w:hAnsi="宋体" w:cs="宋体"/>
          <w:b/>
          <w:bCs/>
          <w:sz w:val="22"/>
          <w:szCs w:val="22"/>
        </w:rPr>
        <w:t>服务费用</w:t>
      </w:r>
      <w:r>
        <w:rPr>
          <w:rFonts w:hint="eastAsia" w:ascii="宋体" w:hAnsi="宋体" w:cs="宋体"/>
          <w:b/>
          <w:bCs/>
          <w:sz w:val="22"/>
          <w:szCs w:val="22"/>
          <w:lang w:val="zh-CN"/>
        </w:rPr>
        <w:t>、各项税费</w:t>
      </w:r>
      <w:r>
        <w:rPr>
          <w:rFonts w:hint="eastAsia" w:ascii="宋体" w:hAnsi="宋体" w:cs="Arial"/>
          <w:b/>
          <w:bCs/>
          <w:sz w:val="22"/>
          <w:szCs w:val="22"/>
        </w:rPr>
        <w:t>。</w:t>
      </w:r>
    </w:p>
    <w:p>
      <w:pPr>
        <w:tabs>
          <w:tab w:val="left" w:pos="0"/>
          <w:tab w:val="left" w:pos="170"/>
          <w:tab w:val="left" w:pos="540"/>
        </w:tabs>
        <w:adjustRightInd w:val="0"/>
        <w:snapToGrid w:val="0"/>
        <w:spacing w:line="360" w:lineRule="auto"/>
        <w:ind w:firstLine="442" w:firstLineChars="200"/>
        <w:rPr>
          <w:rFonts w:ascii="宋体" w:hAnsi="宋体" w:cs="宋体"/>
          <w:kern w:val="28"/>
          <w:sz w:val="22"/>
          <w:szCs w:val="22"/>
        </w:rPr>
      </w:pPr>
      <w:r>
        <w:rPr>
          <w:rFonts w:ascii="宋体" w:hAnsi="宋体" w:cs="宋体"/>
          <w:b/>
          <w:bCs/>
          <w:sz w:val="22"/>
          <w:szCs w:val="22"/>
        </w:rPr>
        <w:t>三、</w:t>
      </w:r>
      <w:bookmarkStart w:id="3" w:name="_Toc51606918"/>
      <w:r>
        <w:rPr>
          <w:rFonts w:hint="eastAsia"/>
          <w:b/>
          <w:sz w:val="22"/>
          <w:szCs w:val="21"/>
        </w:rPr>
        <w:t>项目背景</w:t>
      </w:r>
      <w:bookmarkEnd w:id="3"/>
    </w:p>
    <w:p>
      <w:p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bookmarkStart w:id="4" w:name="_Toc29671487"/>
      <w:bookmarkStart w:id="5" w:name="_Toc51606920"/>
      <w:r>
        <w:rPr>
          <w:rFonts w:hint="eastAsia" w:ascii="宋体" w:hAnsi="宋体" w:cs="宋体"/>
          <w:kern w:val="28"/>
          <w:sz w:val="22"/>
          <w:szCs w:val="22"/>
        </w:rPr>
        <w:t>为切实提高全省消防救援队伍消防监督管理能力素质和业务水平，推动全省消防监督管理工作水平迈上新的台阶，根据总队工作部署，决定组织开展</w:t>
      </w:r>
      <w:r>
        <w:rPr>
          <w:rFonts w:hint="eastAsia" w:ascii="Times New Roman" w:hAnsi="Times New Roman" w:eastAsia="宋体" w:cs="Times New Roman"/>
          <w:b/>
          <w:sz w:val="22"/>
          <w:szCs w:val="21"/>
          <w:u w:val="none"/>
          <w:lang w:val="en-US" w:eastAsia="zh-CN"/>
        </w:rPr>
        <w:t>全省2023年度业务考试暨首次一级消防监督执法资格考试</w:t>
      </w:r>
      <w:r>
        <w:rPr>
          <w:rFonts w:hint="eastAsia" w:ascii="宋体" w:hAnsi="宋体" w:cs="宋体"/>
          <w:kern w:val="28"/>
          <w:sz w:val="22"/>
          <w:szCs w:val="22"/>
        </w:rPr>
        <w:t xml:space="preserve">。本次考试采购方案实施计划如下： </w:t>
      </w:r>
    </w:p>
    <w:p>
      <w:p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一、计划考试时间：</w:t>
      </w:r>
    </w:p>
    <w:p>
      <w:pPr>
        <w:tabs>
          <w:tab w:val="left" w:pos="0"/>
          <w:tab w:val="left" w:pos="170"/>
          <w:tab w:val="left" w:pos="540"/>
        </w:tabs>
        <w:adjustRightInd w:val="0"/>
        <w:snapToGrid w:val="0"/>
        <w:spacing w:line="360" w:lineRule="auto"/>
        <w:ind w:firstLine="880" w:firstLineChars="400"/>
        <w:rPr>
          <w:rFonts w:ascii="宋体" w:hAnsi="宋体" w:cs="宋体"/>
          <w:kern w:val="28"/>
          <w:sz w:val="22"/>
          <w:szCs w:val="22"/>
        </w:rPr>
      </w:pPr>
      <w:r>
        <w:rPr>
          <w:rFonts w:hint="eastAsia" w:ascii="宋体" w:hAnsi="宋体" w:cs="宋体"/>
          <w:kern w:val="28"/>
          <w:sz w:val="22"/>
          <w:szCs w:val="22"/>
        </w:rPr>
        <w:t>202</w:t>
      </w:r>
      <w:r>
        <w:rPr>
          <w:rFonts w:hint="eastAsia" w:ascii="宋体" w:hAnsi="宋体" w:cs="宋体"/>
          <w:kern w:val="28"/>
          <w:sz w:val="22"/>
          <w:szCs w:val="22"/>
          <w:lang w:val="en-US" w:eastAsia="zh-CN"/>
        </w:rPr>
        <w:t>3</w:t>
      </w:r>
      <w:r>
        <w:rPr>
          <w:rFonts w:hint="eastAsia" w:ascii="宋体" w:hAnsi="宋体" w:cs="宋体"/>
          <w:kern w:val="28"/>
          <w:sz w:val="22"/>
          <w:szCs w:val="22"/>
        </w:rPr>
        <w:t>年</w:t>
      </w:r>
      <w:r>
        <w:rPr>
          <w:rFonts w:hint="eastAsia" w:ascii="宋体" w:hAnsi="宋体" w:cs="宋体"/>
          <w:kern w:val="28"/>
          <w:sz w:val="22"/>
          <w:szCs w:val="22"/>
          <w:lang w:val="en-US" w:eastAsia="zh-CN"/>
        </w:rPr>
        <w:t>12月</w:t>
      </w:r>
      <w:r>
        <w:rPr>
          <w:rFonts w:hint="eastAsia" w:ascii="宋体" w:hAnsi="宋体" w:cs="宋体"/>
          <w:kern w:val="28"/>
          <w:sz w:val="22"/>
          <w:szCs w:val="22"/>
        </w:rPr>
        <w:t>周末，</w:t>
      </w:r>
      <w:r>
        <w:rPr>
          <w:rFonts w:hint="eastAsia" w:ascii="宋体" w:hAnsi="宋体" w:cs="宋体"/>
          <w:kern w:val="28"/>
          <w:sz w:val="22"/>
          <w:szCs w:val="22"/>
          <w:lang w:val="en-US" w:eastAsia="zh-CN"/>
        </w:rPr>
        <w:t>分</w:t>
      </w:r>
      <w:r>
        <w:rPr>
          <w:rFonts w:hint="eastAsia" w:ascii="宋体" w:hAnsi="宋体" w:cs="宋体"/>
          <w:kern w:val="28"/>
          <w:sz w:val="22"/>
          <w:szCs w:val="22"/>
        </w:rPr>
        <w:t>两批次进行。</w:t>
      </w:r>
    </w:p>
    <w:p>
      <w:pPr>
        <w:tabs>
          <w:tab w:val="left" w:pos="0"/>
          <w:tab w:val="left" w:pos="170"/>
          <w:tab w:val="left" w:pos="540"/>
        </w:tabs>
        <w:adjustRightInd w:val="0"/>
        <w:snapToGrid w:val="0"/>
        <w:spacing w:line="360" w:lineRule="auto"/>
        <w:ind w:firstLine="880" w:firstLineChars="400"/>
        <w:rPr>
          <w:rFonts w:ascii="宋体" w:hAnsi="宋体" w:cs="宋体"/>
          <w:kern w:val="28"/>
          <w:sz w:val="22"/>
          <w:szCs w:val="22"/>
        </w:rPr>
      </w:pPr>
      <w:r>
        <w:rPr>
          <w:rFonts w:hint="eastAsia" w:ascii="宋体" w:hAnsi="宋体" w:cs="宋体"/>
          <w:kern w:val="28"/>
          <w:sz w:val="22"/>
          <w:szCs w:val="22"/>
          <w:lang w:val="en-US" w:eastAsia="zh-CN"/>
        </w:rPr>
        <w:t>第一</w:t>
      </w:r>
      <w:r>
        <w:rPr>
          <w:rFonts w:hint="eastAsia" w:ascii="宋体" w:hAnsi="宋体" w:cs="宋体"/>
          <w:kern w:val="28"/>
          <w:sz w:val="22"/>
          <w:szCs w:val="22"/>
        </w:rPr>
        <w:t>场：</w:t>
      </w:r>
      <w:r>
        <w:rPr>
          <w:rFonts w:hint="eastAsia" w:ascii="宋体" w:hAnsi="宋体" w:cs="宋体"/>
          <w:kern w:val="28"/>
          <w:sz w:val="22"/>
          <w:szCs w:val="22"/>
          <w:lang w:val="en-US" w:eastAsia="zh-CN"/>
        </w:rPr>
        <w:t>8</w:t>
      </w:r>
      <w:r>
        <w:rPr>
          <w:rFonts w:hint="eastAsia" w:ascii="宋体" w:hAnsi="宋体" w:cs="宋体"/>
          <w:kern w:val="28"/>
          <w:sz w:val="22"/>
          <w:szCs w:val="22"/>
        </w:rPr>
        <w:t>：</w:t>
      </w:r>
      <w:r>
        <w:rPr>
          <w:rFonts w:hint="eastAsia" w:ascii="宋体" w:hAnsi="宋体" w:cs="宋体"/>
          <w:kern w:val="28"/>
          <w:sz w:val="22"/>
          <w:szCs w:val="22"/>
          <w:lang w:val="en-US" w:eastAsia="zh-CN"/>
        </w:rPr>
        <w:t>0</w:t>
      </w:r>
      <w:r>
        <w:rPr>
          <w:rFonts w:hint="eastAsia" w:ascii="宋体" w:hAnsi="宋体" w:cs="宋体"/>
          <w:kern w:val="28"/>
          <w:sz w:val="22"/>
          <w:szCs w:val="22"/>
        </w:rPr>
        <w:t>0-1</w:t>
      </w:r>
      <w:r>
        <w:rPr>
          <w:rFonts w:hint="eastAsia" w:ascii="宋体" w:hAnsi="宋体" w:cs="宋体"/>
          <w:kern w:val="28"/>
          <w:sz w:val="22"/>
          <w:szCs w:val="22"/>
          <w:lang w:val="en-US" w:eastAsia="zh-CN"/>
        </w:rPr>
        <w:t>0</w:t>
      </w:r>
      <w:r>
        <w:rPr>
          <w:rFonts w:hint="eastAsia" w:ascii="宋体" w:hAnsi="宋体" w:cs="宋体"/>
          <w:kern w:val="28"/>
          <w:sz w:val="22"/>
          <w:szCs w:val="22"/>
        </w:rPr>
        <w:t>:</w:t>
      </w:r>
      <w:r>
        <w:rPr>
          <w:rFonts w:hint="eastAsia" w:ascii="宋体" w:hAnsi="宋体" w:cs="宋体"/>
          <w:kern w:val="28"/>
          <w:sz w:val="22"/>
          <w:szCs w:val="22"/>
          <w:lang w:val="en-US" w:eastAsia="zh-CN"/>
        </w:rPr>
        <w:t>0</w:t>
      </w:r>
      <w:r>
        <w:rPr>
          <w:rFonts w:hint="eastAsia" w:ascii="宋体" w:hAnsi="宋体" w:cs="宋体"/>
          <w:kern w:val="28"/>
          <w:sz w:val="22"/>
          <w:szCs w:val="22"/>
        </w:rPr>
        <w:t>0</w:t>
      </w:r>
    </w:p>
    <w:p>
      <w:pPr>
        <w:tabs>
          <w:tab w:val="left" w:pos="0"/>
          <w:tab w:val="left" w:pos="170"/>
          <w:tab w:val="left" w:pos="540"/>
        </w:tabs>
        <w:adjustRightInd w:val="0"/>
        <w:snapToGrid w:val="0"/>
        <w:spacing w:line="360" w:lineRule="auto"/>
        <w:ind w:firstLine="880" w:firstLineChars="400"/>
        <w:rPr>
          <w:rFonts w:ascii="宋体" w:hAnsi="宋体" w:cs="宋体"/>
          <w:kern w:val="28"/>
          <w:sz w:val="22"/>
          <w:szCs w:val="22"/>
        </w:rPr>
      </w:pPr>
      <w:r>
        <w:rPr>
          <w:rFonts w:hint="eastAsia" w:ascii="宋体" w:hAnsi="宋体" w:cs="宋体"/>
          <w:kern w:val="28"/>
          <w:sz w:val="22"/>
          <w:szCs w:val="22"/>
          <w:lang w:val="en-US" w:eastAsia="zh-CN"/>
        </w:rPr>
        <w:t>第二</w:t>
      </w:r>
      <w:r>
        <w:rPr>
          <w:rFonts w:hint="eastAsia" w:ascii="宋体" w:hAnsi="宋体" w:cs="宋体"/>
          <w:kern w:val="28"/>
          <w:sz w:val="22"/>
          <w:szCs w:val="22"/>
        </w:rPr>
        <w:t>场：1</w:t>
      </w:r>
      <w:r>
        <w:rPr>
          <w:rFonts w:hint="eastAsia" w:ascii="宋体" w:hAnsi="宋体" w:cs="宋体"/>
          <w:kern w:val="28"/>
          <w:sz w:val="22"/>
          <w:szCs w:val="22"/>
          <w:lang w:val="en-US" w:eastAsia="zh-CN"/>
        </w:rPr>
        <w:t>0</w:t>
      </w:r>
      <w:r>
        <w:rPr>
          <w:rFonts w:hint="eastAsia" w:ascii="宋体" w:hAnsi="宋体" w:cs="宋体"/>
          <w:kern w:val="28"/>
          <w:sz w:val="22"/>
          <w:szCs w:val="22"/>
        </w:rPr>
        <w:t>:</w:t>
      </w:r>
      <w:r>
        <w:rPr>
          <w:rFonts w:hint="eastAsia" w:ascii="宋体" w:hAnsi="宋体" w:cs="宋体"/>
          <w:kern w:val="28"/>
          <w:sz w:val="22"/>
          <w:szCs w:val="22"/>
          <w:lang w:val="en-US" w:eastAsia="zh-CN"/>
        </w:rPr>
        <w:t>3</w:t>
      </w:r>
      <w:r>
        <w:rPr>
          <w:rFonts w:hint="eastAsia" w:ascii="宋体" w:hAnsi="宋体" w:cs="宋体"/>
          <w:kern w:val="28"/>
          <w:sz w:val="22"/>
          <w:szCs w:val="22"/>
        </w:rPr>
        <w:t>0-1</w:t>
      </w:r>
      <w:r>
        <w:rPr>
          <w:rFonts w:hint="eastAsia" w:ascii="宋体" w:hAnsi="宋体" w:cs="宋体"/>
          <w:kern w:val="28"/>
          <w:sz w:val="22"/>
          <w:szCs w:val="22"/>
          <w:lang w:val="en-US" w:eastAsia="zh-CN"/>
        </w:rPr>
        <w:t>2</w:t>
      </w:r>
      <w:r>
        <w:rPr>
          <w:rFonts w:hint="eastAsia" w:ascii="宋体" w:hAnsi="宋体" w:cs="宋体"/>
          <w:kern w:val="28"/>
          <w:sz w:val="22"/>
          <w:szCs w:val="22"/>
        </w:rPr>
        <w:t>:</w:t>
      </w:r>
      <w:r>
        <w:rPr>
          <w:rFonts w:hint="eastAsia" w:ascii="宋体" w:hAnsi="宋体" w:cs="宋体"/>
          <w:kern w:val="28"/>
          <w:sz w:val="22"/>
          <w:szCs w:val="22"/>
          <w:lang w:val="en-US" w:eastAsia="zh-CN"/>
        </w:rPr>
        <w:t>3</w:t>
      </w:r>
      <w:r>
        <w:rPr>
          <w:rFonts w:hint="eastAsia" w:ascii="宋体" w:hAnsi="宋体" w:cs="宋体"/>
          <w:kern w:val="28"/>
          <w:sz w:val="22"/>
          <w:szCs w:val="22"/>
        </w:rPr>
        <w:t>0</w:t>
      </w:r>
    </w:p>
    <w:p>
      <w:p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二、考试形式：</w:t>
      </w:r>
    </w:p>
    <w:p>
      <w:pPr>
        <w:tabs>
          <w:tab w:val="left" w:pos="0"/>
          <w:tab w:val="left" w:pos="170"/>
          <w:tab w:val="left" w:pos="540"/>
        </w:tabs>
        <w:adjustRightInd w:val="0"/>
        <w:snapToGrid w:val="0"/>
        <w:spacing w:line="360" w:lineRule="auto"/>
        <w:ind w:firstLine="880" w:firstLineChars="400"/>
        <w:rPr>
          <w:rFonts w:hint="default" w:ascii="宋体" w:hAnsi="宋体" w:eastAsia="宋体" w:cs="宋体"/>
          <w:kern w:val="28"/>
          <w:sz w:val="22"/>
          <w:szCs w:val="22"/>
          <w:lang w:val="en-US" w:eastAsia="zh-CN"/>
        </w:rPr>
      </w:pPr>
      <w:r>
        <w:rPr>
          <w:rFonts w:hint="eastAsia" w:ascii="宋体" w:hAnsi="宋体" w:cs="宋体"/>
          <w:kern w:val="28"/>
          <w:sz w:val="22"/>
          <w:szCs w:val="22"/>
        </w:rPr>
        <w:t>上机考试</w:t>
      </w:r>
      <w:r>
        <w:rPr>
          <w:rFonts w:hint="eastAsia" w:ascii="宋体" w:hAnsi="宋体" w:cs="宋体"/>
          <w:kern w:val="28"/>
          <w:sz w:val="22"/>
          <w:szCs w:val="22"/>
          <w:lang w:eastAsia="zh-CN"/>
        </w:rPr>
        <w:t>，</w:t>
      </w:r>
      <w:r>
        <w:rPr>
          <w:rFonts w:hint="eastAsia" w:ascii="宋体" w:hAnsi="宋体" w:cs="宋体"/>
          <w:kern w:val="28"/>
          <w:sz w:val="22"/>
          <w:szCs w:val="22"/>
          <w:lang w:val="en-US" w:eastAsia="zh-CN"/>
        </w:rPr>
        <w:t>现场出成绩</w:t>
      </w:r>
    </w:p>
    <w:p>
      <w:p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三、考试人员：</w:t>
      </w:r>
    </w:p>
    <w:p>
      <w:p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全省消防救援队伍在岗全体干部。</w:t>
      </w:r>
    </w:p>
    <w:p>
      <w:pPr>
        <w:tabs>
          <w:tab w:val="left" w:pos="0"/>
          <w:tab w:val="left" w:pos="170"/>
          <w:tab w:val="left" w:pos="540"/>
        </w:tabs>
        <w:adjustRightInd w:val="0"/>
        <w:snapToGrid w:val="0"/>
        <w:spacing w:line="360" w:lineRule="auto"/>
        <w:ind w:firstLine="440" w:firstLineChars="200"/>
        <w:rPr>
          <w:rFonts w:ascii="宋体" w:hAnsi="宋体" w:cs="宋体"/>
          <w:kern w:val="28"/>
          <w:sz w:val="22"/>
          <w:szCs w:val="22"/>
        </w:rPr>
      </w:pPr>
      <w:r>
        <w:rPr>
          <w:rFonts w:hint="eastAsia" w:ascii="宋体" w:hAnsi="宋体" w:cs="宋体"/>
          <w:kern w:val="28"/>
          <w:sz w:val="22"/>
          <w:szCs w:val="22"/>
        </w:rPr>
        <w:t>四、考点安排：</w:t>
      </w:r>
    </w:p>
    <w:p>
      <w:pPr>
        <w:tabs>
          <w:tab w:val="left" w:pos="0"/>
          <w:tab w:val="left" w:pos="170"/>
          <w:tab w:val="left" w:pos="540"/>
        </w:tabs>
        <w:adjustRightInd w:val="0"/>
        <w:snapToGrid w:val="0"/>
        <w:spacing w:line="360" w:lineRule="auto"/>
        <w:ind w:firstLine="440" w:firstLineChars="200"/>
        <w:rPr>
          <w:rFonts w:hint="default" w:ascii="宋体" w:hAnsi="宋体" w:eastAsia="宋体" w:cs="宋体"/>
          <w:kern w:val="28"/>
          <w:sz w:val="22"/>
          <w:szCs w:val="22"/>
          <w:lang w:val="en-US" w:eastAsia="zh-CN"/>
        </w:rPr>
      </w:pPr>
      <w:r>
        <w:rPr>
          <w:rFonts w:hint="eastAsia" w:ascii="宋体" w:hAnsi="宋体" w:cs="宋体"/>
          <w:kern w:val="28"/>
          <w:sz w:val="22"/>
          <w:szCs w:val="22"/>
        </w:rPr>
        <w:t>为方便考生就近参加考试，此次考试</w:t>
      </w:r>
      <w:r>
        <w:rPr>
          <w:rFonts w:hint="eastAsia" w:ascii="宋体" w:hAnsi="宋体" w:cs="宋体"/>
          <w:kern w:val="28"/>
          <w:sz w:val="22"/>
          <w:szCs w:val="22"/>
          <w:lang w:val="en-US" w:eastAsia="zh-CN"/>
        </w:rPr>
        <w:t>设立7个考区，按照就近原则安排考试，安排单人单桌间隔80cm以上，或者采用隔一坐一的隔位方式，考点满足交通便利。</w:t>
      </w:r>
    </w:p>
    <w:p>
      <w:pPr>
        <w:keepNext/>
        <w:keepLines/>
        <w:widowControl/>
        <w:numPr>
          <w:ilvl w:val="1"/>
          <w:numId w:val="0"/>
        </w:numPr>
        <w:spacing w:line="360" w:lineRule="auto"/>
        <w:ind w:firstLine="442" w:firstLineChars="200"/>
        <w:rPr>
          <w:rFonts w:ascii="宋体" w:hAnsi="宋体" w:cs="宋体"/>
          <w:b/>
          <w:bCs/>
          <w:color w:val="000000"/>
          <w:sz w:val="22"/>
          <w:szCs w:val="22"/>
        </w:rPr>
      </w:pPr>
      <w:r>
        <w:rPr>
          <w:rFonts w:hint="eastAsia" w:ascii="宋体" w:hAnsi="宋体" w:cs="宋体"/>
          <w:b/>
          <w:bCs/>
          <w:color w:val="000000"/>
          <w:sz w:val="22"/>
          <w:szCs w:val="22"/>
        </w:rPr>
        <w:t>（二）服务</w:t>
      </w:r>
      <w:bookmarkEnd w:id="4"/>
      <w:bookmarkEnd w:id="5"/>
      <w:r>
        <w:rPr>
          <w:rFonts w:hint="eastAsia" w:ascii="宋体" w:hAnsi="宋体" w:cs="宋体"/>
          <w:b/>
          <w:bCs/>
          <w:color w:val="000000"/>
          <w:sz w:val="22"/>
          <w:szCs w:val="22"/>
        </w:rPr>
        <w:t>内容</w:t>
      </w:r>
    </w:p>
    <w:p>
      <w:pPr>
        <w:spacing w:after="120" w:afterLines="50" w:line="240" w:lineRule="atLeast"/>
        <w:rPr>
          <w:rFonts w:ascii="宋体" w:hAnsi="宋体" w:cs="宋体"/>
          <w:sz w:val="22"/>
          <w:szCs w:val="22"/>
        </w:rPr>
      </w:pPr>
      <w:r>
        <w:rPr>
          <w:rFonts w:hint="eastAsia" w:ascii="宋体" w:hAnsi="宋体" w:cs="宋体"/>
          <w:color w:val="000000"/>
          <w:sz w:val="22"/>
          <w:szCs w:val="22"/>
        </w:rPr>
        <w:t>1.采购人委托</w:t>
      </w:r>
      <w:r>
        <w:rPr>
          <w:rFonts w:hint="eastAsia" w:ascii="宋体" w:hAnsi="宋体" w:cs="宋体"/>
          <w:color w:val="000000"/>
          <w:sz w:val="22"/>
          <w:szCs w:val="22"/>
          <w:lang w:eastAsia="zh-CN"/>
        </w:rPr>
        <w:t>成交</w:t>
      </w:r>
      <w:r>
        <w:rPr>
          <w:rFonts w:hint="eastAsia" w:ascii="宋体" w:hAnsi="宋体" w:cs="宋体"/>
          <w:color w:val="000000"/>
          <w:sz w:val="22"/>
          <w:szCs w:val="22"/>
          <w:lang w:val="en-US" w:eastAsia="zh-CN"/>
        </w:rPr>
        <w:t>人</w:t>
      </w:r>
      <w:r>
        <w:rPr>
          <w:rFonts w:hint="eastAsia" w:ascii="宋体" w:hAnsi="宋体" w:cs="宋体"/>
          <w:sz w:val="22"/>
          <w:szCs w:val="22"/>
        </w:rPr>
        <w:t>提供考试服务并保证该服务所依托的智能化考试系统的合法性、先进性、准确性。考试服务包括提供符合考试要求的考场服务、考试考场编排、监考安排、考试电子化题库、判分、考生咨询服务等，报名数据与成绩分析、试题分析等。</w:t>
      </w:r>
    </w:p>
    <w:p>
      <w:pPr>
        <w:spacing w:after="120" w:afterLines="50" w:line="240" w:lineRule="atLeast"/>
        <w:rPr>
          <w:rFonts w:ascii="宋体" w:hAnsi="宋体" w:cs="宋体"/>
          <w:sz w:val="22"/>
          <w:szCs w:val="22"/>
        </w:rPr>
      </w:pPr>
      <w:r>
        <w:rPr>
          <w:rFonts w:hint="eastAsia" w:ascii="宋体" w:hAnsi="宋体" w:cs="宋体"/>
          <w:sz w:val="22"/>
          <w:szCs w:val="22"/>
        </w:rPr>
        <w:t>2、考务管理：根据</w:t>
      </w:r>
      <w:r>
        <w:rPr>
          <w:rFonts w:hint="eastAsia" w:ascii="宋体" w:hAnsi="宋体" w:cs="宋体"/>
          <w:sz w:val="22"/>
          <w:szCs w:val="22"/>
          <w:lang w:eastAsia="zh-CN"/>
        </w:rPr>
        <w:t>采购人</w:t>
      </w:r>
      <w:r>
        <w:rPr>
          <w:rFonts w:hint="eastAsia" w:ascii="宋体" w:hAnsi="宋体" w:cs="宋体"/>
          <w:sz w:val="22"/>
          <w:szCs w:val="22"/>
        </w:rPr>
        <w:t>制定的考试管理政策对本协议涉及的考站进行培训、管理及技术支持，将考试报名及考试结果数据按要求上报给</w:t>
      </w:r>
      <w:r>
        <w:rPr>
          <w:rFonts w:hint="eastAsia" w:ascii="宋体" w:hAnsi="宋体" w:cs="宋体"/>
          <w:sz w:val="22"/>
          <w:szCs w:val="22"/>
          <w:lang w:eastAsia="zh-CN"/>
        </w:rPr>
        <w:t>采购人</w:t>
      </w:r>
      <w:r>
        <w:rPr>
          <w:rFonts w:hint="eastAsia" w:ascii="宋体" w:hAnsi="宋体" w:cs="宋体"/>
          <w:sz w:val="22"/>
          <w:szCs w:val="22"/>
        </w:rPr>
        <w:t>。</w:t>
      </w:r>
    </w:p>
    <w:p>
      <w:pPr>
        <w:spacing w:after="120" w:afterLines="50" w:line="240" w:lineRule="atLeast"/>
        <w:rPr>
          <w:rFonts w:ascii="宋体" w:hAnsi="宋体" w:cs="宋体"/>
          <w:sz w:val="22"/>
          <w:szCs w:val="22"/>
        </w:rPr>
      </w:pPr>
      <w:r>
        <w:rPr>
          <w:rFonts w:hint="eastAsia" w:ascii="宋体" w:hAnsi="宋体" w:cs="宋体"/>
          <w:sz w:val="22"/>
          <w:szCs w:val="22"/>
        </w:rPr>
        <w:t>3、測评结果：</w:t>
      </w:r>
      <w:r>
        <w:rPr>
          <w:rFonts w:hint="eastAsia" w:ascii="宋体" w:hAnsi="宋体" w:cs="宋体"/>
          <w:sz w:val="22"/>
          <w:szCs w:val="22"/>
          <w:lang w:eastAsia="zh-CN"/>
        </w:rPr>
        <w:t>成交</w:t>
      </w:r>
      <w:r>
        <w:rPr>
          <w:rFonts w:hint="eastAsia" w:ascii="宋体" w:hAnsi="宋体" w:cs="宋体"/>
          <w:sz w:val="22"/>
          <w:szCs w:val="22"/>
          <w:lang w:val="en-US" w:eastAsia="zh-CN"/>
        </w:rPr>
        <w:t>人</w:t>
      </w:r>
      <w:r>
        <w:rPr>
          <w:rFonts w:hint="eastAsia" w:ascii="宋体" w:hAnsi="宋体" w:cs="宋体"/>
          <w:sz w:val="22"/>
          <w:szCs w:val="22"/>
        </w:rPr>
        <w:t>将提供</w:t>
      </w:r>
      <w:r>
        <w:rPr>
          <w:rFonts w:hint="eastAsia" w:ascii="宋体" w:hAnsi="宋体" w:cs="宋体"/>
          <w:sz w:val="22"/>
          <w:szCs w:val="22"/>
          <w:lang w:eastAsia="zh-CN"/>
        </w:rPr>
        <w:t>采购人</w:t>
      </w:r>
      <w:r>
        <w:rPr>
          <w:rFonts w:hint="eastAsia" w:ascii="宋体" w:hAnsi="宋体" w:cs="宋体"/>
          <w:sz w:val="22"/>
          <w:szCs w:val="22"/>
        </w:rPr>
        <w:t>考试成绩数据，根据</w:t>
      </w:r>
      <w:r>
        <w:rPr>
          <w:rFonts w:hint="eastAsia" w:ascii="宋体" w:hAnsi="宋体" w:cs="宋体"/>
          <w:sz w:val="22"/>
          <w:szCs w:val="22"/>
          <w:lang w:eastAsia="zh-CN"/>
        </w:rPr>
        <w:t>采购人</w:t>
      </w:r>
      <w:r>
        <w:rPr>
          <w:rFonts w:hint="eastAsia" w:ascii="宋体" w:hAnsi="宋体" w:cs="宋体"/>
          <w:sz w:val="22"/>
          <w:szCs w:val="22"/>
        </w:rPr>
        <w:t>规定的通过率进行成绩发布。</w:t>
      </w:r>
    </w:p>
    <w:p>
      <w:pPr>
        <w:tabs>
          <w:tab w:val="left" w:pos="0"/>
        </w:tabs>
        <w:adjustRightInd w:val="0"/>
        <w:snapToGrid w:val="0"/>
        <w:spacing w:line="360" w:lineRule="auto"/>
        <w:ind w:firstLine="420"/>
        <w:rPr>
          <w:rFonts w:ascii="宋体" w:hAnsi="宋体" w:cs="宋体"/>
          <w:color w:val="000000"/>
          <w:sz w:val="22"/>
          <w:szCs w:val="22"/>
        </w:rPr>
      </w:pPr>
    </w:p>
    <w:p>
      <w:pPr>
        <w:numPr>
          <w:ilvl w:val="0"/>
          <w:numId w:val="3"/>
        </w:numPr>
        <w:tabs>
          <w:tab w:val="left" w:pos="0"/>
        </w:tabs>
        <w:adjustRightInd w:val="0"/>
        <w:snapToGrid w:val="0"/>
        <w:spacing w:line="360" w:lineRule="auto"/>
        <w:ind w:firstLine="420"/>
      </w:pPr>
      <w:r>
        <w:rPr>
          <w:rFonts w:hint="eastAsia" w:ascii="宋体" w:hAnsi="宋体" w:cs="宋体"/>
          <w:b/>
          <w:color w:val="000000"/>
          <w:sz w:val="22"/>
          <w:szCs w:val="22"/>
        </w:rPr>
        <w:t>服务时间</w:t>
      </w:r>
    </w:p>
    <w:p>
      <w:pPr>
        <w:tabs>
          <w:tab w:val="left" w:pos="0"/>
        </w:tabs>
        <w:adjustRightInd w:val="0"/>
        <w:snapToGrid w:val="0"/>
        <w:spacing w:line="360" w:lineRule="auto"/>
        <w:rPr>
          <w:rFonts w:ascii="宋体" w:hAnsi="宋体" w:cs="宋体"/>
          <w:color w:val="000000"/>
          <w:sz w:val="22"/>
          <w:szCs w:val="22"/>
        </w:rPr>
      </w:pPr>
      <w:r>
        <w:rPr>
          <w:rFonts w:hint="eastAsia" w:ascii="宋体" w:hAnsi="宋体" w:cs="宋体"/>
          <w:color w:val="000000"/>
          <w:sz w:val="22"/>
          <w:szCs w:val="22"/>
        </w:rPr>
        <w:t xml:space="preserve">     服务时间为采购合同签订生效之日起</w:t>
      </w:r>
      <w:r>
        <w:rPr>
          <w:rFonts w:ascii="宋体" w:hAnsi="宋体" w:cs="宋体"/>
          <w:color w:val="000000"/>
          <w:sz w:val="22"/>
          <w:szCs w:val="22"/>
        </w:rPr>
        <w:t>20</w:t>
      </w:r>
      <w:r>
        <w:rPr>
          <w:rFonts w:hint="eastAsia" w:ascii="宋体" w:hAnsi="宋体" w:cs="宋体"/>
          <w:color w:val="000000"/>
          <w:sz w:val="22"/>
          <w:szCs w:val="22"/>
        </w:rPr>
        <w:t>日内完成。</w:t>
      </w:r>
    </w:p>
    <w:p>
      <w:pPr>
        <w:tabs>
          <w:tab w:val="left" w:pos="0"/>
        </w:tabs>
        <w:adjustRightInd w:val="0"/>
        <w:snapToGrid w:val="0"/>
        <w:spacing w:line="360" w:lineRule="auto"/>
        <w:rPr>
          <w:rFonts w:hint="eastAsia" w:ascii="宋体" w:hAnsi="宋体" w:cs="宋体"/>
          <w:b/>
          <w:bCs/>
          <w:sz w:val="22"/>
          <w:szCs w:val="22"/>
        </w:rPr>
      </w:pPr>
      <w:r>
        <w:rPr>
          <w:rFonts w:hint="eastAsia"/>
          <w:sz w:val="22"/>
          <w:szCs w:val="21"/>
        </w:rPr>
        <w:t xml:space="preserve">    </w:t>
      </w:r>
      <w:r>
        <w:rPr>
          <w:rFonts w:hint="eastAsia" w:ascii="宋体" w:hAnsi="宋体" w:cs="宋体"/>
          <w:b/>
          <w:bCs/>
          <w:sz w:val="22"/>
          <w:szCs w:val="22"/>
        </w:rPr>
        <w:t>（四）参评人条件要求</w:t>
      </w:r>
    </w:p>
    <w:p>
      <w:pPr>
        <w:pStyle w:val="13"/>
      </w:pP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8" w:type="pct"/>
            <w:shd w:val="clear" w:color="000000"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4551" w:type="pct"/>
            <w:shd w:val="clear" w:color="000000"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具体条件要求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8" w:type="pct"/>
            <w:shd w:val="clear" w:color="000000"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4551" w:type="pct"/>
            <w:shd w:val="clear" w:color="000000" w:fill="auto"/>
            <w:vAlign w:val="center"/>
          </w:tcPr>
          <w:p>
            <w:pPr>
              <w:pStyle w:val="18"/>
              <w:tabs>
                <w:tab w:val="left" w:pos="363"/>
              </w:tabs>
              <w:ind w:firstLine="0" w:firstLineChars="0"/>
              <w:rPr>
                <w:rFonts w:ascii="宋体" w:hAnsi="宋体" w:cs="宋体"/>
                <w:sz w:val="24"/>
                <w:szCs w:val="24"/>
              </w:rPr>
            </w:pPr>
            <w:r>
              <w:rPr>
                <w:rFonts w:hint="eastAsia" w:ascii="宋体" w:hAnsi="宋体" w:cs="宋体"/>
                <w:sz w:val="24"/>
                <w:szCs w:val="24"/>
              </w:rPr>
              <w:t>在中国境内注册的独立法人或非法人组织（独立法人提供营业执照扫描件/非法人组织则提供相应证照扫描件）。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 w:type="pct"/>
            <w:shd w:val="clear" w:color="000000" w:fill="auto"/>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2</w:t>
            </w:r>
          </w:p>
        </w:tc>
        <w:tc>
          <w:tcPr>
            <w:tcW w:w="4551" w:type="pct"/>
            <w:shd w:val="clear" w:color="000000" w:fill="auto"/>
            <w:vAlign w:val="center"/>
          </w:tcPr>
          <w:p>
            <w:pPr>
              <w:pStyle w:val="18"/>
              <w:tabs>
                <w:tab w:val="left" w:pos="363"/>
              </w:tabs>
              <w:ind w:firstLine="0" w:firstLineChars="0"/>
              <w:rPr>
                <w:rFonts w:ascii="宋体" w:hAnsi="宋体" w:cs="宋体"/>
                <w:color w:val="000000"/>
                <w:sz w:val="24"/>
                <w:szCs w:val="24"/>
              </w:rPr>
            </w:pPr>
            <w:r>
              <w:rPr>
                <w:rFonts w:hint="eastAsia" w:ascii="宋体" w:hAnsi="宋体" w:cs="宋体"/>
                <w:color w:val="000000"/>
                <w:sz w:val="24"/>
                <w:szCs w:val="24"/>
              </w:rPr>
              <w:t>参评人须符合财政部关于诚信管理的要求，通过“信用中国”（www.creditchina.gov.cn）官网进行信用信息查询。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 w:type="pct"/>
            <w:shd w:val="clear" w:color="000000" w:fill="auto"/>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3</w:t>
            </w:r>
          </w:p>
        </w:tc>
        <w:tc>
          <w:tcPr>
            <w:tcW w:w="4551" w:type="pct"/>
            <w:shd w:val="clear" w:color="000000" w:fill="auto"/>
            <w:vAlign w:val="center"/>
          </w:tcPr>
          <w:p>
            <w:pPr>
              <w:pStyle w:val="18"/>
              <w:tabs>
                <w:tab w:val="left" w:pos="363"/>
              </w:tabs>
              <w:ind w:firstLine="0" w:firstLineChars="0"/>
              <w:rPr>
                <w:rFonts w:ascii="宋体" w:hAnsi="宋体" w:cs="宋体"/>
                <w:color w:val="000000"/>
                <w:sz w:val="24"/>
                <w:szCs w:val="24"/>
              </w:rPr>
            </w:pPr>
            <w:r>
              <w:rPr>
                <w:rFonts w:hint="eastAsia" w:ascii="宋体" w:hAnsi="宋体" w:cs="宋体"/>
                <w:color w:val="000000"/>
                <w:sz w:val="24"/>
                <w:szCs w:val="24"/>
              </w:rPr>
              <w:t>参评人近三年（以遴选截止日期为准）在政府采购中心无履约评价为差的记录。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48" w:type="pct"/>
            <w:shd w:val="clear" w:color="000000" w:fill="auto"/>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4</w:t>
            </w:r>
          </w:p>
        </w:tc>
        <w:tc>
          <w:tcPr>
            <w:tcW w:w="4551" w:type="pct"/>
            <w:shd w:val="clear" w:color="000000" w:fill="auto"/>
            <w:vAlign w:val="center"/>
          </w:tcPr>
          <w:p>
            <w:pPr>
              <w:pStyle w:val="18"/>
              <w:tabs>
                <w:tab w:val="left" w:pos="363"/>
              </w:tabs>
              <w:ind w:firstLine="0" w:firstLineChars="0"/>
              <w:rPr>
                <w:rFonts w:ascii="宋体" w:hAnsi="宋体" w:cs="宋体"/>
                <w:sz w:val="24"/>
                <w:szCs w:val="24"/>
              </w:rPr>
            </w:pPr>
            <w:r>
              <w:rPr>
                <w:rFonts w:hint="eastAsia" w:ascii="宋体" w:hAnsi="宋体" w:cs="宋体"/>
                <w:sz w:val="24"/>
                <w:szCs w:val="24"/>
              </w:rPr>
              <w:t>参评人承担本项目的各项税费，应就服务费提供等额增值税发票。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448" w:type="pct"/>
            <w:shd w:val="clear" w:color="000000" w:fill="auto"/>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5</w:t>
            </w:r>
          </w:p>
        </w:tc>
        <w:tc>
          <w:tcPr>
            <w:tcW w:w="4551" w:type="pct"/>
            <w:shd w:val="clear" w:color="000000" w:fill="auto"/>
            <w:vAlign w:val="center"/>
          </w:tcPr>
          <w:p>
            <w:pPr>
              <w:pStyle w:val="18"/>
              <w:tabs>
                <w:tab w:val="left" w:pos="363"/>
              </w:tabs>
              <w:ind w:firstLine="0" w:firstLineChars="0"/>
              <w:rPr>
                <w:rFonts w:ascii="宋体" w:hAnsi="宋体" w:cs="宋体"/>
                <w:sz w:val="24"/>
                <w:szCs w:val="24"/>
              </w:rPr>
            </w:pPr>
            <w:r>
              <w:rPr>
                <w:rFonts w:hint="eastAsia"/>
                <w:sz w:val="22"/>
                <w:szCs w:val="22"/>
              </w:rPr>
              <w:t>参评</w:t>
            </w:r>
            <w:r>
              <w:rPr>
                <w:sz w:val="22"/>
                <w:szCs w:val="22"/>
              </w:rPr>
              <w:t>人的报价明显低于其他通过符合性审查投标人的报价，有可能影响产品质量或者不能诚信履约的，</w:t>
            </w:r>
            <w:r>
              <w:rPr>
                <w:rFonts w:hint="eastAsia"/>
                <w:sz w:val="22"/>
                <w:szCs w:val="22"/>
              </w:rPr>
              <w:t>参评</w:t>
            </w:r>
            <w:r>
              <w:rPr>
                <w:sz w:val="22"/>
                <w:szCs w:val="22"/>
              </w:rPr>
              <w:t>人</w:t>
            </w:r>
            <w:r>
              <w:rPr>
                <w:rFonts w:hint="eastAsia"/>
                <w:sz w:val="22"/>
                <w:szCs w:val="22"/>
              </w:rPr>
              <w:t>要</w:t>
            </w:r>
            <w:r>
              <w:rPr>
                <w:sz w:val="22"/>
                <w:szCs w:val="22"/>
              </w:rPr>
              <w:t>在合理的时间内提供书面说明，或提交相关证明材料，</w:t>
            </w:r>
            <w:r>
              <w:rPr>
                <w:rFonts w:hint="eastAsia"/>
                <w:sz w:val="22"/>
                <w:szCs w:val="22"/>
              </w:rPr>
              <w:t>参评</w:t>
            </w:r>
            <w:r>
              <w:rPr>
                <w:sz w:val="22"/>
                <w:szCs w:val="22"/>
              </w:rPr>
              <w:t>人能证明其报价合理性的</w:t>
            </w:r>
            <w:r>
              <w:rPr>
                <w:rFonts w:hint="eastAsia"/>
                <w:sz w:val="22"/>
                <w:szCs w:val="22"/>
              </w:rPr>
              <w:t>。</w:t>
            </w:r>
          </w:p>
        </w:tc>
      </w:tr>
    </w:tbl>
    <w:p>
      <w:pPr>
        <w:tabs>
          <w:tab w:val="left" w:pos="0"/>
          <w:tab w:val="left" w:pos="170"/>
          <w:tab w:val="left" w:pos="540"/>
        </w:tabs>
        <w:autoSpaceDE w:val="0"/>
        <w:autoSpaceDN w:val="0"/>
        <w:adjustRightInd w:val="0"/>
        <w:snapToGrid w:val="0"/>
        <w:spacing w:line="360" w:lineRule="auto"/>
        <w:outlineLvl w:val="1"/>
        <w:rPr>
          <w:rFonts w:ascii="宋体" w:hAnsi="宋体" w:cs="宋体"/>
          <w:b/>
          <w:bCs/>
          <w:sz w:val="22"/>
          <w:szCs w:val="22"/>
        </w:rPr>
      </w:pPr>
    </w:p>
    <w:p>
      <w:pPr>
        <w:keepNext/>
        <w:keepLines/>
        <w:adjustRightInd w:val="0"/>
        <w:spacing w:line="360" w:lineRule="auto"/>
        <w:jc w:val="center"/>
        <w:textAlignment w:val="baseline"/>
        <w:outlineLvl w:val="1"/>
        <w:rPr>
          <w:rFonts w:ascii="宋体" w:hAnsi="宋体"/>
          <w:b/>
          <w:sz w:val="36"/>
          <w:szCs w:val="36"/>
        </w:rPr>
      </w:pPr>
      <w:r>
        <w:rPr>
          <w:rFonts w:hint="eastAsia" w:ascii="宋体" w:hAnsi="宋体"/>
          <w:b/>
          <w:sz w:val="36"/>
          <w:szCs w:val="36"/>
        </w:rPr>
        <w:br w:type="page"/>
      </w:r>
      <w:r>
        <w:rPr>
          <w:rFonts w:hint="eastAsia" w:ascii="宋体" w:hAnsi="宋体"/>
          <w:b/>
          <w:sz w:val="36"/>
          <w:szCs w:val="36"/>
        </w:rPr>
        <w:t>第三章  评审办法</w:t>
      </w:r>
    </w:p>
    <w:p>
      <w:pPr>
        <w:widowControl/>
        <w:spacing w:line="360" w:lineRule="auto"/>
        <w:ind w:firstLine="442" w:firstLineChars="200"/>
        <w:jc w:val="left"/>
        <w:rPr>
          <w:rFonts w:ascii="宋体" w:hAnsi="宋体" w:cs="宋体"/>
          <w:b/>
          <w:bCs/>
          <w:kern w:val="0"/>
          <w:sz w:val="22"/>
          <w:szCs w:val="22"/>
        </w:rPr>
      </w:pPr>
    </w:p>
    <w:p>
      <w:pPr>
        <w:widowControl/>
        <w:spacing w:line="360" w:lineRule="auto"/>
        <w:ind w:firstLine="442" w:firstLineChars="200"/>
        <w:jc w:val="left"/>
        <w:rPr>
          <w:rFonts w:ascii="宋体" w:hAnsi="宋体" w:cs="宋体"/>
          <w:b/>
          <w:bCs/>
          <w:kern w:val="0"/>
          <w:sz w:val="22"/>
          <w:szCs w:val="22"/>
        </w:rPr>
      </w:pPr>
      <w:r>
        <w:rPr>
          <w:rFonts w:hint="eastAsia" w:ascii="宋体" w:hAnsi="宋体" w:cs="宋体"/>
          <w:b/>
          <w:bCs/>
          <w:kern w:val="0"/>
          <w:sz w:val="22"/>
          <w:szCs w:val="22"/>
        </w:rPr>
        <w:t>一、评审与定评</w:t>
      </w:r>
    </w:p>
    <w:p>
      <w:pPr>
        <w:widowControl/>
        <w:numPr>
          <w:ilvl w:val="0"/>
          <w:numId w:val="4"/>
        </w:numPr>
        <w:tabs>
          <w:tab w:val="left" w:pos="720"/>
        </w:tabs>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当通过资格、符合性审查的</w:t>
      </w:r>
      <w:r>
        <w:rPr>
          <w:rFonts w:hint="eastAsia" w:ascii="宋体" w:hAnsi="宋体" w:cs="宋体"/>
          <w:kern w:val="28"/>
          <w:sz w:val="22"/>
          <w:szCs w:val="22"/>
        </w:rPr>
        <w:t>参评</w:t>
      </w:r>
      <w:r>
        <w:rPr>
          <w:rFonts w:hint="eastAsia" w:ascii="宋体" w:hAnsi="宋体" w:cs="宋体"/>
          <w:kern w:val="0"/>
          <w:sz w:val="22"/>
          <w:szCs w:val="22"/>
        </w:rPr>
        <w:t>人不少于三家时，按照评审程序的规定和依据评分标准、计算方法，各评委单独封闭对每个</w:t>
      </w:r>
      <w:r>
        <w:rPr>
          <w:rFonts w:hint="eastAsia" w:ascii="宋体" w:hAnsi="宋体" w:cs="宋体"/>
          <w:kern w:val="28"/>
          <w:sz w:val="22"/>
          <w:szCs w:val="22"/>
        </w:rPr>
        <w:t>参评</w:t>
      </w:r>
      <w:r>
        <w:rPr>
          <w:rFonts w:hint="eastAsia" w:ascii="宋体" w:hAnsi="宋体" w:cs="宋体"/>
          <w:kern w:val="0"/>
          <w:sz w:val="22"/>
          <w:szCs w:val="22"/>
        </w:rPr>
        <w:t>人进行评审和比较。</w:t>
      </w:r>
    </w:p>
    <w:p>
      <w:pPr>
        <w:widowControl/>
        <w:numPr>
          <w:ilvl w:val="0"/>
          <w:numId w:val="4"/>
        </w:numPr>
        <w:tabs>
          <w:tab w:val="left" w:pos="720"/>
        </w:tabs>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成交人资格的确定，由评审小组推荐，并由采购人确认。</w:t>
      </w:r>
    </w:p>
    <w:p>
      <w:pPr>
        <w:widowControl/>
        <w:numPr>
          <w:ilvl w:val="0"/>
          <w:numId w:val="4"/>
        </w:numPr>
        <w:tabs>
          <w:tab w:val="left" w:pos="720"/>
        </w:tabs>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比较与评价。评审小组</w:t>
      </w:r>
      <w:r>
        <w:rPr>
          <w:rFonts w:hint="eastAsia" w:ascii="宋体" w:hAnsi="宋体"/>
          <w:sz w:val="22"/>
          <w:szCs w:val="22"/>
        </w:rPr>
        <w:t>按遴选文件中规定的评审方法和标准，对资格审查和符合性审查合格的</w:t>
      </w:r>
      <w:r>
        <w:rPr>
          <w:rFonts w:hint="eastAsia" w:ascii="宋体" w:hAnsi="宋体" w:cs="宋体"/>
          <w:kern w:val="28"/>
          <w:sz w:val="22"/>
          <w:szCs w:val="22"/>
        </w:rPr>
        <w:t>参评</w:t>
      </w:r>
      <w:r>
        <w:rPr>
          <w:rFonts w:hint="eastAsia" w:ascii="宋体" w:hAnsi="宋体"/>
          <w:sz w:val="22"/>
          <w:szCs w:val="22"/>
        </w:rPr>
        <w:t>文件进行商务和技术评估，综合比较与评价。技术、商务、价格部分分值分配如下</w:t>
      </w:r>
      <w:r>
        <w:rPr>
          <w:rFonts w:hint="eastAsia" w:ascii="宋体" w:hAnsi="宋体" w:cs="宋体"/>
          <w:kern w:val="0"/>
          <w:sz w:val="22"/>
          <w:szCs w:val="22"/>
        </w:rPr>
        <w:t>：</w:t>
      </w:r>
    </w:p>
    <w:tbl>
      <w:tblPr>
        <w:tblStyle w:val="14"/>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985"/>
        <w:gridCol w:w="1895"/>
        <w:gridCol w:w="1912"/>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72" w:type="dxa"/>
            <w:shd w:val="clear" w:color="auto" w:fill="EAEAEA"/>
            <w:vAlign w:val="center"/>
          </w:tcPr>
          <w:p>
            <w:pPr>
              <w:autoSpaceDE w:val="0"/>
              <w:autoSpaceDN w:val="0"/>
              <w:adjustRightInd w:val="0"/>
              <w:jc w:val="center"/>
              <w:rPr>
                <w:rFonts w:ascii="宋体" w:hAnsi="宋体" w:cs="宋体"/>
                <w:b/>
                <w:kern w:val="0"/>
                <w:sz w:val="22"/>
                <w:szCs w:val="22"/>
              </w:rPr>
            </w:pPr>
            <w:r>
              <w:rPr>
                <w:rFonts w:hint="eastAsia" w:ascii="宋体" w:hAnsi="宋体" w:cs="宋体"/>
                <w:b/>
                <w:kern w:val="0"/>
                <w:sz w:val="22"/>
                <w:szCs w:val="22"/>
              </w:rPr>
              <w:t>评分项目</w:t>
            </w:r>
          </w:p>
        </w:tc>
        <w:tc>
          <w:tcPr>
            <w:tcW w:w="1985" w:type="dxa"/>
            <w:shd w:val="clear" w:color="auto" w:fill="EAEAEA"/>
            <w:vAlign w:val="center"/>
          </w:tcPr>
          <w:p>
            <w:pPr>
              <w:autoSpaceDE w:val="0"/>
              <w:autoSpaceDN w:val="0"/>
              <w:adjustRightInd w:val="0"/>
              <w:jc w:val="center"/>
              <w:rPr>
                <w:rFonts w:ascii="宋体" w:hAnsi="宋体" w:cs="宋体"/>
                <w:b/>
                <w:kern w:val="0"/>
                <w:sz w:val="22"/>
                <w:szCs w:val="22"/>
              </w:rPr>
            </w:pPr>
            <w:r>
              <w:rPr>
                <w:rFonts w:hint="eastAsia" w:ascii="宋体" w:hAnsi="宋体" w:cs="宋体"/>
                <w:b/>
                <w:kern w:val="0"/>
                <w:sz w:val="22"/>
                <w:szCs w:val="22"/>
              </w:rPr>
              <w:t>技术评分</w:t>
            </w:r>
          </w:p>
        </w:tc>
        <w:tc>
          <w:tcPr>
            <w:tcW w:w="1895" w:type="dxa"/>
            <w:shd w:val="clear" w:color="auto" w:fill="EAEAEA"/>
            <w:vAlign w:val="center"/>
          </w:tcPr>
          <w:p>
            <w:pPr>
              <w:autoSpaceDE w:val="0"/>
              <w:autoSpaceDN w:val="0"/>
              <w:adjustRightInd w:val="0"/>
              <w:ind w:left="6" w:leftChars="-51" w:hanging="113" w:hangingChars="51"/>
              <w:jc w:val="center"/>
              <w:rPr>
                <w:rFonts w:ascii="宋体" w:hAnsi="宋体" w:cs="宋体"/>
                <w:b/>
                <w:kern w:val="0"/>
                <w:sz w:val="22"/>
                <w:szCs w:val="22"/>
              </w:rPr>
            </w:pPr>
            <w:r>
              <w:rPr>
                <w:rFonts w:hint="eastAsia" w:ascii="宋体" w:hAnsi="宋体" w:cs="宋体"/>
                <w:b/>
                <w:kern w:val="0"/>
                <w:sz w:val="22"/>
                <w:szCs w:val="22"/>
              </w:rPr>
              <w:t>商务评分</w:t>
            </w:r>
          </w:p>
        </w:tc>
        <w:tc>
          <w:tcPr>
            <w:tcW w:w="1912" w:type="dxa"/>
            <w:shd w:val="clear" w:color="auto" w:fill="EAEAEA"/>
            <w:vAlign w:val="center"/>
          </w:tcPr>
          <w:p>
            <w:pPr>
              <w:autoSpaceDE w:val="0"/>
              <w:autoSpaceDN w:val="0"/>
              <w:adjustRightInd w:val="0"/>
              <w:ind w:left="6" w:leftChars="-51" w:hanging="113" w:hangingChars="51"/>
              <w:jc w:val="center"/>
              <w:rPr>
                <w:rFonts w:ascii="宋体" w:hAnsi="宋体" w:cs="宋体"/>
                <w:b/>
                <w:kern w:val="0"/>
                <w:sz w:val="22"/>
                <w:szCs w:val="22"/>
              </w:rPr>
            </w:pPr>
            <w:r>
              <w:rPr>
                <w:rFonts w:hint="eastAsia" w:ascii="宋体" w:hAnsi="宋体" w:cs="宋体"/>
                <w:b/>
                <w:kern w:val="0"/>
                <w:sz w:val="22"/>
                <w:szCs w:val="22"/>
              </w:rPr>
              <w:t>价格评分</w:t>
            </w:r>
          </w:p>
        </w:tc>
        <w:tc>
          <w:tcPr>
            <w:tcW w:w="1625" w:type="dxa"/>
            <w:shd w:val="clear" w:color="auto" w:fill="EAEAEA"/>
            <w:vAlign w:val="center"/>
          </w:tcPr>
          <w:p>
            <w:pPr>
              <w:autoSpaceDE w:val="0"/>
              <w:autoSpaceDN w:val="0"/>
              <w:adjustRightInd w:val="0"/>
              <w:ind w:left="6" w:leftChars="-51" w:hanging="113" w:hangingChars="51"/>
              <w:jc w:val="center"/>
              <w:rPr>
                <w:rFonts w:ascii="宋体" w:hAnsi="宋体" w:cs="宋体"/>
                <w:b/>
                <w:kern w:val="0"/>
                <w:sz w:val="22"/>
                <w:szCs w:val="22"/>
              </w:rPr>
            </w:pPr>
            <w:r>
              <w:rPr>
                <w:rFonts w:hint="eastAsia" w:ascii="宋体" w:hAnsi="宋体" w:cs="宋体"/>
                <w:b/>
                <w:kern w:val="0"/>
                <w:sz w:val="22"/>
                <w:szCs w:val="22"/>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72" w:type="dxa"/>
            <w:vAlign w:val="center"/>
          </w:tcPr>
          <w:p>
            <w:pPr>
              <w:autoSpaceDE w:val="0"/>
              <w:autoSpaceDN w:val="0"/>
              <w:adjustRightInd w:val="0"/>
              <w:jc w:val="center"/>
              <w:rPr>
                <w:rFonts w:ascii="宋体" w:hAnsi="宋体" w:cs="宋体"/>
                <w:b/>
                <w:kern w:val="0"/>
                <w:sz w:val="22"/>
                <w:szCs w:val="22"/>
              </w:rPr>
            </w:pPr>
            <w:r>
              <w:rPr>
                <w:rFonts w:hint="eastAsia" w:ascii="宋体" w:hAnsi="宋体" w:cs="宋体"/>
                <w:b/>
                <w:kern w:val="0"/>
                <w:sz w:val="22"/>
                <w:szCs w:val="22"/>
              </w:rPr>
              <w:t>分值</w:t>
            </w:r>
          </w:p>
        </w:tc>
        <w:tc>
          <w:tcPr>
            <w:tcW w:w="1985" w:type="dxa"/>
            <w:vAlign w:val="center"/>
          </w:tcPr>
          <w:p>
            <w:pPr>
              <w:autoSpaceDE w:val="0"/>
              <w:autoSpaceDN w:val="0"/>
              <w:adjustRightInd w:val="0"/>
              <w:jc w:val="center"/>
              <w:rPr>
                <w:rFonts w:ascii="宋体" w:hAnsi="宋体" w:cs="宋体"/>
                <w:color w:val="auto"/>
                <w:kern w:val="0"/>
                <w:sz w:val="22"/>
                <w:szCs w:val="22"/>
              </w:rPr>
            </w:pPr>
            <w:r>
              <w:rPr>
                <w:rFonts w:hint="eastAsia" w:ascii="宋体" w:hAnsi="宋体" w:cs="宋体"/>
                <w:color w:val="auto"/>
                <w:kern w:val="0"/>
                <w:sz w:val="22"/>
                <w:szCs w:val="22"/>
              </w:rPr>
              <w:t>50分</w:t>
            </w:r>
          </w:p>
        </w:tc>
        <w:tc>
          <w:tcPr>
            <w:tcW w:w="1895" w:type="dxa"/>
            <w:vAlign w:val="center"/>
          </w:tcPr>
          <w:p>
            <w:pPr>
              <w:autoSpaceDE w:val="0"/>
              <w:autoSpaceDN w:val="0"/>
              <w:adjustRightInd w:val="0"/>
              <w:ind w:leftChars="-51" w:hanging="112" w:hangingChars="51"/>
              <w:jc w:val="center"/>
              <w:rPr>
                <w:rFonts w:ascii="宋体" w:hAnsi="宋体" w:cs="宋体"/>
                <w:color w:val="auto"/>
                <w:kern w:val="0"/>
                <w:sz w:val="22"/>
                <w:szCs w:val="22"/>
              </w:rPr>
            </w:pPr>
            <w:r>
              <w:rPr>
                <w:rFonts w:hint="eastAsia" w:ascii="宋体" w:hAnsi="宋体" w:cs="宋体"/>
                <w:color w:val="auto"/>
                <w:kern w:val="0"/>
                <w:sz w:val="22"/>
                <w:szCs w:val="22"/>
              </w:rPr>
              <w:t>4</w:t>
            </w:r>
            <w:r>
              <w:rPr>
                <w:rFonts w:ascii="宋体" w:hAnsi="宋体" w:cs="宋体"/>
                <w:color w:val="auto"/>
                <w:kern w:val="0"/>
                <w:sz w:val="22"/>
                <w:szCs w:val="22"/>
              </w:rPr>
              <w:t>0</w:t>
            </w:r>
            <w:r>
              <w:rPr>
                <w:rFonts w:hint="eastAsia" w:ascii="宋体" w:hAnsi="宋体" w:cs="宋体"/>
                <w:color w:val="auto"/>
                <w:kern w:val="0"/>
                <w:sz w:val="22"/>
                <w:szCs w:val="22"/>
              </w:rPr>
              <w:t>分</w:t>
            </w:r>
          </w:p>
        </w:tc>
        <w:tc>
          <w:tcPr>
            <w:tcW w:w="1912" w:type="dxa"/>
            <w:vAlign w:val="center"/>
          </w:tcPr>
          <w:p>
            <w:pPr>
              <w:autoSpaceDE w:val="0"/>
              <w:autoSpaceDN w:val="0"/>
              <w:adjustRightInd w:val="0"/>
              <w:ind w:leftChars="-51" w:hanging="112" w:hangingChars="51"/>
              <w:jc w:val="center"/>
              <w:rPr>
                <w:rFonts w:ascii="宋体" w:hAnsi="宋体" w:cs="宋体"/>
                <w:color w:val="auto"/>
                <w:kern w:val="0"/>
                <w:sz w:val="22"/>
                <w:szCs w:val="22"/>
              </w:rPr>
            </w:pPr>
            <w:r>
              <w:rPr>
                <w:rFonts w:hint="eastAsia" w:ascii="宋体" w:hAnsi="宋体" w:cs="宋体"/>
                <w:color w:val="auto"/>
                <w:kern w:val="0"/>
                <w:sz w:val="22"/>
                <w:szCs w:val="22"/>
              </w:rPr>
              <w:t>1</w:t>
            </w:r>
            <w:r>
              <w:rPr>
                <w:rFonts w:ascii="宋体" w:hAnsi="宋体" w:cs="宋体"/>
                <w:color w:val="auto"/>
                <w:kern w:val="0"/>
                <w:sz w:val="22"/>
                <w:szCs w:val="22"/>
              </w:rPr>
              <w:t>0</w:t>
            </w:r>
            <w:r>
              <w:rPr>
                <w:rFonts w:hint="eastAsia" w:ascii="宋体" w:hAnsi="宋体" w:cs="宋体"/>
                <w:color w:val="auto"/>
                <w:kern w:val="0"/>
                <w:sz w:val="22"/>
                <w:szCs w:val="22"/>
              </w:rPr>
              <w:t>分</w:t>
            </w:r>
          </w:p>
        </w:tc>
        <w:tc>
          <w:tcPr>
            <w:tcW w:w="1625" w:type="dxa"/>
            <w:vAlign w:val="center"/>
          </w:tcPr>
          <w:p>
            <w:pPr>
              <w:autoSpaceDE w:val="0"/>
              <w:autoSpaceDN w:val="0"/>
              <w:adjustRightInd w:val="0"/>
              <w:ind w:leftChars="-51" w:hanging="112" w:hangingChars="51"/>
              <w:jc w:val="center"/>
              <w:rPr>
                <w:rFonts w:ascii="宋体" w:hAnsi="宋体" w:cs="宋体"/>
                <w:color w:val="auto"/>
                <w:kern w:val="0"/>
                <w:sz w:val="22"/>
                <w:szCs w:val="22"/>
              </w:rPr>
            </w:pPr>
            <w:r>
              <w:rPr>
                <w:rFonts w:hint="eastAsia" w:ascii="宋体" w:hAnsi="宋体" w:cs="宋体"/>
                <w:color w:val="auto"/>
                <w:kern w:val="0"/>
                <w:sz w:val="22"/>
                <w:szCs w:val="2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72" w:type="dxa"/>
            <w:vAlign w:val="center"/>
          </w:tcPr>
          <w:p>
            <w:pPr>
              <w:autoSpaceDE w:val="0"/>
              <w:autoSpaceDN w:val="0"/>
              <w:adjustRightInd w:val="0"/>
              <w:jc w:val="center"/>
              <w:rPr>
                <w:rFonts w:ascii="宋体" w:hAnsi="宋体" w:cs="宋体"/>
                <w:b/>
                <w:kern w:val="0"/>
                <w:sz w:val="22"/>
                <w:szCs w:val="22"/>
              </w:rPr>
            </w:pPr>
            <w:r>
              <w:rPr>
                <w:rFonts w:hint="eastAsia" w:ascii="宋体" w:hAnsi="宋体" w:cs="宋体"/>
                <w:b/>
                <w:kern w:val="0"/>
                <w:sz w:val="22"/>
                <w:szCs w:val="22"/>
              </w:rPr>
              <w:t>权重</w:t>
            </w:r>
          </w:p>
        </w:tc>
        <w:tc>
          <w:tcPr>
            <w:tcW w:w="1985" w:type="dxa"/>
            <w:vAlign w:val="center"/>
          </w:tcPr>
          <w:p>
            <w:pPr>
              <w:autoSpaceDE w:val="0"/>
              <w:autoSpaceDN w:val="0"/>
              <w:adjustRightInd w:val="0"/>
              <w:jc w:val="center"/>
              <w:rPr>
                <w:rFonts w:ascii="宋体" w:hAnsi="宋体" w:cs="宋体"/>
                <w:kern w:val="0"/>
                <w:sz w:val="22"/>
                <w:szCs w:val="22"/>
              </w:rPr>
            </w:pPr>
            <w:r>
              <w:rPr>
                <w:rFonts w:hint="eastAsia" w:ascii="宋体" w:hAnsi="宋体" w:cs="宋体"/>
                <w:kern w:val="0"/>
                <w:sz w:val="22"/>
                <w:szCs w:val="22"/>
              </w:rPr>
              <w:t>50%</w:t>
            </w:r>
          </w:p>
        </w:tc>
        <w:tc>
          <w:tcPr>
            <w:tcW w:w="1895" w:type="dxa"/>
            <w:vAlign w:val="center"/>
          </w:tcPr>
          <w:p>
            <w:pPr>
              <w:autoSpaceDE w:val="0"/>
              <w:autoSpaceDN w:val="0"/>
              <w:adjustRightInd w:val="0"/>
              <w:jc w:val="center"/>
              <w:rPr>
                <w:rFonts w:ascii="宋体" w:hAnsi="宋体" w:cs="宋体"/>
                <w:kern w:val="0"/>
                <w:sz w:val="22"/>
                <w:szCs w:val="22"/>
              </w:rPr>
            </w:pPr>
            <w:r>
              <w:rPr>
                <w:rFonts w:hint="eastAsia" w:ascii="宋体" w:hAnsi="宋体" w:cs="宋体"/>
                <w:kern w:val="0"/>
                <w:sz w:val="22"/>
                <w:szCs w:val="22"/>
              </w:rPr>
              <w:t>4</w:t>
            </w:r>
            <w:r>
              <w:rPr>
                <w:rFonts w:ascii="宋体" w:hAnsi="宋体" w:cs="宋体"/>
                <w:kern w:val="0"/>
                <w:sz w:val="22"/>
                <w:szCs w:val="22"/>
              </w:rPr>
              <w:t>0</w:t>
            </w:r>
            <w:r>
              <w:rPr>
                <w:rFonts w:hint="eastAsia" w:ascii="宋体" w:hAnsi="宋体" w:cs="宋体"/>
                <w:kern w:val="0"/>
                <w:sz w:val="22"/>
                <w:szCs w:val="22"/>
              </w:rPr>
              <w:t>%</w:t>
            </w:r>
          </w:p>
        </w:tc>
        <w:tc>
          <w:tcPr>
            <w:tcW w:w="1912" w:type="dxa"/>
            <w:vAlign w:val="center"/>
          </w:tcPr>
          <w:p>
            <w:pPr>
              <w:autoSpaceDE w:val="0"/>
              <w:autoSpaceDN w:val="0"/>
              <w:adjustRightInd w:val="0"/>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0</w:t>
            </w:r>
            <w:r>
              <w:rPr>
                <w:rFonts w:hint="eastAsia" w:ascii="宋体" w:hAnsi="宋体" w:cs="宋体"/>
                <w:kern w:val="0"/>
                <w:sz w:val="22"/>
                <w:szCs w:val="22"/>
              </w:rPr>
              <w:t>%</w:t>
            </w:r>
          </w:p>
        </w:tc>
        <w:tc>
          <w:tcPr>
            <w:tcW w:w="1625" w:type="dxa"/>
            <w:vAlign w:val="center"/>
          </w:tcPr>
          <w:p>
            <w:pPr>
              <w:autoSpaceDE w:val="0"/>
              <w:autoSpaceDN w:val="0"/>
              <w:adjustRightInd w:val="0"/>
              <w:jc w:val="center"/>
              <w:rPr>
                <w:rFonts w:ascii="宋体" w:hAnsi="宋体" w:cs="宋体"/>
                <w:kern w:val="0"/>
                <w:sz w:val="22"/>
                <w:szCs w:val="22"/>
              </w:rPr>
            </w:pPr>
            <w:bookmarkStart w:id="6" w:name="_Toc215655096"/>
            <w:bookmarkStart w:id="7" w:name="_Toc225564544"/>
            <w:r>
              <w:rPr>
                <w:rFonts w:hint="eastAsia" w:ascii="宋体" w:hAnsi="宋体" w:cs="宋体"/>
                <w:kern w:val="0"/>
                <w:sz w:val="22"/>
                <w:szCs w:val="22"/>
              </w:rPr>
              <w:t>100</w:t>
            </w:r>
            <w:bookmarkEnd w:id="6"/>
            <w:bookmarkEnd w:id="7"/>
            <w:r>
              <w:rPr>
                <w:rFonts w:hint="eastAsia" w:ascii="宋体" w:hAnsi="宋体" w:cs="宋体"/>
                <w:kern w:val="0"/>
                <w:sz w:val="22"/>
                <w:szCs w:val="22"/>
              </w:rPr>
              <w:t>%</w:t>
            </w:r>
          </w:p>
        </w:tc>
      </w:tr>
    </w:tbl>
    <w:p>
      <w:pPr>
        <w:widowControl/>
        <w:numPr>
          <w:ilvl w:val="0"/>
          <w:numId w:val="4"/>
        </w:numPr>
        <w:tabs>
          <w:tab w:val="left" w:pos="720"/>
        </w:tabs>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技术评分</w:t>
      </w:r>
    </w:p>
    <w:p>
      <w:pPr>
        <w:widowControl/>
        <w:numPr>
          <w:ilvl w:val="0"/>
          <w:numId w:val="5"/>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由评审小组对所有</w:t>
      </w:r>
      <w:r>
        <w:rPr>
          <w:rFonts w:hint="eastAsia" w:ascii="宋体" w:hAnsi="宋体" w:cs="宋体"/>
          <w:kern w:val="28"/>
          <w:sz w:val="22"/>
          <w:szCs w:val="22"/>
        </w:rPr>
        <w:t>参评</w:t>
      </w:r>
      <w:r>
        <w:rPr>
          <w:rFonts w:hint="eastAsia" w:ascii="宋体" w:hAnsi="宋体" w:cs="宋体"/>
          <w:kern w:val="0"/>
          <w:sz w:val="22"/>
          <w:szCs w:val="22"/>
        </w:rPr>
        <w:t>文件的技术部分的响应进行审核和分析；</w:t>
      </w:r>
    </w:p>
    <w:p>
      <w:pPr>
        <w:widowControl/>
        <w:numPr>
          <w:ilvl w:val="0"/>
          <w:numId w:val="5"/>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评委独立进行评分，填写“技术评分表”；</w:t>
      </w:r>
    </w:p>
    <w:p>
      <w:pPr>
        <w:widowControl/>
        <w:numPr>
          <w:ilvl w:val="0"/>
          <w:numId w:val="5"/>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评分标准：按“技术评分表”中的分值进行评分；</w:t>
      </w:r>
    </w:p>
    <w:p>
      <w:pPr>
        <w:widowControl/>
        <w:numPr>
          <w:ilvl w:val="0"/>
          <w:numId w:val="5"/>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将每一个评委的评分汇集，取算术平均值（精确到小数点后两位）为该</w:t>
      </w:r>
      <w:r>
        <w:rPr>
          <w:rFonts w:hint="eastAsia" w:ascii="宋体" w:hAnsi="宋体" w:cs="宋体"/>
          <w:kern w:val="28"/>
          <w:sz w:val="22"/>
          <w:szCs w:val="22"/>
        </w:rPr>
        <w:t>参评</w:t>
      </w:r>
      <w:r>
        <w:rPr>
          <w:rFonts w:hint="eastAsia" w:ascii="宋体" w:hAnsi="宋体" w:cs="宋体"/>
          <w:kern w:val="0"/>
          <w:sz w:val="22"/>
          <w:szCs w:val="22"/>
        </w:rPr>
        <w:t>人的技术得分。</w:t>
      </w:r>
    </w:p>
    <w:p>
      <w:pPr>
        <w:widowControl/>
        <w:numPr>
          <w:ilvl w:val="0"/>
          <w:numId w:val="4"/>
        </w:numPr>
        <w:tabs>
          <w:tab w:val="left" w:pos="720"/>
        </w:tabs>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商务评分</w:t>
      </w:r>
    </w:p>
    <w:p>
      <w:pPr>
        <w:widowControl/>
        <w:numPr>
          <w:ilvl w:val="0"/>
          <w:numId w:val="6"/>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由评审小组对所有参评文件的商务部分的响应进行审核和分析；</w:t>
      </w:r>
    </w:p>
    <w:p>
      <w:pPr>
        <w:widowControl/>
        <w:numPr>
          <w:ilvl w:val="0"/>
          <w:numId w:val="6"/>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评委独立进行评分，填写“商务评分表”；</w:t>
      </w:r>
    </w:p>
    <w:p>
      <w:pPr>
        <w:widowControl/>
        <w:numPr>
          <w:ilvl w:val="0"/>
          <w:numId w:val="6"/>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评分标准：按“商务评分表”中的分值进行评分；</w:t>
      </w:r>
    </w:p>
    <w:p>
      <w:pPr>
        <w:widowControl/>
        <w:numPr>
          <w:ilvl w:val="0"/>
          <w:numId w:val="6"/>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将每一个评委的评分汇集，取算术平均值（精确到小数点后两位）为该参评人的商务得分。</w:t>
      </w:r>
    </w:p>
    <w:p>
      <w:pPr>
        <w:widowControl/>
        <w:numPr>
          <w:ilvl w:val="0"/>
          <w:numId w:val="4"/>
        </w:numPr>
        <w:tabs>
          <w:tab w:val="left" w:pos="720"/>
        </w:tabs>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价格评分</w:t>
      </w:r>
    </w:p>
    <w:p>
      <w:pPr>
        <w:widowControl/>
        <w:numPr>
          <w:ilvl w:val="0"/>
          <w:numId w:val="7"/>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由评审小组对所有参评文件的价格部分的响应进行审核和分析。</w:t>
      </w:r>
    </w:p>
    <w:p>
      <w:pPr>
        <w:widowControl/>
        <w:numPr>
          <w:ilvl w:val="0"/>
          <w:numId w:val="7"/>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基准价格分：以有效参评人中报价最低的参评报价为基准价，定其基准价格分为满分。</w:t>
      </w:r>
    </w:p>
    <w:p>
      <w:pPr>
        <w:widowControl/>
        <w:numPr>
          <w:ilvl w:val="0"/>
          <w:numId w:val="7"/>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参评人的价格得分=评审基准价÷参评报价×价格分值（精确到小数点后两位）。由此算出每个参评人的“价格得分”。</w:t>
      </w:r>
    </w:p>
    <w:p>
      <w:pPr>
        <w:widowControl/>
        <w:numPr>
          <w:ilvl w:val="0"/>
          <w:numId w:val="7"/>
        </w:numPr>
        <w:tabs>
          <w:tab w:val="left" w:pos="720"/>
        </w:tabs>
        <w:snapToGrid w:val="0"/>
        <w:spacing w:line="360" w:lineRule="auto"/>
        <w:jc w:val="left"/>
        <w:rPr>
          <w:rFonts w:ascii="宋体" w:hAnsi="宋体" w:cs="宋体"/>
          <w:kern w:val="0"/>
          <w:sz w:val="22"/>
          <w:szCs w:val="22"/>
        </w:rPr>
      </w:pPr>
      <w:r>
        <w:rPr>
          <w:rFonts w:hint="eastAsia" w:ascii="宋体" w:hAnsi="宋体" w:cs="宋体"/>
          <w:kern w:val="0"/>
          <w:sz w:val="22"/>
          <w:szCs w:val="22"/>
        </w:rPr>
        <w:t>评委检查每个参评人的价格评分计算情况，确认“价格得分”。</w:t>
      </w:r>
    </w:p>
    <w:p>
      <w:pPr>
        <w:widowControl/>
        <w:spacing w:line="360" w:lineRule="auto"/>
        <w:ind w:firstLine="442" w:firstLineChars="200"/>
        <w:jc w:val="left"/>
        <w:rPr>
          <w:rFonts w:ascii="宋体" w:hAnsi="宋体" w:cs="宋体"/>
          <w:kern w:val="0"/>
          <w:sz w:val="22"/>
          <w:szCs w:val="22"/>
        </w:rPr>
      </w:pPr>
      <w:r>
        <w:rPr>
          <w:rFonts w:hint="eastAsia" w:ascii="宋体" w:hAnsi="宋体" w:cs="宋体"/>
          <w:b/>
          <w:bCs/>
          <w:kern w:val="0"/>
          <w:sz w:val="22"/>
          <w:szCs w:val="22"/>
        </w:rPr>
        <w:t>二、</w:t>
      </w:r>
      <w:bookmarkStart w:id="8" w:name="_Toc484827211"/>
      <w:r>
        <w:rPr>
          <w:rFonts w:hint="eastAsia" w:ascii="宋体" w:hAnsi="宋体" w:cs="宋体"/>
          <w:b/>
          <w:bCs/>
          <w:kern w:val="0"/>
          <w:sz w:val="22"/>
          <w:szCs w:val="22"/>
        </w:rPr>
        <w:t>综合得分的计算</w:t>
      </w:r>
      <w:bookmarkEnd w:id="8"/>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本项目的评审方法采用综合评分法，综合评分法评审步骤：先进行资格、符合性审查，再进行技术、商务及价格的详细评审。只有通过资格、符合性审查的</w:t>
      </w:r>
      <w:r>
        <w:rPr>
          <w:rFonts w:hint="eastAsia" w:ascii="宋体" w:hAnsi="宋体" w:cs="宋体"/>
          <w:kern w:val="28"/>
          <w:sz w:val="22"/>
          <w:szCs w:val="22"/>
        </w:rPr>
        <w:t>参评</w:t>
      </w:r>
      <w:r>
        <w:rPr>
          <w:rFonts w:hint="eastAsia" w:ascii="宋体" w:hAnsi="宋体" w:cs="宋体"/>
          <w:kern w:val="0"/>
          <w:sz w:val="22"/>
          <w:szCs w:val="22"/>
        </w:rPr>
        <w:t>人才能进入详细的评审。</w:t>
      </w:r>
    </w:p>
    <w:p>
      <w:pPr>
        <w:adjustRightInd w:val="0"/>
        <w:snapToGrid w:val="0"/>
        <w:spacing w:line="360" w:lineRule="auto"/>
        <w:ind w:firstLine="440" w:firstLineChars="200"/>
        <w:rPr>
          <w:rFonts w:ascii="宋体" w:hAnsi="宋体" w:cs="Arial"/>
          <w:sz w:val="22"/>
          <w:szCs w:val="22"/>
        </w:rPr>
      </w:pPr>
      <w:r>
        <w:rPr>
          <w:rFonts w:hint="eastAsia" w:ascii="宋体" w:hAnsi="宋体" w:cs="Arial"/>
          <w:sz w:val="22"/>
          <w:szCs w:val="22"/>
        </w:rPr>
        <w:t>综合得分（精确到小数点后两位）=</w:t>
      </w:r>
      <w:bookmarkStart w:id="9" w:name="ScoreFormula"/>
      <w:r>
        <w:rPr>
          <w:rFonts w:hint="eastAsia" w:ascii="宋体" w:hAnsi="宋体" w:cs="Arial"/>
          <w:sz w:val="22"/>
          <w:szCs w:val="22"/>
        </w:rPr>
        <w:t>技术得分+商务得分+价格得分</w:t>
      </w:r>
      <w:bookmarkEnd w:id="9"/>
      <w:r>
        <w:rPr>
          <w:rFonts w:hint="eastAsia" w:ascii="宋体" w:hAnsi="宋体" w:cs="Arial"/>
          <w:sz w:val="22"/>
          <w:szCs w:val="22"/>
        </w:rPr>
        <w:t>。</w:t>
      </w:r>
      <w:r>
        <w:rPr>
          <w:rFonts w:hint="eastAsia" w:ascii="宋体" w:hAnsi="宋体"/>
          <w:bCs/>
          <w:sz w:val="22"/>
          <w:szCs w:val="22"/>
        </w:rPr>
        <w:t>综合得分相同的，名次按技术评分由高到低顺序排列；综合得分相同且技术评分相同的，名次按商务评分由高到低顺序排列；综合得分相同、技术评分和商务评分均相同的，名次由评审价由低到高顺序排列。综合得分相同、技术评分、商务评分和评审价均相同的评审小组抽签确定。法律法规有明确规定的，以法律法规规定为准。</w:t>
      </w:r>
    </w:p>
    <w:p>
      <w:pPr>
        <w:widowControl/>
        <w:spacing w:line="360" w:lineRule="auto"/>
        <w:ind w:firstLine="442" w:firstLineChars="200"/>
        <w:jc w:val="left"/>
        <w:rPr>
          <w:rFonts w:ascii="宋体" w:hAnsi="宋体" w:cs="宋体"/>
          <w:b/>
          <w:bCs/>
          <w:kern w:val="0"/>
          <w:sz w:val="22"/>
          <w:szCs w:val="22"/>
        </w:rPr>
      </w:pPr>
      <w:r>
        <w:rPr>
          <w:rFonts w:hint="eastAsia" w:ascii="宋体" w:hAnsi="宋体" w:cs="宋体"/>
          <w:b/>
          <w:bCs/>
          <w:kern w:val="0"/>
          <w:sz w:val="22"/>
          <w:szCs w:val="22"/>
        </w:rPr>
        <w:t>三、确定成交人</w:t>
      </w:r>
    </w:p>
    <w:p>
      <w:pPr>
        <w:adjustRightInd w:val="0"/>
        <w:snapToGrid w:val="0"/>
        <w:spacing w:line="360" w:lineRule="auto"/>
        <w:ind w:firstLine="440" w:firstLineChars="200"/>
        <w:rPr>
          <w:rFonts w:ascii="宋体" w:hAnsi="宋体" w:cs="Arial"/>
          <w:sz w:val="22"/>
          <w:szCs w:val="22"/>
        </w:rPr>
      </w:pPr>
      <w:r>
        <w:rPr>
          <w:rFonts w:hint="eastAsia" w:ascii="宋体" w:hAnsi="宋体" w:cs="Arial"/>
          <w:sz w:val="22"/>
          <w:szCs w:val="22"/>
        </w:rPr>
        <w:t>采购人将根据评审结果，确定成交人，同时向成交人发出书面《成交通知书》。</w:t>
      </w:r>
    </w:p>
    <w:p>
      <w:pPr>
        <w:adjustRightInd w:val="0"/>
        <w:snapToGrid w:val="0"/>
        <w:spacing w:line="360" w:lineRule="auto"/>
        <w:ind w:firstLine="442" w:firstLineChars="200"/>
        <w:rPr>
          <w:rFonts w:ascii="宋体" w:hAnsi="宋体" w:cs="Arial"/>
          <w:b/>
          <w:sz w:val="22"/>
          <w:szCs w:val="22"/>
        </w:rPr>
      </w:pPr>
      <w:r>
        <w:rPr>
          <w:rFonts w:hint="eastAsia" w:ascii="宋体" w:hAnsi="宋体" w:cs="Arial"/>
          <w:b/>
          <w:sz w:val="22"/>
          <w:szCs w:val="22"/>
        </w:rPr>
        <w:t>注：本评审办法入围</w:t>
      </w:r>
      <w:r>
        <w:rPr>
          <w:rFonts w:hint="eastAsia" w:ascii="宋体" w:hAnsi="宋体" w:cs="宋体"/>
          <w:b/>
          <w:kern w:val="28"/>
          <w:sz w:val="22"/>
          <w:szCs w:val="22"/>
        </w:rPr>
        <w:t>参评</w:t>
      </w:r>
      <w:r>
        <w:rPr>
          <w:rFonts w:hint="eastAsia" w:ascii="宋体" w:hAnsi="宋体" w:cs="Arial"/>
          <w:b/>
          <w:sz w:val="22"/>
          <w:szCs w:val="22"/>
        </w:rPr>
        <w:t>人指所有通过资格、符合性审查的</w:t>
      </w:r>
      <w:r>
        <w:rPr>
          <w:rFonts w:hint="eastAsia" w:ascii="宋体" w:hAnsi="宋体" w:cs="宋体"/>
          <w:b/>
          <w:kern w:val="28"/>
          <w:sz w:val="22"/>
          <w:szCs w:val="22"/>
        </w:rPr>
        <w:t>参评</w:t>
      </w:r>
      <w:r>
        <w:rPr>
          <w:rFonts w:hint="eastAsia" w:ascii="宋体" w:hAnsi="宋体" w:cs="Arial"/>
          <w:b/>
          <w:sz w:val="22"/>
          <w:szCs w:val="22"/>
        </w:rPr>
        <w:t>人。</w:t>
      </w:r>
    </w:p>
    <w:p>
      <w:pPr>
        <w:spacing w:line="400" w:lineRule="exact"/>
        <w:jc w:val="center"/>
        <w:rPr>
          <w:rFonts w:ascii="宋体" w:hAnsi="宋体"/>
          <w:b/>
          <w:bCs/>
          <w:sz w:val="32"/>
          <w:szCs w:val="32"/>
        </w:rPr>
      </w:pPr>
      <w:r>
        <w:rPr>
          <w:rFonts w:ascii="宋体" w:hAnsi="宋体" w:cs="宋体"/>
          <w:kern w:val="0"/>
          <w:sz w:val="28"/>
          <w:szCs w:val="21"/>
        </w:rPr>
        <w:br w:type="page"/>
      </w:r>
      <w:r>
        <w:rPr>
          <w:rFonts w:ascii="宋体" w:hAnsi="宋体"/>
          <w:b/>
          <w:bCs/>
          <w:sz w:val="32"/>
          <w:szCs w:val="32"/>
        </w:rPr>
        <w:t>资格、符合性审查</w:t>
      </w:r>
      <w:r>
        <w:rPr>
          <w:rFonts w:hint="eastAsia" w:ascii="宋体" w:hAnsi="宋体"/>
          <w:b/>
          <w:bCs/>
          <w:sz w:val="32"/>
          <w:szCs w:val="32"/>
        </w:rPr>
        <w:t>表</w:t>
      </w:r>
    </w:p>
    <w:p>
      <w:pPr>
        <w:spacing w:line="400" w:lineRule="exact"/>
        <w:rPr>
          <w:rFonts w:ascii="宋体" w:hAnsi="宋体" w:cs="宋体"/>
          <w:sz w:val="22"/>
          <w:szCs w:val="22"/>
        </w:rPr>
      </w:pPr>
    </w:p>
    <w:p>
      <w:pPr>
        <w:spacing w:line="400" w:lineRule="exact"/>
        <w:rPr>
          <w:rFonts w:ascii="宋体" w:hAnsi="宋体" w:cs="宋体"/>
          <w:sz w:val="22"/>
          <w:szCs w:val="22"/>
        </w:rPr>
      </w:pPr>
      <w:r>
        <w:rPr>
          <w:rFonts w:hint="eastAsia" w:ascii="宋体" w:hAnsi="宋体" w:cs="宋体"/>
          <w:sz w:val="22"/>
          <w:szCs w:val="22"/>
        </w:rPr>
        <w:t>项目名称：全省2023年度业务考试暨首次一级消防监督执法资格考试服务</w:t>
      </w:r>
    </w:p>
    <w:tbl>
      <w:tblPr>
        <w:tblStyle w:val="14"/>
        <w:tblW w:w="4998" w:type="pct"/>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1262"/>
        <w:gridCol w:w="4799"/>
        <w:gridCol w:w="1007"/>
        <w:gridCol w:w="1007"/>
        <w:gridCol w:w="100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3337" w:type="pct"/>
            <w:gridSpan w:val="2"/>
            <w:shd w:val="clear" w:color="auto" w:fill="EAEAEA"/>
            <w:vAlign w:val="center"/>
          </w:tcPr>
          <w:p>
            <w:pPr>
              <w:jc w:val="center"/>
              <w:rPr>
                <w:rFonts w:ascii="宋体" w:hAnsi="宋体" w:cs="宋体"/>
                <w:b/>
                <w:sz w:val="22"/>
                <w:szCs w:val="22"/>
              </w:rPr>
            </w:pPr>
            <w:r>
              <w:rPr>
                <w:rFonts w:hint="eastAsia" w:ascii="宋体" w:hAnsi="宋体" w:cs="宋体"/>
                <w:b/>
                <w:sz w:val="22"/>
                <w:szCs w:val="22"/>
              </w:rPr>
              <w:t>评审内容</w:t>
            </w:r>
          </w:p>
        </w:tc>
        <w:tc>
          <w:tcPr>
            <w:tcW w:w="554" w:type="pct"/>
            <w:shd w:val="clear" w:color="auto" w:fill="EAEAEA"/>
            <w:vAlign w:val="center"/>
          </w:tcPr>
          <w:p>
            <w:pPr>
              <w:jc w:val="center"/>
              <w:rPr>
                <w:rFonts w:ascii="宋体" w:hAnsi="宋体" w:cs="宋体"/>
                <w:b/>
                <w:sz w:val="22"/>
                <w:szCs w:val="22"/>
              </w:rPr>
            </w:pPr>
            <w:r>
              <w:rPr>
                <w:rFonts w:hint="eastAsia" w:ascii="宋体" w:hAnsi="宋体" w:cs="宋体"/>
                <w:b/>
                <w:sz w:val="22"/>
                <w:szCs w:val="22"/>
              </w:rPr>
              <w:t>参评人</w:t>
            </w:r>
            <w:r>
              <w:rPr>
                <w:rFonts w:ascii="宋体" w:hAnsi="宋体" w:cs="宋体"/>
                <w:b/>
                <w:sz w:val="22"/>
                <w:szCs w:val="22"/>
              </w:rPr>
              <w:t>A</w:t>
            </w:r>
          </w:p>
        </w:tc>
        <w:tc>
          <w:tcPr>
            <w:tcW w:w="554" w:type="pct"/>
            <w:shd w:val="clear" w:color="auto" w:fill="EAEAEA"/>
            <w:vAlign w:val="center"/>
          </w:tcPr>
          <w:p>
            <w:pPr>
              <w:jc w:val="center"/>
              <w:rPr>
                <w:rFonts w:ascii="宋体" w:hAnsi="宋体" w:cs="宋体"/>
                <w:b/>
                <w:sz w:val="22"/>
                <w:szCs w:val="22"/>
              </w:rPr>
            </w:pPr>
            <w:r>
              <w:rPr>
                <w:rFonts w:hint="eastAsia" w:ascii="宋体" w:hAnsi="宋体" w:cs="宋体"/>
                <w:b/>
                <w:sz w:val="22"/>
                <w:szCs w:val="22"/>
              </w:rPr>
              <w:t>参评人</w:t>
            </w:r>
            <w:r>
              <w:rPr>
                <w:rFonts w:ascii="宋体" w:hAnsi="宋体" w:cs="宋体"/>
                <w:b/>
                <w:sz w:val="22"/>
                <w:szCs w:val="22"/>
              </w:rPr>
              <w:t>B</w:t>
            </w:r>
          </w:p>
        </w:tc>
        <w:tc>
          <w:tcPr>
            <w:tcW w:w="554" w:type="pct"/>
            <w:shd w:val="clear" w:color="auto" w:fill="EAEAEA"/>
            <w:vAlign w:val="center"/>
          </w:tcPr>
          <w:p>
            <w:pPr>
              <w:jc w:val="center"/>
              <w:rPr>
                <w:rFonts w:ascii="宋体" w:hAnsi="宋体" w:cs="宋体"/>
                <w:b/>
                <w:sz w:val="22"/>
                <w:szCs w:val="22"/>
              </w:rPr>
            </w:pPr>
            <w:r>
              <w:rPr>
                <w:rFonts w:hint="eastAsia" w:ascii="宋体" w:hAnsi="宋体" w:cs="宋体"/>
                <w:b/>
                <w:sz w:val="22"/>
                <w:szCs w:val="22"/>
              </w:rPr>
              <w:t>参评人</w:t>
            </w:r>
            <w:r>
              <w:rPr>
                <w:rFonts w:ascii="宋体" w:hAnsi="宋体" w:cs="宋体"/>
                <w:b/>
                <w:sz w:val="22"/>
                <w:szCs w:val="22"/>
              </w:rPr>
              <w:t>C</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695" w:type="pct"/>
            <w:vAlign w:val="center"/>
          </w:tcPr>
          <w:p>
            <w:pPr>
              <w:jc w:val="center"/>
              <w:rPr>
                <w:rFonts w:ascii="宋体" w:hAnsi="宋体" w:cs="宋体"/>
                <w:sz w:val="22"/>
                <w:szCs w:val="22"/>
              </w:rPr>
            </w:pPr>
            <w:r>
              <w:rPr>
                <w:rFonts w:hint="eastAsia" w:ascii="宋体" w:hAnsi="宋体" w:cs="宋体"/>
                <w:sz w:val="22"/>
                <w:szCs w:val="22"/>
              </w:rPr>
              <w:t>资格性检查</w:t>
            </w:r>
          </w:p>
        </w:tc>
        <w:tc>
          <w:tcPr>
            <w:tcW w:w="2641" w:type="pct"/>
            <w:vAlign w:val="center"/>
          </w:tcPr>
          <w:p>
            <w:pPr>
              <w:rPr>
                <w:rFonts w:ascii="宋体" w:hAnsi="宋体" w:cs="宋体"/>
                <w:color w:val="000000"/>
                <w:sz w:val="22"/>
                <w:szCs w:val="22"/>
              </w:rPr>
            </w:pPr>
            <w:r>
              <w:rPr>
                <w:rFonts w:hint="eastAsia" w:ascii="宋体" w:hAnsi="宋体" w:cs="宋体"/>
                <w:color w:val="000000"/>
                <w:sz w:val="22"/>
                <w:szCs w:val="22"/>
              </w:rPr>
              <w:t>符合遴选邀请函第二条所载明的参评人的资格要求</w:t>
            </w: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695" w:type="pct"/>
            <w:vMerge w:val="restart"/>
            <w:vAlign w:val="center"/>
          </w:tcPr>
          <w:p>
            <w:pPr>
              <w:jc w:val="center"/>
              <w:rPr>
                <w:rFonts w:ascii="宋体" w:hAnsi="宋体" w:cs="宋体"/>
                <w:sz w:val="22"/>
                <w:szCs w:val="22"/>
              </w:rPr>
            </w:pPr>
          </w:p>
        </w:tc>
        <w:tc>
          <w:tcPr>
            <w:tcW w:w="2641" w:type="pct"/>
            <w:vAlign w:val="center"/>
          </w:tcPr>
          <w:p>
            <w:pPr>
              <w:rPr>
                <w:rFonts w:ascii="宋体" w:hAnsi="宋体" w:cs="宋体"/>
                <w:sz w:val="22"/>
                <w:szCs w:val="22"/>
              </w:rPr>
            </w:pPr>
            <w:r>
              <w:rPr>
                <w:rFonts w:hint="eastAsia" w:ascii="宋体" w:hAnsi="宋体" w:cs="宋体"/>
                <w:sz w:val="22"/>
                <w:szCs w:val="22"/>
              </w:rPr>
              <w:t>符合参</w:t>
            </w:r>
            <w:r>
              <w:rPr>
                <w:rFonts w:hint="eastAsia" w:ascii="宋体" w:hAnsi="宋体" w:cs="宋体"/>
                <w:color w:val="000000"/>
                <w:sz w:val="22"/>
                <w:szCs w:val="22"/>
              </w:rPr>
              <w:t>评有效期（参评文件提交时间符合</w:t>
            </w:r>
            <w:r>
              <w:rPr>
                <w:rFonts w:hint="eastAsia"/>
                <w:lang w:val="en-US" w:eastAsia="zh-CN"/>
              </w:rPr>
              <w:t>参评函</w:t>
            </w:r>
            <w:r>
              <w:rPr>
                <w:rFonts w:hint="eastAsia" w:ascii="宋体" w:hAnsi="宋体" w:cs="宋体"/>
                <w:color w:val="000000"/>
                <w:sz w:val="22"/>
                <w:szCs w:val="22"/>
              </w:rPr>
              <w:t>的要求）</w:t>
            </w: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695" w:type="pct"/>
            <w:vMerge w:val="continue"/>
            <w:vAlign w:val="center"/>
          </w:tcPr>
          <w:p>
            <w:pPr>
              <w:rPr>
                <w:rFonts w:ascii="宋体" w:hAnsi="宋体" w:cs="宋体"/>
                <w:sz w:val="22"/>
                <w:szCs w:val="22"/>
              </w:rPr>
            </w:pPr>
          </w:p>
        </w:tc>
        <w:tc>
          <w:tcPr>
            <w:tcW w:w="2641" w:type="pct"/>
            <w:vAlign w:val="center"/>
          </w:tcPr>
          <w:p>
            <w:pPr>
              <w:rPr>
                <w:rFonts w:ascii="宋体" w:hAnsi="宋体" w:cs="宋体"/>
                <w:sz w:val="22"/>
                <w:szCs w:val="22"/>
              </w:rPr>
            </w:pPr>
            <w:r>
              <w:rPr>
                <w:rFonts w:hint="eastAsia" w:ascii="宋体" w:hAnsi="宋体" w:cs="宋体"/>
                <w:sz w:val="22"/>
                <w:szCs w:val="22"/>
              </w:rPr>
              <w:t>参评文件签署合格</w:t>
            </w: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695" w:type="pct"/>
            <w:vMerge w:val="continue"/>
            <w:vAlign w:val="center"/>
          </w:tcPr>
          <w:p>
            <w:pPr>
              <w:rPr>
                <w:rFonts w:ascii="宋体" w:hAnsi="宋体" w:cs="宋体"/>
                <w:sz w:val="22"/>
                <w:szCs w:val="22"/>
              </w:rPr>
            </w:pPr>
          </w:p>
        </w:tc>
        <w:tc>
          <w:tcPr>
            <w:tcW w:w="2641" w:type="pct"/>
            <w:vAlign w:val="center"/>
          </w:tcPr>
          <w:p>
            <w:pPr>
              <w:rPr>
                <w:rFonts w:ascii="宋体" w:hAnsi="宋体" w:cs="宋体"/>
                <w:sz w:val="22"/>
                <w:szCs w:val="22"/>
              </w:rPr>
            </w:pPr>
            <w:r>
              <w:rPr>
                <w:rFonts w:hint="eastAsia" w:ascii="宋体" w:hAnsi="宋体" w:cs="宋体"/>
                <w:sz w:val="22"/>
                <w:szCs w:val="22"/>
              </w:rPr>
              <w:t>参评报价是固定价且是唯一的，参评报价未超出采购预算或最高限价</w:t>
            </w: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695" w:type="pct"/>
            <w:vMerge w:val="continue"/>
            <w:vAlign w:val="center"/>
          </w:tcPr>
          <w:p>
            <w:pPr>
              <w:rPr>
                <w:rFonts w:ascii="宋体" w:hAnsi="宋体" w:cs="宋体"/>
                <w:sz w:val="22"/>
                <w:szCs w:val="22"/>
              </w:rPr>
            </w:pPr>
          </w:p>
        </w:tc>
        <w:tc>
          <w:tcPr>
            <w:tcW w:w="2641" w:type="pct"/>
            <w:vAlign w:val="center"/>
          </w:tcPr>
          <w:p>
            <w:pPr>
              <w:rPr>
                <w:rFonts w:ascii="宋体" w:hAnsi="宋体" w:cs="宋体"/>
                <w:sz w:val="22"/>
                <w:szCs w:val="22"/>
              </w:rPr>
            </w:pPr>
            <w:r>
              <w:rPr>
                <w:rFonts w:hint="eastAsia" w:ascii="宋体" w:hAnsi="宋体" w:cs="宋体"/>
                <w:sz w:val="22"/>
                <w:szCs w:val="22"/>
              </w:rPr>
              <w:t>实质性响应指标（综合遴选文件中标注</w:t>
            </w:r>
            <w:r>
              <w:rPr>
                <w:rFonts w:hint="eastAsia" w:ascii="宋体" w:hAnsi="宋体" w:cs="宋体"/>
                <w:kern w:val="28"/>
                <w:sz w:val="22"/>
                <w:szCs w:val="22"/>
              </w:rPr>
              <w:t>▲</w:t>
            </w:r>
            <w:r>
              <w:rPr>
                <w:rFonts w:hint="eastAsia" w:ascii="宋体" w:hAnsi="宋体" w:cs="宋体"/>
                <w:sz w:val="22"/>
                <w:szCs w:val="22"/>
              </w:rPr>
              <w:t>的条款）</w:t>
            </w:r>
            <w:r>
              <w:rPr>
                <w:rFonts w:hint="eastAsia" w:ascii="宋体" w:hAnsi="宋体"/>
                <w:sz w:val="22"/>
                <w:szCs w:val="22"/>
              </w:rPr>
              <w:t>满足采购人要求</w:t>
            </w: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695" w:type="pct"/>
            <w:vMerge w:val="continue"/>
            <w:vAlign w:val="center"/>
          </w:tcPr>
          <w:p>
            <w:pPr>
              <w:rPr>
                <w:rFonts w:ascii="宋体" w:hAnsi="宋体" w:cs="宋体"/>
                <w:sz w:val="22"/>
                <w:szCs w:val="22"/>
              </w:rPr>
            </w:pPr>
          </w:p>
        </w:tc>
        <w:tc>
          <w:tcPr>
            <w:tcW w:w="2641" w:type="pct"/>
            <w:vAlign w:val="center"/>
          </w:tcPr>
          <w:p>
            <w:pPr>
              <w:rPr>
                <w:rFonts w:ascii="宋体" w:hAnsi="宋体" w:cs="宋体"/>
                <w:sz w:val="22"/>
                <w:szCs w:val="22"/>
              </w:rPr>
            </w:pPr>
            <w:r>
              <w:rPr>
                <w:rFonts w:hint="eastAsia" w:ascii="宋体" w:hAnsi="宋体" w:cs="宋体"/>
                <w:sz w:val="22"/>
                <w:szCs w:val="22"/>
              </w:rPr>
              <w:t>按有关法律、法规、规章或遴选文件不属于参评无效的</w:t>
            </w: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818" w:hRule="atLeast"/>
        </w:trPr>
        <w:tc>
          <w:tcPr>
            <w:tcW w:w="695" w:type="pct"/>
            <w:vAlign w:val="center"/>
          </w:tcPr>
          <w:p>
            <w:pPr>
              <w:jc w:val="center"/>
              <w:rPr>
                <w:rFonts w:ascii="宋体" w:hAnsi="宋体" w:cs="宋体"/>
                <w:sz w:val="22"/>
                <w:szCs w:val="22"/>
              </w:rPr>
            </w:pPr>
            <w:r>
              <w:rPr>
                <w:rFonts w:hint="eastAsia" w:ascii="宋体" w:hAnsi="宋体" w:cs="宋体"/>
                <w:sz w:val="22"/>
                <w:szCs w:val="22"/>
              </w:rPr>
              <w:t>结论</w:t>
            </w:r>
          </w:p>
        </w:tc>
        <w:tc>
          <w:tcPr>
            <w:tcW w:w="2641" w:type="pct"/>
            <w:vAlign w:val="center"/>
          </w:tcPr>
          <w:p>
            <w:pPr>
              <w:rPr>
                <w:rFonts w:ascii="宋体" w:hAnsi="宋体" w:cs="宋体"/>
                <w:sz w:val="22"/>
                <w:szCs w:val="22"/>
              </w:rPr>
            </w:pPr>
            <w:r>
              <w:rPr>
                <w:rFonts w:hint="eastAsia" w:ascii="宋体" w:hAnsi="宋体" w:cs="宋体"/>
                <w:sz w:val="22"/>
                <w:szCs w:val="22"/>
              </w:rPr>
              <w:t>是否同意进入下一阶段评议</w:t>
            </w:r>
          </w:p>
          <w:p>
            <w:pPr>
              <w:rPr>
                <w:rFonts w:ascii="宋体" w:hAnsi="宋体" w:cs="宋体"/>
                <w:sz w:val="22"/>
                <w:szCs w:val="22"/>
              </w:rPr>
            </w:pPr>
            <w:r>
              <w:rPr>
                <w:rFonts w:hint="eastAsia" w:ascii="宋体" w:hAnsi="宋体" w:cs="宋体"/>
                <w:sz w:val="22"/>
                <w:szCs w:val="22"/>
              </w:rPr>
              <w:t>（写“同意”或“不同意”）</w:t>
            </w: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c>
          <w:tcPr>
            <w:tcW w:w="554" w:type="pct"/>
            <w:vAlign w:val="center"/>
          </w:tcPr>
          <w:p>
            <w:pPr>
              <w:jc w:val="center"/>
              <w:rPr>
                <w:rFonts w:ascii="宋体" w:hAnsi="宋体" w:cs="宋体"/>
                <w:sz w:val="22"/>
                <w:szCs w:val="22"/>
              </w:rPr>
            </w:pPr>
          </w:p>
        </w:tc>
      </w:tr>
    </w:tbl>
    <w:p>
      <w:pPr>
        <w:spacing w:line="400" w:lineRule="exact"/>
        <w:jc w:val="center"/>
        <w:rPr>
          <w:rFonts w:ascii="宋体" w:hAnsi="宋体"/>
          <w:sz w:val="22"/>
          <w:szCs w:val="22"/>
        </w:rPr>
      </w:pPr>
    </w:p>
    <w:p>
      <w:pPr>
        <w:numPr>
          <w:ilvl w:val="0"/>
          <w:numId w:val="8"/>
        </w:numPr>
        <w:tabs>
          <w:tab w:val="left" w:pos="540"/>
        </w:tabs>
        <w:spacing w:line="400" w:lineRule="exact"/>
        <w:ind w:left="0" w:firstLine="440" w:firstLineChars="200"/>
        <w:rPr>
          <w:rFonts w:ascii="宋体" w:hAnsi="宋体"/>
          <w:sz w:val="22"/>
          <w:szCs w:val="22"/>
        </w:rPr>
      </w:pPr>
      <w:r>
        <w:rPr>
          <w:rFonts w:hint="eastAsia" w:ascii="宋体" w:hAnsi="宋体"/>
          <w:sz w:val="22"/>
          <w:szCs w:val="22"/>
        </w:rPr>
        <w:t>每一项目符合的打“○</w:t>
      </w:r>
      <w:r>
        <w:rPr>
          <w:rFonts w:ascii="宋体" w:hAnsi="宋体"/>
          <w:sz w:val="22"/>
          <w:szCs w:val="22"/>
        </w:rPr>
        <w:t>”</w:t>
      </w:r>
      <w:r>
        <w:rPr>
          <w:rFonts w:hint="eastAsia" w:ascii="宋体" w:hAnsi="宋体"/>
          <w:sz w:val="22"/>
          <w:szCs w:val="22"/>
        </w:rPr>
        <w:t>，不符合的打“×”；出现一个“×”的结论为不同意</w:t>
      </w:r>
      <w:r>
        <w:rPr>
          <w:rFonts w:ascii="宋体" w:hAnsi="宋体"/>
          <w:sz w:val="22"/>
          <w:szCs w:val="22"/>
        </w:rPr>
        <w:t>进入下一阶段评议</w:t>
      </w:r>
      <w:r>
        <w:rPr>
          <w:rFonts w:hint="eastAsia" w:ascii="宋体" w:hAnsi="宋体"/>
          <w:sz w:val="22"/>
          <w:szCs w:val="22"/>
        </w:rPr>
        <w:t>；</w:t>
      </w:r>
    </w:p>
    <w:p>
      <w:pPr>
        <w:numPr>
          <w:ilvl w:val="0"/>
          <w:numId w:val="8"/>
        </w:numPr>
        <w:tabs>
          <w:tab w:val="left" w:pos="540"/>
        </w:tabs>
        <w:spacing w:line="400" w:lineRule="exact"/>
        <w:ind w:left="0" w:firstLine="440" w:firstLineChars="200"/>
        <w:rPr>
          <w:rFonts w:ascii="宋体" w:hAnsi="宋体"/>
          <w:sz w:val="22"/>
          <w:szCs w:val="22"/>
        </w:rPr>
      </w:pPr>
      <w:r>
        <w:rPr>
          <w:rFonts w:hint="eastAsia" w:ascii="宋体" w:hAnsi="宋体"/>
          <w:sz w:val="22"/>
          <w:szCs w:val="22"/>
        </w:rPr>
        <w:t>表中全部条件满足为通过</w:t>
      </w:r>
      <w:r>
        <w:rPr>
          <w:rFonts w:ascii="宋体" w:hAnsi="宋体"/>
          <w:sz w:val="22"/>
          <w:szCs w:val="22"/>
        </w:rPr>
        <w:t>, 同意进入下一阶段评议；</w:t>
      </w:r>
    </w:p>
    <w:p>
      <w:pPr>
        <w:numPr>
          <w:ilvl w:val="0"/>
          <w:numId w:val="8"/>
        </w:numPr>
        <w:tabs>
          <w:tab w:val="left" w:pos="540"/>
        </w:tabs>
        <w:spacing w:line="400" w:lineRule="exact"/>
        <w:ind w:left="0" w:firstLine="440" w:firstLineChars="200"/>
        <w:rPr>
          <w:rFonts w:ascii="宋体" w:hAnsi="宋体"/>
          <w:sz w:val="22"/>
          <w:szCs w:val="22"/>
        </w:rPr>
      </w:pPr>
      <w:r>
        <w:rPr>
          <w:rFonts w:hint="eastAsia" w:ascii="宋体" w:hAnsi="宋体"/>
          <w:sz w:val="22"/>
          <w:szCs w:val="22"/>
        </w:rPr>
        <w:t>是否同意进入下一阶段评议一栏中应写 “同意”或“不同意”。</w:t>
      </w:r>
    </w:p>
    <w:p>
      <w:pPr>
        <w:numPr>
          <w:ilvl w:val="0"/>
          <w:numId w:val="8"/>
        </w:numPr>
        <w:tabs>
          <w:tab w:val="left" w:pos="540"/>
        </w:tabs>
        <w:spacing w:line="400" w:lineRule="exact"/>
        <w:ind w:left="0" w:firstLine="440" w:firstLineChars="200"/>
        <w:rPr>
          <w:rFonts w:ascii="宋体" w:hAnsi="宋体" w:cs="宋体"/>
          <w:kern w:val="0"/>
          <w:sz w:val="28"/>
          <w:szCs w:val="21"/>
        </w:rPr>
      </w:pPr>
      <w:r>
        <w:rPr>
          <w:rFonts w:hint="eastAsia" w:ascii="宋体" w:hAnsi="宋体"/>
          <w:sz w:val="22"/>
          <w:szCs w:val="22"/>
        </w:rPr>
        <w:t>结论汇总意见采取少数服从多数原则，即超过半数评委的结论为“同意”，则该</w:t>
      </w:r>
      <w:r>
        <w:rPr>
          <w:rFonts w:hint="eastAsia" w:ascii="宋体" w:hAnsi="宋体" w:cs="宋体"/>
          <w:sz w:val="22"/>
          <w:szCs w:val="22"/>
        </w:rPr>
        <w:t>参评</w:t>
      </w:r>
      <w:r>
        <w:rPr>
          <w:rFonts w:hint="eastAsia" w:ascii="宋体" w:hAnsi="宋体"/>
          <w:sz w:val="22"/>
          <w:szCs w:val="22"/>
        </w:rPr>
        <w:t>人通过</w:t>
      </w:r>
      <w:r>
        <w:rPr>
          <w:rFonts w:ascii="宋体" w:hAnsi="宋体"/>
          <w:sz w:val="22"/>
          <w:szCs w:val="22"/>
        </w:rPr>
        <w:t>资格审查及符合性检查</w:t>
      </w:r>
      <w:r>
        <w:rPr>
          <w:rFonts w:hint="eastAsia" w:ascii="宋体" w:hAnsi="宋体"/>
          <w:sz w:val="22"/>
          <w:szCs w:val="22"/>
        </w:rPr>
        <w:t>，否则不通过。</w:t>
      </w:r>
    </w:p>
    <w:p>
      <w:pPr>
        <w:widowControl/>
        <w:tabs>
          <w:tab w:val="left" w:pos="567"/>
        </w:tabs>
        <w:spacing w:after="120" w:afterLines="50" w:line="360" w:lineRule="auto"/>
        <w:jc w:val="center"/>
        <w:rPr>
          <w:rFonts w:ascii="宋体" w:hAnsi="宋体"/>
          <w:b/>
          <w:bCs/>
          <w:sz w:val="32"/>
          <w:szCs w:val="21"/>
        </w:rPr>
      </w:pPr>
      <w:r>
        <w:rPr>
          <w:rFonts w:ascii="宋体" w:hAnsi="宋体" w:cs="宋体"/>
          <w:kern w:val="0"/>
          <w:sz w:val="28"/>
          <w:szCs w:val="21"/>
        </w:rPr>
        <w:br w:type="page"/>
      </w:r>
      <w:bookmarkStart w:id="10" w:name="GradeForm1_sGradeType"/>
      <w:r>
        <w:rPr>
          <w:rFonts w:hint="eastAsia" w:ascii="宋体" w:hAnsi="宋体"/>
          <w:b/>
          <w:bCs/>
          <w:sz w:val="32"/>
          <w:szCs w:val="21"/>
        </w:rPr>
        <w:t>项目评分表</w:t>
      </w:r>
      <w:r>
        <w:rPr>
          <w:rFonts w:ascii="宋体" w:hAnsi="宋体"/>
          <w:b/>
          <w:bCs/>
          <w:sz w:val="32"/>
          <w:szCs w:val="21"/>
        </w:rPr>
        <w:t>（</w:t>
      </w:r>
      <w:r>
        <w:rPr>
          <w:rFonts w:hint="eastAsia" w:ascii="宋体" w:hAnsi="宋体"/>
          <w:b/>
          <w:bCs/>
          <w:sz w:val="32"/>
          <w:szCs w:val="21"/>
        </w:rPr>
        <w:t>5</w:t>
      </w:r>
      <w:r>
        <w:rPr>
          <w:rFonts w:ascii="宋体" w:hAnsi="宋体"/>
          <w:b/>
          <w:bCs/>
          <w:sz w:val="32"/>
          <w:szCs w:val="21"/>
        </w:rPr>
        <w:t>0分）</w:t>
      </w:r>
    </w:p>
    <w:tbl>
      <w:tblPr>
        <w:tblStyle w:val="14"/>
        <w:tblW w:w="929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417"/>
        <w:gridCol w:w="864"/>
        <w:gridCol w:w="59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1" w:hRule="atLeast"/>
        </w:trPr>
        <w:tc>
          <w:tcPr>
            <w:tcW w:w="1101"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评审项目</w:t>
            </w:r>
          </w:p>
        </w:tc>
        <w:tc>
          <w:tcPr>
            <w:tcW w:w="141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分项内容</w:t>
            </w:r>
          </w:p>
        </w:tc>
        <w:tc>
          <w:tcPr>
            <w:tcW w:w="864"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ascii="宋体" w:hAnsi="宋体" w:cs="宋体"/>
                <w:sz w:val="22"/>
                <w:szCs w:val="22"/>
              </w:rPr>
              <w:t>分值</w:t>
            </w:r>
          </w:p>
        </w:tc>
        <w:tc>
          <w:tcPr>
            <w:tcW w:w="591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评分说明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01" w:type="dxa"/>
            <w:vMerge w:val="restart"/>
            <w:tcBorders>
              <w:top w:val="single" w:color="auto" w:sz="6" w:space="0"/>
              <w:left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项目实施方案（5</w:t>
            </w:r>
            <w:r>
              <w:rPr>
                <w:rFonts w:ascii="宋体" w:hAnsi="宋体" w:cs="宋体"/>
                <w:sz w:val="22"/>
                <w:szCs w:val="22"/>
              </w:rPr>
              <w:t>0</w:t>
            </w:r>
            <w:r>
              <w:rPr>
                <w:rFonts w:hint="eastAsia" w:ascii="宋体" w:hAnsi="宋体" w:cs="宋体"/>
                <w:sz w:val="22"/>
                <w:szCs w:val="22"/>
              </w:rPr>
              <w:t>分）</w:t>
            </w:r>
          </w:p>
        </w:tc>
        <w:tc>
          <w:tcPr>
            <w:tcW w:w="141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采购项目服务要求响应程度</w:t>
            </w:r>
          </w:p>
        </w:tc>
        <w:tc>
          <w:tcPr>
            <w:tcW w:w="864"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10</w:t>
            </w:r>
          </w:p>
        </w:tc>
        <w:tc>
          <w:tcPr>
            <w:tcW w:w="591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对项目的背景、意义、政策要求的理解、有重点难点分析且到位：</w:t>
            </w:r>
          </w:p>
          <w:p>
            <w:pPr>
              <w:rPr>
                <w:rFonts w:ascii="宋体" w:hAnsi="宋体" w:cs="宋体"/>
                <w:sz w:val="22"/>
                <w:szCs w:val="22"/>
              </w:rPr>
            </w:pPr>
            <w:r>
              <w:rPr>
                <w:rFonts w:hint="eastAsia" w:ascii="宋体" w:hAnsi="宋体" w:cs="宋体"/>
                <w:sz w:val="22"/>
                <w:szCs w:val="22"/>
              </w:rPr>
              <w:t>理解深刻，表述全面的，得5分；</w:t>
            </w:r>
          </w:p>
          <w:p>
            <w:pPr>
              <w:rPr>
                <w:rFonts w:ascii="宋体" w:hAnsi="宋体" w:cs="宋体"/>
                <w:sz w:val="22"/>
                <w:szCs w:val="22"/>
              </w:rPr>
            </w:pPr>
            <w:r>
              <w:rPr>
                <w:rFonts w:hint="eastAsia" w:ascii="宋体" w:hAnsi="宋体" w:cs="宋体"/>
                <w:sz w:val="22"/>
                <w:szCs w:val="22"/>
              </w:rPr>
              <w:t>基本理解，表述一般的，得3分；</w:t>
            </w:r>
          </w:p>
          <w:p>
            <w:pPr>
              <w:rPr>
                <w:rFonts w:ascii="宋体" w:hAnsi="宋体" w:cs="宋体"/>
                <w:sz w:val="22"/>
                <w:szCs w:val="22"/>
              </w:rPr>
            </w:pPr>
            <w:r>
              <w:rPr>
                <w:rFonts w:hint="eastAsia" w:ascii="宋体" w:hAnsi="宋体" w:cs="宋体"/>
                <w:sz w:val="22"/>
                <w:szCs w:val="22"/>
              </w:rPr>
              <w:t>理解不足的，得1分。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01" w:type="dxa"/>
            <w:vMerge w:val="continue"/>
            <w:tcBorders>
              <w:left w:val="single" w:color="auto" w:sz="6" w:space="0"/>
              <w:right w:val="single" w:color="auto" w:sz="6" w:space="0"/>
            </w:tcBorders>
            <w:vAlign w:val="center"/>
          </w:tcPr>
          <w:p>
            <w:pPr>
              <w:rPr>
                <w:rFonts w:ascii="宋体" w:hAnsi="宋体" w:cs="宋体"/>
                <w:sz w:val="22"/>
                <w:szCs w:val="22"/>
              </w:rPr>
            </w:pPr>
          </w:p>
        </w:tc>
        <w:tc>
          <w:tcPr>
            <w:tcW w:w="141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ascii="宋体" w:hAnsi="宋体" w:cs="宋体"/>
                <w:sz w:val="22"/>
                <w:szCs w:val="22"/>
              </w:rPr>
              <w:t>项目工作方案</w:t>
            </w:r>
          </w:p>
        </w:tc>
        <w:tc>
          <w:tcPr>
            <w:tcW w:w="864"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30</w:t>
            </w:r>
          </w:p>
        </w:tc>
        <w:tc>
          <w:tcPr>
            <w:tcW w:w="591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ascii="宋体" w:hAnsi="宋体" w:cs="宋体"/>
                <w:sz w:val="22"/>
                <w:szCs w:val="22"/>
              </w:rPr>
              <w:t>工作</w:t>
            </w:r>
            <w:r>
              <w:rPr>
                <w:rFonts w:hint="eastAsia" w:ascii="宋体" w:hAnsi="宋体" w:cs="宋体"/>
                <w:sz w:val="22"/>
                <w:szCs w:val="22"/>
              </w:rPr>
              <w:t>方案清晰、完整、严谨、合理，措施先进、具体、有效、成熟；</w:t>
            </w:r>
            <w:r>
              <w:rPr>
                <w:rFonts w:ascii="宋体" w:hAnsi="宋体" w:cs="宋体"/>
                <w:sz w:val="22"/>
                <w:szCs w:val="22"/>
              </w:rPr>
              <w:t>工作</w:t>
            </w:r>
            <w:r>
              <w:rPr>
                <w:rFonts w:hint="eastAsia" w:ascii="宋体" w:hAnsi="宋体" w:cs="宋体"/>
                <w:sz w:val="22"/>
                <w:szCs w:val="22"/>
              </w:rPr>
              <w:t>方案设想，划分清晰、合理，符合规范要求得</w:t>
            </w:r>
            <w:r>
              <w:rPr>
                <w:rFonts w:ascii="宋体" w:hAnsi="宋体" w:cs="宋体"/>
                <w:sz w:val="22"/>
                <w:szCs w:val="22"/>
              </w:rPr>
              <w:t>25</w:t>
            </w:r>
            <w:r>
              <w:rPr>
                <w:rFonts w:hint="eastAsia" w:ascii="宋体" w:hAnsi="宋体" w:cs="宋体"/>
                <w:sz w:val="22"/>
                <w:szCs w:val="22"/>
              </w:rPr>
              <w:t>分；</w:t>
            </w:r>
          </w:p>
          <w:p>
            <w:pPr>
              <w:rPr>
                <w:rFonts w:ascii="宋体" w:hAnsi="宋体" w:cs="宋体"/>
                <w:sz w:val="22"/>
                <w:szCs w:val="22"/>
              </w:rPr>
            </w:pPr>
            <w:r>
              <w:rPr>
                <w:rFonts w:ascii="宋体" w:hAnsi="宋体" w:cs="宋体"/>
                <w:sz w:val="22"/>
                <w:szCs w:val="22"/>
              </w:rPr>
              <w:t>工作</w:t>
            </w:r>
            <w:r>
              <w:rPr>
                <w:rFonts w:hint="eastAsia" w:ascii="宋体" w:hAnsi="宋体" w:cs="宋体"/>
                <w:sz w:val="22"/>
                <w:szCs w:val="22"/>
              </w:rPr>
              <w:t>方案较清晰、完整、严谨、合理，措施先进、具体、有效、成熟；</w:t>
            </w:r>
            <w:r>
              <w:rPr>
                <w:rFonts w:ascii="宋体" w:hAnsi="宋体" w:cs="宋体"/>
                <w:sz w:val="22"/>
                <w:szCs w:val="22"/>
              </w:rPr>
              <w:t>工作</w:t>
            </w:r>
            <w:r>
              <w:rPr>
                <w:rFonts w:hint="eastAsia" w:ascii="宋体" w:hAnsi="宋体" w:cs="宋体"/>
                <w:sz w:val="22"/>
                <w:szCs w:val="22"/>
              </w:rPr>
              <w:t>方案设想，划分清晰、合理，符合规范要求得</w:t>
            </w:r>
            <w:r>
              <w:rPr>
                <w:rFonts w:ascii="宋体" w:hAnsi="宋体" w:cs="宋体"/>
                <w:sz w:val="22"/>
                <w:szCs w:val="22"/>
              </w:rPr>
              <w:t>15</w:t>
            </w:r>
            <w:r>
              <w:rPr>
                <w:rFonts w:hint="eastAsia" w:ascii="宋体" w:hAnsi="宋体" w:cs="宋体"/>
                <w:sz w:val="22"/>
                <w:szCs w:val="22"/>
              </w:rPr>
              <w:t>分；</w:t>
            </w:r>
          </w:p>
          <w:p>
            <w:pPr>
              <w:rPr>
                <w:rFonts w:ascii="宋体" w:hAnsi="宋体" w:cs="宋体"/>
                <w:sz w:val="22"/>
                <w:szCs w:val="22"/>
              </w:rPr>
            </w:pPr>
            <w:r>
              <w:rPr>
                <w:rFonts w:ascii="宋体" w:hAnsi="宋体" w:cs="宋体"/>
                <w:sz w:val="22"/>
                <w:szCs w:val="22"/>
              </w:rPr>
              <w:t>工作</w:t>
            </w:r>
            <w:r>
              <w:rPr>
                <w:rFonts w:hint="eastAsia" w:ascii="宋体" w:hAnsi="宋体" w:cs="宋体"/>
                <w:sz w:val="22"/>
                <w:szCs w:val="22"/>
              </w:rPr>
              <w:t>方案较清晰、完整、严谨、合理，措施一般，符合规范要求得</w:t>
            </w:r>
            <w:r>
              <w:rPr>
                <w:rFonts w:ascii="宋体" w:hAnsi="宋体" w:cs="宋体"/>
                <w:sz w:val="22"/>
                <w:szCs w:val="22"/>
              </w:rPr>
              <w:t>8</w:t>
            </w:r>
            <w:r>
              <w:rPr>
                <w:rFonts w:hint="eastAsia" w:ascii="宋体" w:hAnsi="宋体" w:cs="宋体"/>
                <w:sz w:val="22"/>
                <w:szCs w:val="22"/>
              </w:rPr>
              <w:t>分；</w:t>
            </w:r>
          </w:p>
          <w:p>
            <w:pPr>
              <w:rPr>
                <w:rFonts w:ascii="宋体" w:hAnsi="宋体" w:cs="宋体"/>
                <w:sz w:val="22"/>
                <w:szCs w:val="22"/>
              </w:rPr>
            </w:pPr>
            <w:r>
              <w:rPr>
                <w:rFonts w:hint="eastAsia" w:ascii="宋体" w:hAnsi="宋体" w:cs="宋体"/>
                <w:sz w:val="22"/>
                <w:szCs w:val="22"/>
              </w:rPr>
              <w:t>不合理或无描述，不得分。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01" w:type="dxa"/>
            <w:vMerge w:val="continue"/>
            <w:tcBorders>
              <w:left w:val="single" w:color="auto" w:sz="6" w:space="0"/>
              <w:right w:val="single" w:color="auto" w:sz="6" w:space="0"/>
            </w:tcBorders>
            <w:vAlign w:val="center"/>
          </w:tcPr>
          <w:p>
            <w:pPr>
              <w:rPr>
                <w:rFonts w:ascii="宋体" w:hAnsi="宋体" w:cs="宋体"/>
                <w:sz w:val="22"/>
                <w:szCs w:val="22"/>
              </w:rPr>
            </w:pPr>
          </w:p>
        </w:tc>
        <w:tc>
          <w:tcPr>
            <w:tcW w:w="141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质量保证措施及方案</w:t>
            </w:r>
          </w:p>
        </w:tc>
        <w:tc>
          <w:tcPr>
            <w:tcW w:w="864"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ascii="宋体" w:hAnsi="宋体" w:cs="宋体"/>
                <w:sz w:val="22"/>
                <w:szCs w:val="22"/>
              </w:rPr>
              <w:t>10</w:t>
            </w:r>
          </w:p>
        </w:tc>
        <w:tc>
          <w:tcPr>
            <w:tcW w:w="591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（1）</w:t>
            </w:r>
            <w:r>
              <w:rPr>
                <w:rFonts w:ascii="宋体" w:hAnsi="宋体" w:cs="宋体"/>
                <w:sz w:val="22"/>
                <w:szCs w:val="22"/>
              </w:rPr>
              <w:t>项目质量控制措施</w:t>
            </w:r>
            <w:r>
              <w:rPr>
                <w:rFonts w:hint="eastAsia" w:ascii="宋体" w:hAnsi="宋体" w:cs="宋体"/>
                <w:sz w:val="22"/>
                <w:szCs w:val="22"/>
              </w:rPr>
              <w:t>到位，服务内容能够根据招标人实际需求调整，完全</w:t>
            </w:r>
            <w:r>
              <w:rPr>
                <w:rFonts w:ascii="宋体" w:hAnsi="宋体" w:cs="宋体"/>
                <w:sz w:val="22"/>
                <w:szCs w:val="22"/>
              </w:rPr>
              <w:t>保障项目按计划推进并取得预期成果的得10分</w:t>
            </w:r>
            <w:r>
              <w:rPr>
                <w:rFonts w:hint="eastAsia" w:ascii="宋体" w:hAnsi="宋体" w:cs="宋体"/>
                <w:sz w:val="22"/>
                <w:szCs w:val="22"/>
              </w:rPr>
              <w:t>。</w:t>
            </w:r>
          </w:p>
          <w:p>
            <w:pPr>
              <w:rPr>
                <w:rFonts w:ascii="宋体" w:hAnsi="宋体" w:cs="宋体"/>
                <w:sz w:val="22"/>
                <w:szCs w:val="22"/>
              </w:rPr>
            </w:pPr>
            <w:r>
              <w:rPr>
                <w:rFonts w:hint="eastAsia" w:ascii="宋体" w:hAnsi="宋体" w:cs="宋体"/>
                <w:sz w:val="22"/>
                <w:szCs w:val="22"/>
              </w:rPr>
              <w:t>（2）</w:t>
            </w:r>
            <w:r>
              <w:rPr>
                <w:rFonts w:ascii="宋体" w:hAnsi="宋体" w:cs="宋体"/>
                <w:sz w:val="22"/>
                <w:szCs w:val="22"/>
              </w:rPr>
              <w:t>项目质量控制措施</w:t>
            </w:r>
            <w:r>
              <w:rPr>
                <w:rFonts w:hint="eastAsia" w:ascii="宋体" w:hAnsi="宋体" w:cs="宋体"/>
                <w:sz w:val="22"/>
                <w:szCs w:val="22"/>
              </w:rPr>
              <w:t>较好，服务内容能够根据招标人实际需求调整，较好保障项目按计划推进并取得预期成果</w:t>
            </w:r>
            <w:r>
              <w:rPr>
                <w:rFonts w:ascii="宋体" w:hAnsi="宋体" w:cs="宋体"/>
                <w:sz w:val="22"/>
                <w:szCs w:val="22"/>
              </w:rPr>
              <w:t>的得6分</w:t>
            </w:r>
            <w:r>
              <w:rPr>
                <w:rFonts w:hint="eastAsia" w:ascii="宋体" w:hAnsi="宋体" w:cs="宋体"/>
                <w:sz w:val="22"/>
                <w:szCs w:val="22"/>
              </w:rPr>
              <w:t>。</w:t>
            </w:r>
          </w:p>
          <w:p>
            <w:pPr>
              <w:rPr>
                <w:rFonts w:ascii="宋体" w:hAnsi="宋体" w:cs="宋体"/>
                <w:sz w:val="22"/>
                <w:szCs w:val="22"/>
              </w:rPr>
            </w:pPr>
            <w:r>
              <w:rPr>
                <w:rFonts w:hint="eastAsia" w:ascii="宋体" w:hAnsi="宋体" w:cs="宋体"/>
                <w:sz w:val="22"/>
                <w:szCs w:val="22"/>
              </w:rPr>
              <w:t>（3）</w:t>
            </w:r>
            <w:r>
              <w:rPr>
                <w:rFonts w:ascii="宋体" w:hAnsi="宋体" w:cs="宋体"/>
                <w:sz w:val="22"/>
                <w:szCs w:val="22"/>
              </w:rPr>
              <w:t>项目质量控制措施</w:t>
            </w:r>
            <w:r>
              <w:rPr>
                <w:rFonts w:hint="eastAsia" w:ascii="宋体" w:hAnsi="宋体" w:cs="宋体"/>
                <w:sz w:val="22"/>
                <w:szCs w:val="22"/>
              </w:rPr>
              <w:t>一般，服务内容不能根据招标人实际需求调整，基本保障</w:t>
            </w:r>
            <w:r>
              <w:rPr>
                <w:rFonts w:ascii="宋体" w:hAnsi="宋体" w:cs="宋体"/>
                <w:sz w:val="22"/>
                <w:szCs w:val="22"/>
              </w:rPr>
              <w:t>项目按计划推进并取得预期成果的得3分。</w:t>
            </w:r>
          </w:p>
          <w:p>
            <w:pPr>
              <w:rPr>
                <w:rFonts w:ascii="宋体" w:hAnsi="宋体" w:cs="宋体"/>
                <w:sz w:val="22"/>
                <w:szCs w:val="22"/>
              </w:rPr>
            </w:pPr>
            <w:r>
              <w:rPr>
                <w:rFonts w:hint="eastAsia" w:ascii="宋体" w:hAnsi="宋体" w:cs="宋体"/>
                <w:sz w:val="22"/>
                <w:szCs w:val="22"/>
              </w:rPr>
              <w:t>（4）方案不合理或不提供不得分。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1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2"/>
                <w:szCs w:val="22"/>
              </w:rPr>
            </w:pPr>
            <w:r>
              <w:rPr>
                <w:rFonts w:ascii="宋体" w:hAnsi="宋体" w:cs="宋体"/>
                <w:sz w:val="22"/>
                <w:szCs w:val="22"/>
              </w:rPr>
              <w:t>合计</w:t>
            </w:r>
          </w:p>
        </w:tc>
        <w:tc>
          <w:tcPr>
            <w:tcW w:w="864" w:type="dxa"/>
            <w:tcBorders>
              <w:top w:val="single" w:color="auto" w:sz="6" w:space="0"/>
              <w:left w:val="single" w:color="auto" w:sz="4" w:space="0"/>
              <w:bottom w:val="single" w:color="auto" w:sz="6" w:space="0"/>
              <w:right w:val="single" w:color="auto" w:sz="4" w:space="0"/>
            </w:tcBorders>
            <w:vAlign w:val="center"/>
          </w:tcPr>
          <w:p>
            <w:pPr>
              <w:rPr>
                <w:rFonts w:ascii="宋体" w:hAnsi="宋体" w:cs="宋体"/>
                <w:sz w:val="22"/>
                <w:szCs w:val="22"/>
              </w:rPr>
            </w:pPr>
            <w:r>
              <w:rPr>
                <w:rFonts w:hint="eastAsia" w:ascii="宋体" w:hAnsi="宋体" w:cs="宋体"/>
                <w:sz w:val="22"/>
                <w:szCs w:val="22"/>
              </w:rPr>
              <w:t>50</w:t>
            </w:r>
          </w:p>
        </w:tc>
        <w:tc>
          <w:tcPr>
            <w:tcW w:w="5917" w:type="dxa"/>
            <w:tcBorders>
              <w:top w:val="single" w:color="auto" w:sz="6" w:space="0"/>
              <w:left w:val="single" w:color="auto" w:sz="4"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w:t>
            </w:r>
          </w:p>
        </w:tc>
      </w:tr>
    </w:tbl>
    <w:p>
      <w:pPr>
        <w:pStyle w:val="2"/>
        <w:rPr>
          <w:sz w:val="22"/>
          <w:szCs w:val="24"/>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pStyle w:val="3"/>
        <w:rPr>
          <w:sz w:val="18"/>
          <w:szCs w:val="18"/>
        </w:rPr>
      </w:pPr>
    </w:p>
    <w:p>
      <w:pPr>
        <w:widowControl/>
        <w:tabs>
          <w:tab w:val="left" w:pos="567"/>
        </w:tabs>
        <w:spacing w:after="120" w:afterLines="50" w:line="360" w:lineRule="auto"/>
        <w:jc w:val="center"/>
        <w:rPr>
          <w:rFonts w:ascii="宋体" w:hAnsi="宋体"/>
          <w:b/>
          <w:bCs/>
          <w:sz w:val="32"/>
          <w:szCs w:val="21"/>
        </w:rPr>
      </w:pPr>
      <w:r>
        <w:rPr>
          <w:rFonts w:hint="eastAsia" w:ascii="宋体" w:hAnsi="宋体"/>
          <w:b/>
          <w:bCs/>
          <w:sz w:val="32"/>
          <w:szCs w:val="21"/>
        </w:rPr>
        <w:t>商务评分表（40分）</w:t>
      </w:r>
    </w:p>
    <w:tbl>
      <w:tblPr>
        <w:tblStyle w:val="14"/>
        <w:tblW w:w="9606" w:type="dxa"/>
        <w:tblInd w:w="-65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1"/>
        <w:gridCol w:w="1487"/>
        <w:gridCol w:w="749"/>
        <w:gridCol w:w="61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41"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评审项目</w:t>
            </w:r>
          </w:p>
        </w:tc>
        <w:tc>
          <w:tcPr>
            <w:tcW w:w="148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分项内容</w:t>
            </w:r>
          </w:p>
        </w:tc>
        <w:tc>
          <w:tcPr>
            <w:tcW w:w="74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分值</w:t>
            </w:r>
          </w:p>
        </w:tc>
        <w:tc>
          <w:tcPr>
            <w:tcW w:w="612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评分说明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41" w:type="dxa"/>
            <w:vMerge w:val="restart"/>
            <w:tcBorders>
              <w:left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人员情况（20分）</w:t>
            </w:r>
          </w:p>
        </w:tc>
        <w:tc>
          <w:tcPr>
            <w:tcW w:w="148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负责人情况</w:t>
            </w:r>
          </w:p>
        </w:tc>
        <w:tc>
          <w:tcPr>
            <w:tcW w:w="74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ascii="宋体" w:hAnsi="宋体" w:cs="宋体"/>
                <w:sz w:val="22"/>
                <w:szCs w:val="22"/>
              </w:rPr>
              <w:t>6</w:t>
            </w:r>
          </w:p>
        </w:tc>
        <w:tc>
          <w:tcPr>
            <w:tcW w:w="6129" w:type="dxa"/>
            <w:tcBorders>
              <w:top w:val="single" w:color="auto" w:sz="6" w:space="0"/>
              <w:left w:val="single" w:color="auto" w:sz="6" w:space="0"/>
              <w:bottom w:val="single" w:color="auto" w:sz="6" w:space="0"/>
              <w:right w:val="single" w:color="auto" w:sz="6" w:space="0"/>
            </w:tcBorders>
          </w:tcPr>
          <w:p>
            <w:pPr>
              <w:rPr>
                <w:rFonts w:ascii="宋体" w:hAnsi="宋体" w:cs="宋体"/>
                <w:sz w:val="22"/>
                <w:szCs w:val="22"/>
              </w:rPr>
            </w:pPr>
            <w:r>
              <w:rPr>
                <w:rFonts w:hint="eastAsia" w:ascii="宋体" w:hAnsi="宋体" w:cs="宋体"/>
                <w:sz w:val="22"/>
                <w:szCs w:val="22"/>
              </w:rPr>
              <w:t>1、项目负责人具有项目管理师资质的，得3分；不具备项目管理师资质证书此项不得分。</w:t>
            </w:r>
          </w:p>
          <w:p>
            <w:pPr>
              <w:rPr>
                <w:rFonts w:ascii="宋体" w:hAnsi="宋体" w:cs="宋体"/>
                <w:sz w:val="22"/>
                <w:szCs w:val="22"/>
              </w:rPr>
            </w:pPr>
            <w:r>
              <w:rPr>
                <w:rFonts w:hint="eastAsia" w:ascii="宋体" w:hAnsi="宋体" w:cs="宋体"/>
                <w:sz w:val="22"/>
                <w:szCs w:val="22"/>
              </w:rPr>
              <w:t>2、技术负责人具有计算机系统维护中级职称证书，得3分；不具备计算机中级职称证书此项不得分。</w:t>
            </w:r>
          </w:p>
          <w:p>
            <w:pPr>
              <w:rPr>
                <w:rFonts w:ascii="宋体" w:hAnsi="宋体" w:cs="宋体"/>
                <w:sz w:val="22"/>
                <w:szCs w:val="22"/>
              </w:rPr>
            </w:pPr>
            <w:r>
              <w:rPr>
                <w:rFonts w:hint="eastAsia" w:ascii="宋体" w:hAnsi="宋体" w:cs="宋体"/>
                <w:sz w:val="22"/>
                <w:szCs w:val="22"/>
              </w:rPr>
              <w:t>以上人员须提供相关证书复印件及投标截止时间前6个月内任意一个月的参保证明文件并加盖投标人公章，不提供不得分。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41" w:type="dxa"/>
            <w:vMerge w:val="continue"/>
            <w:tcBorders>
              <w:left w:val="single" w:color="auto" w:sz="6" w:space="0"/>
              <w:right w:val="single" w:color="auto" w:sz="6" w:space="0"/>
            </w:tcBorders>
            <w:vAlign w:val="center"/>
          </w:tcPr>
          <w:p>
            <w:pPr>
              <w:rPr>
                <w:rFonts w:ascii="宋体" w:hAnsi="宋体" w:cs="宋体"/>
                <w:sz w:val="22"/>
                <w:szCs w:val="22"/>
              </w:rPr>
            </w:pPr>
          </w:p>
        </w:tc>
        <w:tc>
          <w:tcPr>
            <w:tcW w:w="148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项目团队要求</w:t>
            </w:r>
          </w:p>
        </w:tc>
        <w:tc>
          <w:tcPr>
            <w:tcW w:w="749" w:type="dxa"/>
            <w:tcBorders>
              <w:top w:val="single" w:color="auto" w:sz="6" w:space="0"/>
              <w:left w:val="single" w:color="auto" w:sz="6" w:space="0"/>
              <w:bottom w:val="single" w:color="auto" w:sz="6" w:space="0"/>
              <w:right w:val="single" w:color="auto" w:sz="6"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15</w:t>
            </w:r>
          </w:p>
        </w:tc>
        <w:tc>
          <w:tcPr>
            <w:tcW w:w="6129" w:type="dxa"/>
            <w:tcBorders>
              <w:top w:val="single" w:color="auto" w:sz="6" w:space="0"/>
              <w:left w:val="single" w:color="auto" w:sz="6" w:space="0"/>
              <w:bottom w:val="single" w:color="auto" w:sz="6" w:space="0"/>
              <w:right w:val="single" w:color="auto" w:sz="6" w:space="0"/>
            </w:tcBorders>
          </w:tcPr>
          <w:p>
            <w:pPr>
              <w:pStyle w:val="13"/>
              <w:numPr>
                <w:ilvl w:val="-1"/>
                <w:numId w:val="0"/>
              </w:numPr>
              <w:tabs>
                <w:tab w:val="left" w:pos="725"/>
              </w:tabs>
              <w:ind w:left="0" w:leftChars="0" w:firstLine="0" w:firstLineChars="0"/>
              <w:rPr>
                <w:rFonts w:ascii="Times New Roman" w:hAnsi="Times New Roman" w:cs="Times New Roman"/>
                <w:sz w:val="22"/>
                <w:szCs w:val="28"/>
              </w:rPr>
            </w:pPr>
            <w:r>
              <w:rPr>
                <w:rFonts w:hint="eastAsia"/>
                <w:sz w:val="21"/>
                <w:szCs w:val="28"/>
                <w:lang w:val="en-US" w:eastAsia="zh-CN"/>
              </w:rPr>
              <w:t>1、</w:t>
            </w:r>
            <w:r>
              <w:rPr>
                <w:rFonts w:hint="eastAsia"/>
                <w:sz w:val="21"/>
                <w:szCs w:val="28"/>
              </w:rPr>
              <w:t>投标人拟派技术团队需具备信息系统项目管理师资质3人及以上，需同时提供相应资格证明文件及</w:t>
            </w:r>
            <w:r>
              <w:rPr>
                <w:rFonts w:hint="eastAsia" w:ascii="宋体" w:hAnsi="宋体" w:cs="宋体"/>
                <w:sz w:val="22"/>
                <w:szCs w:val="22"/>
              </w:rPr>
              <w:t>投标截止时间前6个月内任意一个月的参保证明文件。得5分。</w:t>
            </w:r>
          </w:p>
          <w:p>
            <w:pPr>
              <w:pStyle w:val="13"/>
              <w:numPr>
                <w:ilvl w:val="-1"/>
                <w:numId w:val="0"/>
              </w:numPr>
              <w:tabs>
                <w:tab w:val="left" w:pos="725"/>
              </w:tabs>
              <w:ind w:left="0" w:leftChars="0" w:firstLine="0" w:firstLineChars="0"/>
              <w:rPr>
                <w:sz w:val="22"/>
                <w:szCs w:val="28"/>
              </w:rPr>
            </w:pPr>
            <w:r>
              <w:rPr>
                <w:rFonts w:hint="eastAsia"/>
                <w:sz w:val="21"/>
                <w:szCs w:val="28"/>
                <w:lang w:val="en-US" w:eastAsia="zh-CN"/>
              </w:rPr>
              <w:t>2、</w:t>
            </w:r>
            <w:r>
              <w:rPr>
                <w:rFonts w:hint="eastAsia"/>
                <w:sz w:val="21"/>
                <w:szCs w:val="28"/>
              </w:rPr>
              <w:t>投标人拟派项目团队需具备项目管理师相关资质，每提供1名符合资质的人员得</w:t>
            </w:r>
            <w:r>
              <w:rPr>
                <w:sz w:val="21"/>
                <w:szCs w:val="28"/>
              </w:rPr>
              <w:t>2</w:t>
            </w:r>
            <w:r>
              <w:rPr>
                <w:rFonts w:hint="eastAsia"/>
                <w:sz w:val="21"/>
                <w:szCs w:val="28"/>
              </w:rPr>
              <w:t>分，满分</w:t>
            </w:r>
            <w:r>
              <w:rPr>
                <w:rFonts w:hint="eastAsia"/>
                <w:sz w:val="21"/>
                <w:szCs w:val="28"/>
                <w:lang w:val="en-US" w:eastAsia="zh-CN"/>
              </w:rPr>
              <w:t>5</w:t>
            </w:r>
            <w:r>
              <w:rPr>
                <w:rFonts w:hint="eastAsia"/>
                <w:sz w:val="21"/>
                <w:szCs w:val="28"/>
              </w:rPr>
              <w:t>分</w:t>
            </w:r>
          </w:p>
          <w:p>
            <w:pPr>
              <w:pStyle w:val="13"/>
              <w:numPr>
                <w:ilvl w:val="-1"/>
                <w:numId w:val="0"/>
              </w:numPr>
              <w:tabs>
                <w:tab w:val="left" w:pos="725"/>
              </w:tabs>
              <w:ind w:left="0" w:leftChars="0" w:firstLine="0" w:firstLineChars="0"/>
              <w:rPr>
                <w:sz w:val="22"/>
                <w:szCs w:val="28"/>
              </w:rPr>
            </w:pPr>
            <w:r>
              <w:rPr>
                <w:rFonts w:hint="eastAsia"/>
                <w:sz w:val="21"/>
                <w:szCs w:val="28"/>
                <w:lang w:val="en-US" w:eastAsia="zh-CN"/>
              </w:rPr>
              <w:t>3、</w:t>
            </w:r>
            <w:r>
              <w:rPr>
                <w:rFonts w:hint="eastAsia"/>
                <w:sz w:val="21"/>
                <w:szCs w:val="28"/>
              </w:rPr>
              <w:t>投标人拟派项目团队需具备系统架构设计师相关资质，每提供1名符合资质的人员得</w:t>
            </w:r>
            <w:r>
              <w:rPr>
                <w:sz w:val="21"/>
                <w:szCs w:val="28"/>
              </w:rPr>
              <w:t>2</w:t>
            </w:r>
            <w:r>
              <w:rPr>
                <w:rFonts w:hint="eastAsia"/>
                <w:sz w:val="21"/>
                <w:szCs w:val="28"/>
              </w:rPr>
              <w:t>分，满分</w:t>
            </w:r>
            <w:r>
              <w:rPr>
                <w:rFonts w:hint="eastAsia"/>
                <w:sz w:val="21"/>
                <w:szCs w:val="28"/>
                <w:lang w:val="en-US" w:eastAsia="zh-CN"/>
              </w:rPr>
              <w:t>5</w:t>
            </w:r>
            <w:r>
              <w:rPr>
                <w:rFonts w:hint="eastAsia"/>
                <w:sz w:val="21"/>
                <w:szCs w:val="28"/>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41" w:type="dxa"/>
            <w:tcBorders>
              <w:left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业绩情况（10分）</w:t>
            </w:r>
          </w:p>
        </w:tc>
        <w:tc>
          <w:tcPr>
            <w:tcW w:w="148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类似业绩</w:t>
            </w:r>
          </w:p>
        </w:tc>
        <w:tc>
          <w:tcPr>
            <w:tcW w:w="749" w:type="dxa"/>
            <w:tcBorders>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1</w:t>
            </w:r>
            <w:r>
              <w:rPr>
                <w:rFonts w:ascii="宋体" w:hAnsi="宋体" w:cs="宋体"/>
                <w:sz w:val="22"/>
                <w:szCs w:val="22"/>
              </w:rPr>
              <w:t>0</w:t>
            </w:r>
          </w:p>
        </w:tc>
        <w:tc>
          <w:tcPr>
            <w:tcW w:w="6129" w:type="dxa"/>
            <w:tcBorders>
              <w:left w:val="single" w:color="auto" w:sz="6" w:space="0"/>
              <w:bottom w:val="single" w:color="auto" w:sz="6" w:space="0"/>
              <w:right w:val="single" w:color="auto" w:sz="6" w:space="0"/>
            </w:tcBorders>
            <w:vAlign w:val="center"/>
          </w:tcPr>
          <w:p>
            <w:pPr>
              <w:rPr>
                <w:color w:val="000000"/>
                <w:sz w:val="22"/>
                <w:szCs w:val="22"/>
              </w:rPr>
            </w:pPr>
            <w:r>
              <w:rPr>
                <w:rFonts w:hint="eastAsia" w:ascii="宋体" w:hAnsi="宋体" w:cs="宋体"/>
                <w:sz w:val="22"/>
                <w:szCs w:val="22"/>
              </w:rPr>
              <w:t>20</w:t>
            </w:r>
            <w:r>
              <w:rPr>
                <w:rFonts w:hint="eastAsia" w:ascii="宋体" w:hAnsi="宋体" w:cs="宋体"/>
                <w:sz w:val="22"/>
                <w:szCs w:val="22"/>
                <w:lang w:val="en-US" w:eastAsia="zh-CN"/>
              </w:rPr>
              <w:t>20</w:t>
            </w:r>
            <w:r>
              <w:rPr>
                <w:rFonts w:hint="eastAsia" w:ascii="宋体" w:hAnsi="宋体" w:cs="宋体"/>
                <w:sz w:val="22"/>
                <w:szCs w:val="22"/>
              </w:rPr>
              <w:t>年1月1日以来（以合同签订时间为准）机考</w:t>
            </w:r>
            <w:r>
              <w:rPr>
                <w:rFonts w:hint="eastAsia"/>
                <w:color w:val="000000"/>
                <w:sz w:val="22"/>
                <w:szCs w:val="22"/>
              </w:rPr>
              <w:t>类似合同业绩进行评分，每个业绩得2分；本项满分</w:t>
            </w:r>
            <w:r>
              <w:rPr>
                <w:color w:val="000000"/>
                <w:sz w:val="22"/>
                <w:szCs w:val="22"/>
              </w:rPr>
              <w:t>10</w:t>
            </w:r>
            <w:r>
              <w:rPr>
                <w:rFonts w:hint="eastAsia"/>
                <w:color w:val="000000"/>
                <w:sz w:val="22"/>
                <w:szCs w:val="22"/>
              </w:rPr>
              <w:t>分。</w:t>
            </w:r>
          </w:p>
          <w:p>
            <w:pPr>
              <w:rPr>
                <w:rFonts w:ascii="宋体" w:hAnsi="宋体" w:cs="宋体"/>
                <w:sz w:val="22"/>
                <w:szCs w:val="22"/>
              </w:rPr>
            </w:pPr>
            <w:r>
              <w:rPr>
                <w:rFonts w:hint="eastAsia" w:ascii="宋体" w:hAnsi="宋体" w:cs="宋体"/>
                <w:sz w:val="22"/>
                <w:szCs w:val="22"/>
              </w:rPr>
              <w:t>备注：须提供合同关键页复印件并加盖投标人公章。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41" w:type="dxa"/>
            <w:vMerge w:val="restart"/>
            <w:tcBorders>
              <w:left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企业综合能力（20分）</w:t>
            </w:r>
          </w:p>
        </w:tc>
        <w:tc>
          <w:tcPr>
            <w:tcW w:w="148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企业荣誉</w:t>
            </w:r>
          </w:p>
        </w:tc>
        <w:tc>
          <w:tcPr>
            <w:tcW w:w="749" w:type="dxa"/>
            <w:tcBorders>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3</w:t>
            </w:r>
          </w:p>
        </w:tc>
        <w:tc>
          <w:tcPr>
            <w:tcW w:w="6129" w:type="dxa"/>
            <w:tcBorders>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每具有一个ISO认证体系证书,得1分，最高得</w:t>
            </w:r>
            <w:r>
              <w:rPr>
                <w:rFonts w:ascii="宋体" w:hAnsi="宋体" w:cs="宋体"/>
                <w:sz w:val="22"/>
                <w:szCs w:val="22"/>
              </w:rPr>
              <w:t>3</w:t>
            </w:r>
            <w:r>
              <w:rPr>
                <w:rFonts w:hint="eastAsia" w:ascii="宋体" w:hAnsi="宋体" w:cs="宋体"/>
                <w:sz w:val="22"/>
                <w:szCs w:val="22"/>
              </w:rPr>
              <w:t>分，不提供不得分。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41" w:type="dxa"/>
            <w:vMerge w:val="continue"/>
            <w:tcBorders>
              <w:left w:val="single" w:color="auto" w:sz="6" w:space="0"/>
              <w:right w:val="single" w:color="auto" w:sz="6" w:space="0"/>
            </w:tcBorders>
            <w:vAlign w:val="center"/>
          </w:tcPr>
          <w:p>
            <w:pPr>
              <w:rPr>
                <w:rFonts w:ascii="宋体" w:hAnsi="宋体" w:cs="宋体"/>
                <w:sz w:val="22"/>
                <w:szCs w:val="22"/>
              </w:rPr>
            </w:pPr>
          </w:p>
        </w:tc>
        <w:tc>
          <w:tcPr>
            <w:tcW w:w="1487"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资质情况</w:t>
            </w:r>
          </w:p>
        </w:tc>
        <w:tc>
          <w:tcPr>
            <w:tcW w:w="749" w:type="dxa"/>
            <w:tcBorders>
              <w:left w:val="single" w:color="auto" w:sz="6" w:space="0"/>
              <w:bottom w:val="single" w:color="auto" w:sz="6" w:space="0"/>
              <w:right w:val="single" w:color="auto" w:sz="6" w:space="0"/>
            </w:tcBorders>
            <w:vAlign w:val="center"/>
          </w:tcPr>
          <w:p>
            <w:pPr>
              <w:rPr>
                <w:rFonts w:ascii="宋体" w:hAnsi="宋体" w:cs="宋体"/>
                <w:sz w:val="22"/>
                <w:szCs w:val="22"/>
              </w:rPr>
            </w:pPr>
            <w:r>
              <w:rPr>
                <w:rFonts w:ascii="宋体" w:hAnsi="宋体" w:cs="宋体"/>
                <w:sz w:val="22"/>
                <w:szCs w:val="22"/>
              </w:rPr>
              <w:t>4</w:t>
            </w:r>
          </w:p>
        </w:tc>
        <w:tc>
          <w:tcPr>
            <w:tcW w:w="6129" w:type="dxa"/>
            <w:tcBorders>
              <w:left w:val="single" w:color="auto" w:sz="6" w:space="0"/>
              <w:bottom w:val="single" w:color="auto" w:sz="6" w:space="0"/>
              <w:right w:val="single" w:color="auto" w:sz="6" w:space="0"/>
            </w:tcBorders>
            <w:vAlign w:val="center"/>
          </w:tcPr>
          <w:p>
            <w:pPr>
              <w:rPr>
                <w:rFonts w:ascii="宋体" w:hAnsi="宋体" w:cs="宋体"/>
                <w:sz w:val="22"/>
                <w:szCs w:val="22"/>
              </w:rPr>
            </w:pPr>
            <w:r>
              <w:rPr>
                <w:rFonts w:hint="eastAsia" w:ascii="宋体" w:hAnsi="宋体" w:cs="宋体"/>
                <w:sz w:val="22"/>
                <w:szCs w:val="22"/>
              </w:rPr>
              <w:t>投标人具有有效的：</w:t>
            </w:r>
          </w:p>
          <w:p>
            <w:pPr>
              <w:pStyle w:val="13"/>
              <w:ind w:left="0" w:leftChars="0" w:firstLine="0" w:firstLineChars="0"/>
              <w:rPr>
                <w:sz w:val="22"/>
                <w:szCs w:val="28"/>
              </w:rPr>
            </w:pPr>
            <w:r>
              <w:rPr>
                <w:rFonts w:hint="eastAsia"/>
                <w:sz w:val="22"/>
                <w:szCs w:val="28"/>
              </w:rPr>
              <w:t>1</w:t>
            </w:r>
            <w:r>
              <w:rPr>
                <w:sz w:val="22"/>
                <w:szCs w:val="28"/>
              </w:rPr>
              <w:t xml:space="preserve">. </w:t>
            </w:r>
            <w:r>
              <w:rPr>
                <w:rFonts w:hint="eastAsia"/>
                <w:sz w:val="22"/>
                <w:szCs w:val="28"/>
              </w:rPr>
              <w:t>具备能力成熟度等级证书-CMMI-三级（或以上），得2分，不提供不得分。</w:t>
            </w:r>
          </w:p>
          <w:p>
            <w:pPr>
              <w:pStyle w:val="13"/>
              <w:ind w:left="0" w:leftChars="0" w:firstLine="0" w:firstLineChars="0"/>
              <w:rPr>
                <w:rFonts w:hint="eastAsia" w:ascii="宋体" w:hAnsi="宋体" w:cs="宋体"/>
                <w:sz w:val="22"/>
                <w:szCs w:val="22"/>
              </w:rPr>
            </w:pPr>
            <w:r>
              <w:rPr>
                <w:rFonts w:hint="eastAsia"/>
                <w:sz w:val="22"/>
                <w:szCs w:val="28"/>
              </w:rPr>
              <w:t>2</w:t>
            </w:r>
            <w:r>
              <w:rPr>
                <w:sz w:val="22"/>
                <w:szCs w:val="28"/>
              </w:rPr>
              <w:t xml:space="preserve">. </w:t>
            </w:r>
            <w:r>
              <w:rPr>
                <w:rFonts w:hint="eastAsia"/>
                <w:sz w:val="22"/>
                <w:szCs w:val="28"/>
              </w:rPr>
              <w:t>具备信息技术服务标准符合性证书-三级（或以上），得2分，不提供不得分。</w:t>
            </w:r>
          </w:p>
          <w:p>
            <w:pPr>
              <w:rPr>
                <w:rFonts w:ascii="宋体" w:hAnsi="宋体" w:cs="宋体"/>
                <w:sz w:val="22"/>
                <w:szCs w:val="22"/>
              </w:rPr>
            </w:pPr>
            <w:r>
              <w:rPr>
                <w:rFonts w:hint="eastAsia" w:ascii="宋体" w:hAnsi="宋体" w:cs="宋体"/>
                <w:sz w:val="22"/>
                <w:szCs w:val="22"/>
              </w:rPr>
              <w:t>须提供证书、证明文件等复印件并加盖公章，不提供不得分。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41" w:type="dxa"/>
            <w:vMerge w:val="continue"/>
            <w:tcBorders>
              <w:left w:val="single" w:color="auto" w:sz="6" w:space="0"/>
              <w:right w:val="single" w:color="auto" w:sz="6" w:space="0"/>
            </w:tcBorders>
            <w:vAlign w:val="center"/>
          </w:tcPr>
          <w:p>
            <w:pPr>
              <w:rPr>
                <w:rFonts w:ascii="宋体" w:hAnsi="宋体" w:cs="宋体"/>
                <w:sz w:val="22"/>
                <w:szCs w:val="22"/>
              </w:rPr>
            </w:pPr>
          </w:p>
        </w:tc>
        <w:tc>
          <w:tcPr>
            <w:tcW w:w="1487" w:type="dxa"/>
            <w:tcBorders>
              <w:top w:val="single" w:color="auto" w:sz="6" w:space="0"/>
              <w:left w:val="single" w:color="auto" w:sz="6" w:space="0"/>
              <w:bottom w:val="single" w:color="auto" w:sz="6" w:space="0"/>
              <w:right w:val="single" w:color="auto" w:sz="4" w:space="0"/>
            </w:tcBorders>
            <w:vAlign w:val="center"/>
          </w:tcPr>
          <w:p>
            <w:pPr>
              <w:rPr>
                <w:rFonts w:ascii="宋体" w:hAnsi="宋体" w:cs="宋体"/>
                <w:sz w:val="22"/>
                <w:szCs w:val="22"/>
              </w:rPr>
            </w:pPr>
            <w:r>
              <w:rPr>
                <w:rFonts w:hint="eastAsia" w:ascii="宋体" w:hAnsi="宋体" w:cs="宋体"/>
                <w:sz w:val="22"/>
                <w:szCs w:val="22"/>
              </w:rPr>
              <w:t>企业信用</w:t>
            </w:r>
          </w:p>
        </w:tc>
        <w:tc>
          <w:tcPr>
            <w:tcW w:w="749" w:type="dxa"/>
            <w:tcBorders>
              <w:left w:val="single" w:color="auto" w:sz="4" w:space="0"/>
              <w:right w:val="single" w:color="auto" w:sz="4" w:space="0"/>
            </w:tcBorders>
            <w:vAlign w:val="center"/>
          </w:tcPr>
          <w:p>
            <w:pPr>
              <w:rPr>
                <w:rFonts w:ascii="宋体" w:hAnsi="宋体" w:cs="宋体"/>
                <w:sz w:val="22"/>
                <w:szCs w:val="22"/>
              </w:rPr>
            </w:pPr>
            <w:r>
              <w:rPr>
                <w:rFonts w:hint="eastAsia" w:ascii="宋体" w:hAnsi="宋体" w:cs="宋体"/>
                <w:sz w:val="22"/>
                <w:szCs w:val="22"/>
              </w:rPr>
              <w:t>2</w:t>
            </w:r>
          </w:p>
        </w:tc>
        <w:tc>
          <w:tcPr>
            <w:tcW w:w="6129" w:type="dxa"/>
            <w:tcBorders>
              <w:left w:val="single" w:color="auto" w:sz="4" w:space="0"/>
              <w:right w:val="single" w:color="auto" w:sz="6" w:space="0"/>
            </w:tcBorders>
            <w:vAlign w:val="center"/>
          </w:tcPr>
          <w:p>
            <w:pPr>
              <w:rPr>
                <w:rFonts w:hint="eastAsia" w:ascii="宋体" w:hAnsi="宋体" w:cs="宋体"/>
                <w:sz w:val="22"/>
                <w:szCs w:val="22"/>
              </w:rPr>
            </w:pPr>
            <w:r>
              <w:rPr>
                <w:rFonts w:hint="eastAsia" w:ascii="宋体" w:hAnsi="宋体" w:cs="宋体"/>
                <w:sz w:val="22"/>
                <w:szCs w:val="22"/>
              </w:rPr>
              <w:t>投标人具有</w:t>
            </w:r>
            <w:r>
              <w:rPr>
                <w:rFonts w:ascii="宋体" w:hAnsi="宋体" w:cs="宋体"/>
                <w:sz w:val="22"/>
                <w:szCs w:val="22"/>
              </w:rPr>
              <w:t>3</w:t>
            </w:r>
            <w:r>
              <w:rPr>
                <w:rFonts w:hint="eastAsia" w:ascii="宋体" w:hAnsi="宋体" w:cs="宋体"/>
                <w:sz w:val="22"/>
                <w:szCs w:val="22"/>
              </w:rPr>
              <w:t>A级信用等级资质得1分，</w:t>
            </w:r>
            <w:r>
              <w:rPr>
                <w:rFonts w:hint="eastAsia"/>
                <w:sz w:val="22"/>
                <w:szCs w:val="28"/>
              </w:rPr>
              <w:t>投标人具有企业协会认证的诚信创建企业资质，得1分，最高得2分，不提供不得分。</w:t>
            </w:r>
          </w:p>
          <w:p>
            <w:pPr>
              <w:rPr>
                <w:rFonts w:ascii="宋体" w:hAnsi="宋体" w:cs="宋体"/>
                <w:sz w:val="22"/>
                <w:szCs w:val="22"/>
              </w:rPr>
            </w:pPr>
            <w:r>
              <w:rPr>
                <w:rFonts w:hint="eastAsia" w:ascii="宋体" w:hAnsi="宋体" w:cs="宋体"/>
                <w:sz w:val="22"/>
                <w:szCs w:val="22"/>
              </w:rPr>
              <w:t>（每提供一份得</w:t>
            </w:r>
            <w:r>
              <w:rPr>
                <w:rFonts w:ascii="宋体" w:hAnsi="宋体" w:cs="宋体"/>
                <w:sz w:val="22"/>
                <w:szCs w:val="22"/>
              </w:rPr>
              <w:t>1</w:t>
            </w:r>
            <w:r>
              <w:rPr>
                <w:rFonts w:hint="eastAsia" w:ascii="宋体" w:hAnsi="宋体" w:cs="宋体"/>
                <w:sz w:val="22"/>
                <w:szCs w:val="22"/>
              </w:rPr>
              <w:t>分，最高得2分，不提供不得分。）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728" w:type="dxa"/>
            <w:gridSpan w:val="2"/>
            <w:tcBorders>
              <w:left w:val="single" w:color="auto" w:sz="6" w:space="0"/>
              <w:right w:val="single" w:color="auto" w:sz="4" w:space="0"/>
            </w:tcBorders>
            <w:vAlign w:val="center"/>
          </w:tcPr>
          <w:p>
            <w:pPr>
              <w:rPr>
                <w:rFonts w:ascii="宋体" w:hAnsi="宋体" w:cs="宋体"/>
                <w:sz w:val="22"/>
                <w:szCs w:val="22"/>
              </w:rPr>
            </w:pPr>
            <w:r>
              <w:rPr>
                <w:rFonts w:ascii="宋体" w:hAnsi="宋体" w:cs="宋体"/>
                <w:sz w:val="22"/>
                <w:szCs w:val="22"/>
              </w:rPr>
              <w:t>合计</w:t>
            </w:r>
          </w:p>
        </w:tc>
        <w:tc>
          <w:tcPr>
            <w:tcW w:w="749" w:type="dxa"/>
            <w:tcBorders>
              <w:left w:val="single" w:color="auto" w:sz="4" w:space="0"/>
              <w:right w:val="single" w:color="auto" w:sz="4" w:space="0"/>
            </w:tcBorders>
            <w:vAlign w:val="center"/>
          </w:tcPr>
          <w:p>
            <w:pPr>
              <w:rPr>
                <w:rFonts w:ascii="宋体" w:hAnsi="宋体" w:cs="宋体"/>
                <w:sz w:val="22"/>
                <w:szCs w:val="22"/>
              </w:rPr>
            </w:pPr>
            <w:r>
              <w:rPr>
                <w:rFonts w:hint="eastAsia" w:ascii="宋体" w:hAnsi="宋体" w:cs="宋体"/>
                <w:sz w:val="22"/>
                <w:szCs w:val="22"/>
                <w:lang w:val="en-US" w:eastAsia="zh-CN"/>
              </w:rPr>
              <w:t>4</w:t>
            </w:r>
            <w:r>
              <w:rPr>
                <w:rFonts w:hint="eastAsia" w:ascii="宋体" w:hAnsi="宋体" w:cs="宋体"/>
                <w:sz w:val="22"/>
                <w:szCs w:val="22"/>
              </w:rPr>
              <w:t>0</w:t>
            </w:r>
          </w:p>
        </w:tc>
        <w:tc>
          <w:tcPr>
            <w:tcW w:w="6129" w:type="dxa"/>
            <w:tcBorders>
              <w:left w:val="single" w:color="auto" w:sz="4" w:space="0"/>
              <w:right w:val="single" w:color="auto" w:sz="6" w:space="0"/>
            </w:tcBorders>
            <w:vAlign w:val="center"/>
          </w:tcPr>
          <w:p>
            <w:pPr>
              <w:rPr>
                <w:rFonts w:ascii="宋体" w:hAnsi="宋体" w:cs="宋体"/>
                <w:sz w:val="22"/>
                <w:szCs w:val="22"/>
              </w:rPr>
            </w:pPr>
            <w:r>
              <w:rPr>
                <w:rFonts w:hint="eastAsia" w:ascii="宋体" w:hAnsi="宋体" w:cs="宋体"/>
                <w:sz w:val="22"/>
                <w:szCs w:val="22"/>
              </w:rPr>
              <w:t>/</w:t>
            </w:r>
          </w:p>
        </w:tc>
      </w:tr>
    </w:tbl>
    <w:p>
      <w:pPr>
        <w:rPr>
          <w:rFonts w:ascii="微软雅黑" w:hAnsi="微软雅黑" w:eastAsia="微软雅黑"/>
          <w:bCs/>
          <w:sz w:val="22"/>
          <w:szCs w:val="22"/>
        </w:rPr>
      </w:pPr>
      <w:r>
        <w:rPr>
          <w:rFonts w:hint="eastAsia" w:ascii="微软雅黑" w:hAnsi="微软雅黑" w:eastAsia="微软雅黑"/>
          <w:bCs/>
          <w:sz w:val="22"/>
          <w:szCs w:val="22"/>
        </w:rPr>
        <w:t>注：1.各评委按规定的范围内进行量化打分，并统计总分。</w:t>
      </w:r>
    </w:p>
    <w:p>
      <w:pPr>
        <w:pStyle w:val="3"/>
        <w:rPr>
          <w:sz w:val="18"/>
          <w:szCs w:val="18"/>
        </w:rPr>
      </w:pPr>
    </w:p>
    <w:bookmarkEnd w:id="10"/>
    <w:p>
      <w:pPr>
        <w:keepNext/>
        <w:keepLines/>
        <w:adjustRightInd w:val="0"/>
        <w:spacing w:line="360" w:lineRule="auto"/>
        <w:jc w:val="center"/>
        <w:textAlignment w:val="baseline"/>
        <w:outlineLvl w:val="1"/>
        <w:rPr>
          <w:rFonts w:ascii="宋体" w:hAnsi="宋体"/>
          <w:b/>
          <w:sz w:val="32"/>
          <w:szCs w:val="32"/>
        </w:rPr>
      </w:pPr>
      <w:r>
        <w:rPr>
          <w:rFonts w:cs="Arial"/>
          <w:sz w:val="24"/>
        </w:rPr>
        <w:br w:type="page"/>
      </w:r>
      <w:r>
        <w:rPr>
          <w:rFonts w:hint="eastAsia" w:ascii="宋体" w:hAnsi="宋体"/>
          <w:b/>
          <w:sz w:val="32"/>
          <w:szCs w:val="32"/>
        </w:rPr>
        <w:t>第四章  合同格式</w:t>
      </w:r>
    </w:p>
    <w:p>
      <w:pPr>
        <w:keepNext/>
        <w:keepLines/>
        <w:adjustRightInd w:val="0"/>
        <w:spacing w:line="360" w:lineRule="auto"/>
        <w:jc w:val="center"/>
        <w:textAlignment w:val="baseline"/>
        <w:outlineLvl w:val="1"/>
        <w:rPr>
          <w:rFonts w:hint="eastAsia" w:ascii="宋体" w:hAnsi="宋体" w:eastAsia="宋体"/>
          <w:b/>
          <w:sz w:val="32"/>
          <w:szCs w:val="32"/>
          <w:lang w:eastAsia="zh-CN"/>
        </w:rPr>
      </w:pPr>
      <w:r>
        <w:rPr>
          <w:rFonts w:hint="eastAsia" w:ascii="宋体" w:hAnsi="宋体"/>
          <w:b/>
          <w:sz w:val="32"/>
          <w:szCs w:val="32"/>
          <w:lang w:val="en-US" w:eastAsia="zh-CN"/>
        </w:rPr>
        <w:t xml:space="preserve"> </w:t>
      </w:r>
    </w:p>
    <w:p>
      <w:pPr>
        <w:tabs>
          <w:tab w:val="left" w:pos="8591"/>
        </w:tabs>
        <w:spacing w:before="50"/>
        <w:ind w:left="4529"/>
        <w:rPr>
          <w:rFonts w:ascii="黑体" w:hAnsi="黑体" w:eastAsia="黑体"/>
          <w:b/>
          <w:sz w:val="27"/>
        </w:rPr>
      </w:pPr>
      <w:r>
        <w:rPr>
          <w:rFonts w:hint="eastAsia" w:ascii="黑体" w:hAnsi="黑体" w:eastAsia="黑体"/>
          <w:b/>
          <w:sz w:val="27"/>
        </w:rPr>
        <w:t>合同号：</w:t>
      </w:r>
      <w:r>
        <w:rPr>
          <w:rFonts w:ascii="黑体" w:hAnsi="黑体" w:eastAsia="黑体"/>
          <w:b/>
          <w:w w:val="103"/>
          <w:sz w:val="27"/>
          <w:u w:val="single"/>
        </w:rPr>
        <w:t xml:space="preserve"> </w:t>
      </w:r>
      <w:r>
        <w:rPr>
          <w:rFonts w:ascii="黑体" w:hAnsi="黑体" w:eastAsia="黑体"/>
          <w:b/>
          <w:sz w:val="27"/>
          <w:u w:val="single"/>
        </w:rPr>
        <w:tab/>
      </w:r>
    </w:p>
    <w:p>
      <w:pPr>
        <w:pStyle w:val="7"/>
        <w:rPr>
          <w:rFonts w:ascii="仿宋" w:hAnsi="仿宋" w:eastAsia="仿宋"/>
          <w:b/>
          <w:sz w:val="20"/>
        </w:rPr>
      </w:pPr>
    </w:p>
    <w:p>
      <w:pPr>
        <w:pStyle w:val="7"/>
        <w:rPr>
          <w:rFonts w:ascii="仿宋" w:hAnsi="仿宋" w:eastAsia="仿宋"/>
          <w:b/>
          <w:sz w:val="20"/>
        </w:rPr>
      </w:pPr>
    </w:p>
    <w:p>
      <w:pPr>
        <w:spacing w:line="594" w:lineRule="exact"/>
        <w:jc w:val="center"/>
        <w:rPr>
          <w:rFonts w:ascii="宋体" w:hAnsi="宋体"/>
          <w:b/>
          <w:bCs/>
          <w:spacing w:val="-30"/>
          <w:w w:val="90"/>
          <w:sz w:val="56"/>
          <w:szCs w:val="56"/>
        </w:rPr>
      </w:pPr>
      <w:r>
        <w:rPr>
          <w:rFonts w:hint="eastAsia" w:ascii="宋体" w:hAnsi="宋体" w:eastAsia="宋体" w:cs="Times New Roman"/>
          <w:b/>
          <w:bCs/>
          <w:spacing w:val="-30"/>
          <w:w w:val="90"/>
          <w:sz w:val="56"/>
          <w:szCs w:val="56"/>
          <w:u w:val="none"/>
          <w:lang w:val="en-US" w:eastAsia="zh-CN"/>
        </w:rPr>
        <w:t>全省2023年度业务考试暨首次一级消防监督执法资格考试服务</w:t>
      </w:r>
      <w:r>
        <w:rPr>
          <w:rFonts w:ascii="宋体" w:hAnsi="宋体"/>
          <w:b/>
          <w:bCs/>
          <w:spacing w:val="-30"/>
          <w:w w:val="90"/>
          <w:sz w:val="56"/>
          <w:szCs w:val="56"/>
        </w:rPr>
        <w:t>采购</w:t>
      </w:r>
      <w:r>
        <w:rPr>
          <w:rFonts w:hint="eastAsia" w:ascii="宋体" w:hAnsi="宋体"/>
          <w:b/>
          <w:bCs/>
          <w:spacing w:val="-30"/>
          <w:w w:val="90"/>
          <w:sz w:val="56"/>
          <w:szCs w:val="56"/>
        </w:rPr>
        <w:t>项目</w:t>
      </w:r>
    </w:p>
    <w:p>
      <w:pPr>
        <w:pStyle w:val="7"/>
        <w:spacing w:before="3"/>
        <w:rPr>
          <w:rFonts w:ascii="仿宋" w:hAnsi="仿宋" w:eastAsia="仿宋"/>
          <w:b/>
          <w:sz w:val="59"/>
        </w:rPr>
      </w:pPr>
    </w:p>
    <w:p>
      <w:pPr>
        <w:pStyle w:val="12"/>
        <w:spacing w:line="501" w:lineRule="auto"/>
        <w:ind w:left="3999" w:right="4142"/>
        <w:jc w:val="both"/>
        <w:rPr>
          <w:rFonts w:ascii="仿宋" w:hAnsi="仿宋" w:eastAsia="仿宋"/>
        </w:rPr>
      </w:pPr>
      <w:r>
        <w:rPr>
          <w:rFonts w:hint="eastAsia" w:ascii="微软雅黑" w:hAnsi="微软雅黑" w:eastAsia="微软雅黑" w:cs="微软雅黑"/>
        </w:rPr>
        <w:t>合同</w:t>
      </w:r>
    </w:p>
    <w:p>
      <w:pPr>
        <w:pStyle w:val="7"/>
        <w:spacing w:before="9"/>
        <w:rPr>
          <w:rFonts w:ascii="仿宋" w:hAnsi="仿宋" w:eastAsia="仿宋"/>
          <w:b/>
          <w:sz w:val="49"/>
        </w:rPr>
      </w:pPr>
    </w:p>
    <w:p>
      <w:pPr>
        <w:tabs>
          <w:tab w:val="left" w:pos="3169"/>
          <w:tab w:val="left" w:pos="3329"/>
          <w:tab w:val="left" w:pos="7809"/>
        </w:tabs>
        <w:spacing w:line="324" w:lineRule="auto"/>
        <w:ind w:left="769" w:right="1052"/>
        <w:rPr>
          <w:rFonts w:ascii="黑体" w:hAnsi="黑体" w:eastAsia="黑体"/>
          <w:b/>
          <w:sz w:val="31"/>
        </w:rPr>
      </w:pPr>
      <w:r>
        <w:rPr>
          <w:rFonts w:hint="eastAsia" w:ascii="黑体" w:hAnsi="黑体" w:eastAsia="黑体"/>
          <w:b/>
          <w:spacing w:val="3"/>
          <w:sz w:val="31"/>
        </w:rPr>
        <w:t>聘请方：</w:t>
      </w:r>
      <w:r>
        <w:rPr>
          <w:rFonts w:hint="eastAsia" w:ascii="黑体" w:hAnsi="黑体" w:eastAsia="黑体"/>
          <w:b/>
          <w:spacing w:val="3"/>
          <w:sz w:val="31"/>
          <w:u w:val="single"/>
        </w:rPr>
        <w:t xml:space="preserve"> </w:t>
      </w:r>
      <w:r>
        <w:rPr>
          <w:rFonts w:hint="eastAsia" w:ascii="黑体" w:hAnsi="黑体" w:eastAsia="黑体"/>
          <w:b/>
          <w:spacing w:val="3"/>
          <w:sz w:val="31"/>
          <w:u w:val="single"/>
        </w:rPr>
        <w:tab/>
      </w:r>
      <w:r>
        <w:rPr>
          <w:rFonts w:hint="eastAsia" w:ascii="黑体" w:hAnsi="黑体" w:eastAsia="黑体"/>
          <w:b/>
          <w:spacing w:val="3"/>
          <w:sz w:val="31"/>
          <w:u w:val="single"/>
        </w:rPr>
        <w:t xml:space="preserve"> 广东省消防救援总队</w:t>
      </w:r>
      <w:r>
        <w:rPr>
          <w:rFonts w:hint="eastAsia" w:ascii="黑体" w:hAnsi="黑体" w:eastAsia="黑体"/>
          <w:b/>
          <w:sz w:val="31"/>
          <w:u w:val="single"/>
        </w:rPr>
        <w:tab/>
      </w:r>
      <w:r>
        <w:rPr>
          <w:rFonts w:hint="eastAsia" w:ascii="黑体" w:hAnsi="黑体" w:eastAsia="黑体"/>
          <w:b/>
          <w:spacing w:val="3"/>
          <w:sz w:val="31"/>
          <w:u w:val="single"/>
        </w:rPr>
        <w:t xml:space="preserve">    </w:t>
      </w:r>
      <w:r>
        <w:rPr>
          <w:rFonts w:hint="eastAsia" w:ascii="黑体" w:hAnsi="黑体" w:eastAsia="黑体"/>
          <w:b/>
          <w:spacing w:val="144"/>
          <w:sz w:val="31"/>
          <w:u w:val="single"/>
        </w:rPr>
        <w:t xml:space="preserve"> </w:t>
      </w:r>
      <w:r>
        <w:rPr>
          <w:rFonts w:hint="eastAsia" w:ascii="黑体" w:hAnsi="黑体" w:eastAsia="黑体"/>
          <w:b/>
          <w:spacing w:val="3"/>
          <w:sz w:val="31"/>
        </w:rPr>
        <w:t>受聘方：</w:t>
      </w:r>
      <w:r>
        <w:rPr>
          <w:rFonts w:hint="eastAsia" w:ascii="黑体" w:hAnsi="黑体" w:eastAsia="黑体"/>
          <w:b/>
          <w:spacing w:val="3"/>
          <w:sz w:val="31"/>
          <w:u w:val="single"/>
        </w:rPr>
        <w:t xml:space="preserve"> </w:t>
      </w:r>
      <w:r>
        <w:rPr>
          <w:rFonts w:hint="eastAsia" w:ascii="黑体" w:hAnsi="黑体" w:eastAsia="黑体"/>
          <w:b/>
          <w:spacing w:val="3"/>
          <w:sz w:val="31"/>
          <w:u w:val="single"/>
        </w:rPr>
        <w:tab/>
      </w:r>
      <w:r>
        <w:rPr>
          <w:rFonts w:hint="eastAsia" w:ascii="黑体" w:hAnsi="黑体" w:eastAsia="黑体"/>
          <w:b/>
          <w:spacing w:val="3"/>
          <w:sz w:val="31"/>
          <w:u w:val="single"/>
        </w:rPr>
        <w:tab/>
      </w:r>
      <w:r>
        <w:rPr>
          <w:rFonts w:ascii="黑体" w:hAnsi="黑体" w:eastAsia="黑体"/>
          <w:b/>
          <w:spacing w:val="3"/>
          <w:sz w:val="31"/>
          <w:u w:val="single"/>
        </w:rPr>
        <w:t xml:space="preserve"> </w:t>
      </w:r>
      <w:r>
        <w:rPr>
          <w:rFonts w:hint="eastAsia" w:ascii="黑体" w:hAnsi="黑体" w:eastAsia="黑体"/>
          <w:b/>
          <w:sz w:val="31"/>
          <w:u w:val="single"/>
        </w:rPr>
        <w:tab/>
      </w:r>
    </w:p>
    <w:p>
      <w:pPr>
        <w:spacing w:line="324" w:lineRule="auto"/>
        <w:rPr>
          <w:rFonts w:ascii="仿宋" w:hAnsi="仿宋" w:eastAsia="仿宋"/>
          <w:sz w:val="31"/>
        </w:rPr>
        <w:sectPr>
          <w:footerReference r:id="rId5" w:type="default"/>
          <w:pgSz w:w="11910" w:h="16840"/>
          <w:pgMar w:top="1540" w:right="1360" w:bottom="280" w:left="1680" w:header="720" w:footer="720" w:gutter="0"/>
          <w:pgNumType w:fmt="decimal" w:start="1"/>
          <w:cols w:space="720" w:num="1"/>
        </w:sectPr>
      </w:pPr>
    </w:p>
    <w:p>
      <w:pPr>
        <w:spacing w:after="156" w:afterLines="50" w:line="240" w:lineRule="atLeast"/>
        <w:jc w:val="center"/>
        <w:rPr>
          <w:b/>
          <w:sz w:val="36"/>
          <w:szCs w:val="36"/>
        </w:rPr>
      </w:pPr>
      <w:r>
        <w:rPr>
          <w:rFonts w:hint="eastAsia" w:ascii="Calibri" w:hAnsi="Calibri" w:cs="宋体"/>
          <w:b/>
          <w:sz w:val="36"/>
          <w:szCs w:val="36"/>
        </w:rPr>
        <w:t xml:space="preserve">广东省消防救援总队考试协议 </w:t>
      </w:r>
    </w:p>
    <w:p>
      <w:pPr>
        <w:spacing w:after="156" w:afterLines="50" w:line="240" w:lineRule="atLeast"/>
        <w:rPr>
          <w:rFonts w:hint="eastAsia" w:ascii="宋体" w:hAnsi="宋体" w:cs="宋体"/>
          <w:sz w:val="24"/>
          <w:szCs w:val="24"/>
        </w:rPr>
      </w:pPr>
      <w:r>
        <w:rPr>
          <w:rFonts w:hint="eastAsia" w:ascii="宋体" w:hAnsi="宋体" w:cs="宋体"/>
          <w:sz w:val="24"/>
          <w:szCs w:val="24"/>
        </w:rPr>
        <w:t>甲方：广东省消防救援总队</w:t>
      </w:r>
    </w:p>
    <w:p>
      <w:pPr>
        <w:pStyle w:val="13"/>
        <w:ind w:left="0" w:leftChars="0" w:firstLine="0" w:firstLineChars="0"/>
        <w:rPr>
          <w:rFonts w:hint="default"/>
          <w:lang w:val="en-US" w:eastAsia="zh-CN"/>
        </w:rPr>
      </w:pPr>
      <w:r>
        <w:rPr>
          <w:rFonts w:hint="eastAsia"/>
          <w:lang w:val="en-US" w:eastAsia="zh-CN"/>
        </w:rPr>
        <w:t>负责人：</w:t>
      </w:r>
    </w:p>
    <w:p>
      <w:pPr>
        <w:spacing w:after="156" w:afterLines="50" w:line="240" w:lineRule="atLeast"/>
        <w:rPr>
          <w:rFonts w:ascii="宋体" w:hAnsi="宋体" w:cs="宋体"/>
          <w:sz w:val="24"/>
          <w:szCs w:val="24"/>
        </w:rPr>
      </w:pPr>
      <w:r>
        <w:rPr>
          <w:rFonts w:hint="eastAsia" w:ascii="宋体" w:hAnsi="宋体" w:cs="宋体"/>
          <w:sz w:val="24"/>
          <w:szCs w:val="24"/>
        </w:rPr>
        <w:t>地址：广州市天河区瘦狗岭483号</w:t>
      </w:r>
    </w:p>
    <w:p>
      <w:pPr>
        <w:spacing w:after="156" w:afterLines="50" w:line="240" w:lineRule="atLeast"/>
        <w:rPr>
          <w:rFonts w:ascii="宋体" w:hAnsi="宋体" w:cs="宋体"/>
          <w:sz w:val="24"/>
          <w:szCs w:val="24"/>
        </w:rPr>
      </w:pPr>
      <w:r>
        <w:rPr>
          <w:rFonts w:hint="eastAsia" w:ascii="宋体" w:hAnsi="宋体" w:cs="宋体"/>
          <w:sz w:val="24"/>
          <w:szCs w:val="24"/>
        </w:rPr>
        <w:t>电话：020-87119214传真：02087119173</w:t>
      </w:r>
    </w:p>
    <w:p>
      <w:pPr>
        <w:spacing w:after="156" w:afterLines="50" w:line="240" w:lineRule="atLeast"/>
        <w:rPr>
          <w:rFonts w:ascii="宋体" w:hAnsi="宋体" w:cs="宋体"/>
          <w:sz w:val="24"/>
          <w:szCs w:val="24"/>
        </w:rPr>
      </w:pPr>
    </w:p>
    <w:p>
      <w:pPr>
        <w:spacing w:after="156" w:afterLines="50" w:line="240" w:lineRule="atLeast"/>
        <w:rPr>
          <w:rFonts w:hint="eastAsia" w:ascii="宋体" w:hAnsi="宋体" w:cs="宋体"/>
          <w:sz w:val="24"/>
          <w:szCs w:val="24"/>
        </w:rPr>
      </w:pPr>
      <w:r>
        <w:rPr>
          <w:rFonts w:hint="eastAsia" w:ascii="宋体" w:hAnsi="宋体" w:cs="宋体"/>
          <w:sz w:val="24"/>
          <w:szCs w:val="24"/>
        </w:rPr>
        <w:t>乙方：</w:t>
      </w:r>
    </w:p>
    <w:p>
      <w:pPr>
        <w:pStyle w:val="13"/>
        <w:ind w:left="0" w:leftChars="0" w:firstLine="0" w:firstLineChars="0"/>
        <w:rPr>
          <w:rFonts w:hint="eastAsia" w:eastAsia="宋体"/>
          <w:lang w:val="en-US" w:eastAsia="zh-CN"/>
        </w:rPr>
      </w:pPr>
      <w:r>
        <w:rPr>
          <w:rFonts w:hint="eastAsia" w:ascii="宋体" w:hAnsi="宋体" w:cs="宋体"/>
          <w:sz w:val="24"/>
          <w:szCs w:val="24"/>
          <w:lang w:val="en-US" w:eastAsia="zh-CN"/>
        </w:rPr>
        <w:t>法定代表人：</w:t>
      </w:r>
    </w:p>
    <w:p>
      <w:pPr>
        <w:spacing w:after="156" w:afterLines="50" w:line="240" w:lineRule="atLeast"/>
        <w:rPr>
          <w:rFonts w:ascii="宋体" w:hAnsi="宋体" w:cs="宋体"/>
          <w:sz w:val="24"/>
          <w:szCs w:val="24"/>
        </w:rPr>
      </w:pPr>
      <w:r>
        <w:rPr>
          <w:rFonts w:hint="eastAsia" w:ascii="宋体" w:hAnsi="宋体" w:cs="宋体"/>
          <w:sz w:val="24"/>
          <w:szCs w:val="24"/>
        </w:rPr>
        <w:t>地址：</w:t>
      </w:r>
    </w:p>
    <w:p>
      <w:pPr>
        <w:spacing w:after="156" w:afterLines="50" w:line="240" w:lineRule="atLeast"/>
        <w:rPr>
          <w:rFonts w:ascii="宋体" w:hAnsi="宋体" w:cs="宋体"/>
          <w:sz w:val="24"/>
          <w:szCs w:val="24"/>
        </w:rPr>
      </w:pPr>
      <w:r>
        <w:rPr>
          <w:rFonts w:hint="eastAsia" w:ascii="宋体" w:hAnsi="宋体" w:cs="宋体"/>
          <w:sz w:val="24"/>
          <w:szCs w:val="24"/>
        </w:rPr>
        <w:t>电话：</w:t>
      </w:r>
    </w:p>
    <w:p>
      <w:pPr>
        <w:spacing w:after="156" w:afterLines="50" w:line="240" w:lineRule="atLeast"/>
        <w:rPr>
          <w:rFonts w:ascii="宋体" w:hAnsi="宋体" w:cs="宋体"/>
          <w:sz w:val="24"/>
          <w:szCs w:val="24"/>
        </w:rPr>
      </w:pPr>
      <w:r>
        <w:rPr>
          <w:rFonts w:hint="eastAsia" w:ascii="宋体" w:hAnsi="宋体" w:cs="宋体"/>
          <w:sz w:val="24"/>
          <w:szCs w:val="24"/>
        </w:rPr>
        <w:t xml:space="preserve">传真： </w:t>
      </w:r>
    </w:p>
    <w:p>
      <w:pPr>
        <w:spacing w:after="156" w:afterLines="50" w:line="240" w:lineRule="atLeast"/>
        <w:rPr>
          <w:rFonts w:ascii="宋体" w:hAnsi="宋体" w:cs="宋体"/>
          <w:sz w:val="24"/>
          <w:szCs w:val="24"/>
        </w:rPr>
      </w:pPr>
      <w:r>
        <w:rPr>
          <w:rFonts w:hint="eastAsia" w:ascii="宋体" w:hAnsi="宋体" w:cs="宋体"/>
          <w:sz w:val="24"/>
          <w:szCs w:val="24"/>
        </w:rPr>
        <w:t>一、合作内容</w:t>
      </w:r>
    </w:p>
    <w:p>
      <w:pPr>
        <w:spacing w:after="156" w:afterLines="50" w:line="240" w:lineRule="atLeast"/>
        <w:rPr>
          <w:rFonts w:ascii="宋体" w:hAnsi="宋体" w:cs="宋体"/>
          <w:sz w:val="24"/>
          <w:szCs w:val="24"/>
        </w:rPr>
      </w:pPr>
      <w:r>
        <w:rPr>
          <w:rFonts w:hint="eastAsia" w:ascii="宋体" w:hAnsi="宋体" w:cs="宋体"/>
          <w:sz w:val="24"/>
          <w:szCs w:val="24"/>
        </w:rPr>
        <w:t>1、甲方是</w:t>
      </w:r>
      <w:r>
        <w:rPr>
          <w:rFonts w:hint="default" w:ascii="宋体" w:hAnsi="宋体" w:eastAsia="宋体" w:cs="宋体"/>
          <w:sz w:val="24"/>
          <w:szCs w:val="24"/>
          <w:u w:val="none"/>
          <w:lang w:val="en-US" w:eastAsia="zh-CN"/>
        </w:rPr>
        <w:t>全省2023年度业务考试暨首次一级消防监督执法资格考试服务</w:t>
      </w:r>
      <w:r>
        <w:rPr>
          <w:rFonts w:hint="eastAsia" w:ascii="宋体" w:hAnsi="宋体" w:cs="宋体"/>
          <w:sz w:val="24"/>
          <w:szCs w:val="24"/>
        </w:rPr>
        <w:t>的主办方。</w:t>
      </w:r>
    </w:p>
    <w:p>
      <w:pPr>
        <w:spacing w:after="156" w:afterLines="50" w:line="240" w:lineRule="atLeast"/>
        <w:rPr>
          <w:rFonts w:ascii="宋体" w:hAnsi="宋体" w:cs="宋体"/>
          <w:sz w:val="24"/>
          <w:szCs w:val="24"/>
        </w:rPr>
      </w:pPr>
      <w:r>
        <w:rPr>
          <w:rFonts w:hint="eastAsia" w:ascii="宋体" w:hAnsi="宋体" w:cs="宋体"/>
          <w:sz w:val="24"/>
          <w:szCs w:val="24"/>
        </w:rPr>
        <w:t>2、乙方是考试服务专业提供商，拥有智能化考试平台。</w:t>
      </w:r>
    </w:p>
    <w:p>
      <w:pPr>
        <w:spacing w:after="156" w:afterLines="50" w:line="240" w:lineRule="atLeast"/>
        <w:rPr>
          <w:rFonts w:ascii="宋体" w:hAnsi="宋体" w:cs="宋体"/>
          <w:sz w:val="24"/>
          <w:szCs w:val="24"/>
        </w:rPr>
      </w:pPr>
      <w:r>
        <w:rPr>
          <w:rFonts w:hint="eastAsia" w:ascii="宋体" w:hAnsi="宋体" w:cs="宋体"/>
          <w:sz w:val="24"/>
          <w:szCs w:val="24"/>
        </w:rPr>
        <w:t>3、甲方愿意委托乙方为其承办的考试项目提供考试服务，乙方愿意接受这一委托。</w:t>
      </w:r>
    </w:p>
    <w:p>
      <w:pPr>
        <w:spacing w:after="156" w:afterLines="50" w:line="240" w:lineRule="atLeast"/>
        <w:rPr>
          <w:rFonts w:ascii="宋体" w:hAnsi="宋体" w:cs="宋体"/>
          <w:sz w:val="24"/>
          <w:szCs w:val="24"/>
        </w:rPr>
      </w:pPr>
      <w:r>
        <w:rPr>
          <w:rFonts w:hint="eastAsia" w:ascii="宋体" w:hAnsi="宋体" w:cs="宋体"/>
          <w:sz w:val="24"/>
          <w:szCs w:val="24"/>
        </w:rPr>
        <w:t>由此，甲乙双方在协商一致的基础上，本着平等互利的原则，就甲方委托乙方提供考试服务事宜达成本协议并共同遵守。</w:t>
      </w:r>
    </w:p>
    <w:p>
      <w:pPr>
        <w:spacing w:after="156" w:afterLines="50" w:line="240" w:lineRule="atLeast"/>
        <w:rPr>
          <w:rFonts w:ascii="宋体" w:hAnsi="宋体" w:cs="宋体"/>
          <w:sz w:val="24"/>
          <w:szCs w:val="24"/>
        </w:rPr>
      </w:pPr>
      <w:r>
        <w:rPr>
          <w:rFonts w:hint="eastAsia" w:ascii="宋体" w:hAnsi="宋体" w:cs="宋体"/>
          <w:sz w:val="24"/>
          <w:szCs w:val="24"/>
        </w:rPr>
        <w:t>二、甲方权利义务</w:t>
      </w:r>
    </w:p>
    <w:p>
      <w:pPr>
        <w:spacing w:after="156" w:afterLines="50" w:line="240" w:lineRule="atLeast"/>
        <w:rPr>
          <w:rFonts w:ascii="宋体" w:hAnsi="宋体" w:cs="宋体"/>
          <w:sz w:val="24"/>
          <w:szCs w:val="24"/>
        </w:rPr>
      </w:pPr>
      <w:r>
        <w:rPr>
          <w:rFonts w:hint="eastAsia" w:ascii="宋体" w:hAnsi="宋体" w:cs="宋体"/>
          <w:sz w:val="24"/>
          <w:szCs w:val="24"/>
        </w:rPr>
        <w:t>1、负责审定考试大纲、题库、组卷规则、批准题库的使用，并根据题库结构和开发要求提供题库内容及试题属性资料，保证題库的保密性、正确性。甲方负责审定经由乙方制作的电子化题库的内容。</w:t>
      </w:r>
    </w:p>
    <w:p>
      <w:pPr>
        <w:spacing w:after="156" w:afterLines="50" w:line="240" w:lineRule="atLeast"/>
        <w:rPr>
          <w:rFonts w:ascii="宋体" w:hAnsi="宋体" w:cs="宋体"/>
          <w:sz w:val="24"/>
          <w:szCs w:val="24"/>
        </w:rPr>
      </w:pPr>
      <w:r>
        <w:rPr>
          <w:rFonts w:hint="eastAsia" w:ascii="宋体" w:hAnsi="宋体" w:cs="宋体"/>
          <w:sz w:val="24"/>
          <w:szCs w:val="24"/>
        </w:rPr>
        <w:t>2、考试管理：根据系统运行流程制定或提供本协议项下所有考试项目的考试管理政策。考试管理政策应合理并能够实际操作。</w:t>
      </w:r>
    </w:p>
    <w:p>
      <w:pPr>
        <w:spacing w:after="156" w:afterLines="50" w:line="240" w:lineRule="atLeast"/>
        <w:rPr>
          <w:rFonts w:ascii="宋体" w:hAnsi="宋体" w:cs="宋体"/>
          <w:sz w:val="24"/>
          <w:szCs w:val="24"/>
        </w:rPr>
      </w:pPr>
      <w:r>
        <w:rPr>
          <w:rFonts w:hint="eastAsia" w:ascii="宋体" w:hAnsi="宋体" w:cs="宋体"/>
          <w:sz w:val="24"/>
          <w:szCs w:val="24"/>
        </w:rPr>
        <w:t>3、组织协调：负责本协议项下所有可能的考试项目的有关保障双方合作利进行的组织协调工作。</w:t>
      </w:r>
    </w:p>
    <w:p>
      <w:pPr>
        <w:spacing w:after="156" w:afterLines="50" w:line="240" w:lineRule="atLeast"/>
        <w:rPr>
          <w:rFonts w:ascii="宋体" w:hAnsi="宋体" w:cs="宋体"/>
          <w:sz w:val="24"/>
          <w:szCs w:val="24"/>
        </w:rPr>
      </w:pPr>
      <w:r>
        <w:rPr>
          <w:rFonts w:hint="eastAsia" w:ascii="宋体" w:hAnsi="宋体" w:cs="宋体"/>
          <w:sz w:val="24"/>
          <w:szCs w:val="24"/>
        </w:rPr>
        <w:t>4、服务监督：按照本协议规定对乙方在本协议项下所提供的考试技术支持服务进行监督。可进入乙方考试服务后台查询相关资料。</w:t>
      </w:r>
    </w:p>
    <w:p>
      <w:pPr>
        <w:spacing w:after="156" w:afterLines="50" w:line="240" w:lineRule="atLeast"/>
        <w:rPr>
          <w:rFonts w:ascii="宋体" w:hAnsi="宋体" w:cs="宋体"/>
          <w:sz w:val="24"/>
          <w:szCs w:val="24"/>
        </w:rPr>
      </w:pPr>
      <w:r>
        <w:rPr>
          <w:rFonts w:hint="eastAsia" w:ascii="宋体" w:hAnsi="宋体" w:cs="宋体"/>
          <w:sz w:val="24"/>
          <w:szCs w:val="24"/>
        </w:rPr>
        <w:t>5、证书：甲方负责证书的制作。</w:t>
      </w:r>
    </w:p>
    <w:p>
      <w:pPr>
        <w:spacing w:after="156" w:afterLines="50" w:line="240" w:lineRule="atLeast"/>
        <w:rPr>
          <w:rFonts w:ascii="宋体" w:hAnsi="宋体" w:cs="宋体"/>
          <w:sz w:val="24"/>
          <w:szCs w:val="24"/>
        </w:rPr>
      </w:pPr>
      <w:r>
        <w:rPr>
          <w:rFonts w:hint="eastAsia" w:ascii="宋体" w:hAnsi="宋体" w:cs="宋体"/>
          <w:sz w:val="24"/>
          <w:szCs w:val="24"/>
        </w:rPr>
        <w:t>三、乙方权利义务</w:t>
      </w:r>
    </w:p>
    <w:p>
      <w:pPr>
        <w:spacing w:after="156" w:afterLines="50" w:line="240" w:lineRule="atLeast"/>
        <w:rPr>
          <w:rFonts w:ascii="宋体" w:hAnsi="宋体" w:cs="宋体"/>
          <w:sz w:val="24"/>
          <w:szCs w:val="24"/>
        </w:rPr>
      </w:pPr>
      <w:r>
        <w:rPr>
          <w:rFonts w:hint="eastAsia" w:ascii="宋体" w:hAnsi="宋体" w:cs="宋体"/>
          <w:sz w:val="24"/>
          <w:szCs w:val="24"/>
        </w:rPr>
        <w:t>1、提供考试服务并保证该服务所依托的智能化考试系统的合法性、先进性、准确性。考试服务包括考试考场编排、监考安排、考试电子化题库、判分、考生咨询服务等，报名数据与成绩分析、试题分析等。</w:t>
      </w:r>
    </w:p>
    <w:p>
      <w:pPr>
        <w:spacing w:after="156" w:afterLines="50" w:line="240" w:lineRule="atLeast"/>
        <w:rPr>
          <w:rFonts w:ascii="宋体" w:hAnsi="宋体" w:cs="宋体"/>
          <w:sz w:val="24"/>
          <w:szCs w:val="24"/>
        </w:rPr>
      </w:pPr>
      <w:r>
        <w:rPr>
          <w:rFonts w:hint="eastAsia" w:ascii="宋体" w:hAnsi="宋体" w:cs="宋体"/>
          <w:sz w:val="24"/>
          <w:szCs w:val="24"/>
        </w:rPr>
        <w:t>2、考务管理：根据甲方制定的考试管理政策对本协议涉及的考站进行培训、管理及技术支持，将考试报名及考试结果数据按要求上报给甲方。</w:t>
      </w:r>
    </w:p>
    <w:p>
      <w:pPr>
        <w:spacing w:after="156" w:afterLines="50" w:line="240" w:lineRule="atLeast"/>
        <w:rPr>
          <w:rFonts w:ascii="宋体" w:hAnsi="宋体" w:cs="宋体"/>
          <w:sz w:val="24"/>
          <w:szCs w:val="24"/>
        </w:rPr>
      </w:pPr>
      <w:r>
        <w:rPr>
          <w:rFonts w:hint="eastAsia" w:ascii="宋体" w:hAnsi="宋体" w:cs="宋体"/>
          <w:sz w:val="24"/>
          <w:szCs w:val="24"/>
        </w:rPr>
        <w:t>3、提供甲方考试后台账号，使得甲方能够随时了解项目运行状况。</w:t>
      </w:r>
    </w:p>
    <w:p>
      <w:pPr>
        <w:spacing w:after="156" w:afterLines="50" w:line="240" w:lineRule="atLeast"/>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测</w:t>
      </w:r>
      <w:r>
        <w:rPr>
          <w:rFonts w:hint="eastAsia" w:ascii="宋体" w:hAnsi="宋体" w:cs="宋体"/>
          <w:sz w:val="24"/>
          <w:szCs w:val="24"/>
        </w:rPr>
        <w:t>评结果：乙方将提供甲方考试成绩数据，根据甲方规定的通过率进行成绩发布。</w:t>
      </w:r>
    </w:p>
    <w:p>
      <w:pPr>
        <w:spacing w:after="156" w:afterLines="50" w:line="240" w:lineRule="atLeast"/>
        <w:rPr>
          <w:rFonts w:ascii="宋体" w:hAnsi="宋体" w:cs="宋体"/>
          <w:sz w:val="24"/>
          <w:szCs w:val="24"/>
        </w:rPr>
      </w:pPr>
      <w:r>
        <w:rPr>
          <w:rFonts w:hint="eastAsia" w:ascii="宋体" w:hAnsi="宋体" w:cs="宋体"/>
          <w:sz w:val="24"/>
          <w:szCs w:val="24"/>
        </w:rPr>
        <w:t>四、费用的计算与支付</w:t>
      </w:r>
    </w:p>
    <w:p>
      <w:pPr>
        <w:spacing w:after="156" w:afterLines="50" w:line="240" w:lineRule="atLeast"/>
        <w:rPr>
          <w:rFonts w:ascii="宋体" w:hAnsi="宋体" w:cs="宋体"/>
          <w:sz w:val="24"/>
          <w:szCs w:val="24"/>
        </w:rPr>
      </w:pPr>
      <w:r>
        <w:rPr>
          <w:rFonts w:hint="eastAsia" w:ascii="宋体" w:hAnsi="宋体" w:cs="宋体"/>
          <w:sz w:val="24"/>
          <w:szCs w:val="24"/>
        </w:rPr>
        <w:t>（一）计费标准</w:t>
      </w:r>
    </w:p>
    <w:p>
      <w:pPr>
        <w:spacing w:after="156" w:afterLines="50" w:line="240" w:lineRule="atLeast"/>
        <w:rPr>
          <w:rFonts w:ascii="宋体" w:hAnsi="宋体" w:cs="宋体"/>
          <w:sz w:val="24"/>
          <w:szCs w:val="24"/>
        </w:rPr>
      </w:pPr>
      <w:r>
        <w:rPr>
          <w:rFonts w:hint="eastAsia" w:ascii="宋体" w:hAnsi="宋体" w:cs="宋体"/>
          <w:sz w:val="24"/>
          <w:szCs w:val="24"/>
        </w:rPr>
        <w:t>1、结算单价：</w:t>
      </w:r>
    </w:p>
    <w:p>
      <w:pPr>
        <w:spacing w:after="156" w:afterLines="50" w:line="240" w:lineRule="atLeast"/>
        <w:ind w:firstLine="240" w:firstLineChars="100"/>
        <w:rPr>
          <w:rFonts w:ascii="宋体" w:hAnsi="宋体" w:cs="宋体"/>
          <w:sz w:val="24"/>
          <w:szCs w:val="24"/>
        </w:rPr>
      </w:pPr>
      <w:r>
        <w:rPr>
          <w:rFonts w:hint="eastAsia" w:ascii="宋体" w:hAnsi="宋体" w:cs="宋体"/>
          <w:sz w:val="24"/>
          <w:szCs w:val="24"/>
        </w:rPr>
        <w:t>每场考试（时长</w:t>
      </w:r>
      <w:r>
        <w:rPr>
          <w:rFonts w:hint="eastAsia" w:ascii="宋体" w:hAnsi="宋体" w:cs="宋体"/>
          <w:sz w:val="24"/>
          <w:szCs w:val="24"/>
          <w:u w:val="single"/>
        </w:rPr>
        <w:t>2</w:t>
      </w:r>
      <w:r>
        <w:rPr>
          <w:rFonts w:hint="eastAsia" w:ascii="宋体" w:hAnsi="宋体" w:cs="宋体"/>
          <w:sz w:val="24"/>
          <w:szCs w:val="24"/>
        </w:rPr>
        <w:t>小时以内）隔位按1</w:t>
      </w:r>
      <w:r>
        <w:rPr>
          <w:rFonts w:hint="eastAsia" w:ascii="宋体" w:hAnsi="宋体" w:cs="宋体"/>
          <w:sz w:val="24"/>
          <w:szCs w:val="24"/>
          <w:lang w:val="en-US" w:eastAsia="zh-CN"/>
        </w:rPr>
        <w:t>2</w:t>
      </w:r>
      <w:r>
        <w:rPr>
          <w:rFonts w:hint="eastAsia" w:ascii="宋体" w:hAnsi="宋体" w:cs="宋体"/>
          <w:sz w:val="24"/>
          <w:szCs w:val="24"/>
        </w:rPr>
        <w:t>0</w:t>
      </w:r>
      <w:r>
        <w:rPr>
          <w:rFonts w:hint="eastAsia" w:ascii="宋体" w:hAnsi="宋体" w:cs="宋体"/>
          <w:sz w:val="24"/>
          <w:szCs w:val="24"/>
          <w:u w:val="single"/>
        </w:rPr>
        <w:t>元</w:t>
      </w:r>
      <w:r>
        <w:rPr>
          <w:rFonts w:hint="eastAsia" w:ascii="宋体" w:hAnsi="宋体" w:cs="宋体"/>
          <w:sz w:val="24"/>
          <w:szCs w:val="24"/>
        </w:rPr>
        <w:t>／人次结算；</w:t>
      </w:r>
    </w:p>
    <w:p>
      <w:pPr>
        <w:spacing w:after="156" w:afterLines="50" w:line="240" w:lineRule="atLeast"/>
        <w:ind w:firstLine="240" w:firstLineChars="100"/>
        <w:rPr>
          <w:rFonts w:ascii="宋体" w:hAnsi="宋体" w:cs="宋体"/>
          <w:sz w:val="24"/>
          <w:szCs w:val="24"/>
        </w:rPr>
      </w:pPr>
      <w:r>
        <w:rPr>
          <w:rFonts w:hint="eastAsia" w:ascii="宋体" w:hAnsi="宋体" w:cs="宋体"/>
          <w:sz w:val="24"/>
          <w:szCs w:val="24"/>
        </w:rPr>
        <w:t>乙方承担考试场所产生的场地使用费用及监考人员劳务费用。</w:t>
      </w:r>
    </w:p>
    <w:p>
      <w:pPr>
        <w:spacing w:after="156" w:afterLines="50" w:line="240" w:lineRule="atLeast"/>
        <w:rPr>
          <w:rFonts w:ascii="宋体" w:hAnsi="宋体" w:cs="宋体"/>
          <w:sz w:val="24"/>
          <w:szCs w:val="24"/>
        </w:rPr>
      </w:pPr>
      <w:r>
        <w:rPr>
          <w:rFonts w:hint="eastAsia" w:ascii="宋体" w:hAnsi="宋体" w:cs="宋体"/>
          <w:sz w:val="24"/>
          <w:szCs w:val="24"/>
        </w:rPr>
        <w:t>2、结算人数：按甲方在考试前提供的</w:t>
      </w:r>
      <w:r>
        <w:rPr>
          <w:rFonts w:hint="eastAsia" w:ascii="宋体" w:hAnsi="宋体" w:cs="宋体"/>
          <w:sz w:val="24"/>
          <w:szCs w:val="24"/>
          <w:lang w:val="en-US" w:eastAsia="zh-CN"/>
        </w:rPr>
        <w:t>实际</w:t>
      </w:r>
      <w:r>
        <w:rPr>
          <w:rFonts w:hint="eastAsia" w:ascii="宋体" w:hAnsi="宋体" w:cs="宋体"/>
          <w:sz w:val="24"/>
          <w:szCs w:val="24"/>
        </w:rPr>
        <w:t>报名人数进行结算。最终费用据实结算，以</w:t>
      </w:r>
      <w:r>
        <w:rPr>
          <w:rFonts w:hint="eastAsia" w:ascii="宋体" w:hAnsi="宋体" w:cs="宋体"/>
          <w:sz w:val="24"/>
          <w:szCs w:val="24"/>
          <w:lang w:val="en-US" w:eastAsia="zh-CN"/>
        </w:rPr>
        <w:t>双方认可的</w:t>
      </w:r>
      <w:r>
        <w:rPr>
          <w:rFonts w:hint="eastAsia" w:ascii="宋体" w:hAnsi="宋体" w:cs="宋体"/>
          <w:sz w:val="24"/>
          <w:szCs w:val="24"/>
        </w:rPr>
        <w:t>结算单为准。</w:t>
      </w:r>
    </w:p>
    <w:p>
      <w:pPr>
        <w:spacing w:after="156" w:afterLines="50" w:line="240" w:lineRule="atLeast"/>
        <w:rPr>
          <w:rFonts w:ascii="宋体" w:hAnsi="宋体" w:cs="宋体"/>
          <w:sz w:val="24"/>
          <w:szCs w:val="24"/>
        </w:rPr>
      </w:pPr>
      <w:r>
        <w:rPr>
          <w:rFonts w:hint="eastAsia" w:ascii="宋体" w:hAnsi="宋体" w:cs="宋体"/>
          <w:sz w:val="24"/>
          <w:szCs w:val="24"/>
        </w:rPr>
        <w:t>3、甲方变更服务需求的，如单独开发报名网站，实现网上报名缴费、考生发票服务、制作横幅、考生手机密封保管等附加服务需要根据评估后计算费用增项。</w:t>
      </w:r>
    </w:p>
    <w:p>
      <w:pPr>
        <w:spacing w:after="156" w:afterLines="50" w:line="240" w:lineRule="atLeast"/>
        <w:rPr>
          <w:rFonts w:ascii="宋体" w:hAnsi="宋体" w:cs="宋体"/>
          <w:sz w:val="24"/>
          <w:szCs w:val="24"/>
        </w:rPr>
      </w:pPr>
      <w:r>
        <w:rPr>
          <w:rFonts w:hint="eastAsia" w:ascii="宋体" w:hAnsi="宋体" w:cs="宋体"/>
          <w:sz w:val="24"/>
          <w:szCs w:val="24"/>
        </w:rPr>
        <w:t>4、考试结束后，乙方将以后缀为</w:t>
      </w:r>
      <w:r>
        <w:rPr>
          <w:rFonts w:hint="eastAsia" w:ascii="宋体" w:hAnsi="宋体" w:cs="宋体"/>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w:t>
      </w:r>
      <w:r>
        <w:rPr>
          <w:rFonts w:hint="eastAsia" w:ascii="宋体" w:hAnsi="宋体" w:cs="宋体"/>
          <w:sz w:val="24"/>
          <w:szCs w:val="24"/>
        </w:rPr>
        <w:t>的邮箱向甲方指定邮箱之一发送考试结算所涉结算信息，甲方应在3个工作日内通过邮件回复确认。确认邮件应内含乙方邮件。</w:t>
      </w:r>
    </w:p>
    <w:p>
      <w:pPr>
        <w:spacing w:after="156" w:afterLines="50" w:line="240" w:lineRule="atLeast"/>
        <w:rPr>
          <w:rFonts w:ascii="宋体" w:hAnsi="宋体" w:cs="宋体"/>
          <w:sz w:val="24"/>
          <w:szCs w:val="24"/>
        </w:rPr>
      </w:pPr>
      <w:r>
        <w:rPr>
          <w:rFonts w:hint="eastAsia" w:ascii="宋体" w:hAnsi="宋体" w:cs="宋体"/>
          <w:sz w:val="24"/>
          <w:szCs w:val="24"/>
        </w:rPr>
        <w:t>5、结算时间：</w:t>
      </w:r>
    </w:p>
    <w:p>
      <w:pPr>
        <w:spacing w:after="156" w:afterLines="50" w:line="240" w:lineRule="atLeast"/>
        <w:rPr>
          <w:rFonts w:hint="eastAsia" w:ascii="宋体" w:hAnsi="宋体" w:cs="宋体"/>
          <w:sz w:val="24"/>
          <w:szCs w:val="24"/>
        </w:rPr>
      </w:pPr>
      <w:r>
        <w:rPr>
          <w:rFonts w:hint="eastAsia" w:ascii="宋体" w:hAnsi="宋体" w:cs="宋体"/>
          <w:sz w:val="24"/>
          <w:szCs w:val="24"/>
          <w:lang w:val="en-US" w:eastAsia="zh-CN"/>
        </w:rPr>
        <w:t>（1）经</w:t>
      </w:r>
      <w:r>
        <w:rPr>
          <w:rFonts w:hint="eastAsia" w:ascii="宋体" w:hAnsi="宋体" w:cs="宋体"/>
          <w:sz w:val="24"/>
          <w:szCs w:val="24"/>
        </w:rPr>
        <w:t>甲方</w:t>
      </w:r>
      <w:r>
        <w:rPr>
          <w:rFonts w:hint="eastAsia" w:ascii="宋体" w:hAnsi="宋体" w:cs="宋体"/>
          <w:sz w:val="24"/>
          <w:szCs w:val="24"/>
          <w:lang w:val="en-US" w:eastAsia="zh-CN"/>
        </w:rPr>
        <w:t>核对结算资料无误并收到</w:t>
      </w:r>
      <w:r>
        <w:rPr>
          <w:rFonts w:hint="eastAsia" w:ascii="宋体" w:hAnsi="宋体" w:cs="宋体"/>
          <w:sz w:val="24"/>
          <w:szCs w:val="24"/>
        </w:rPr>
        <w:t>乙方按国家规定开具</w:t>
      </w:r>
      <w:r>
        <w:rPr>
          <w:rFonts w:hint="eastAsia" w:ascii="宋体" w:hAnsi="宋体" w:cs="宋体"/>
          <w:sz w:val="24"/>
          <w:szCs w:val="24"/>
          <w:lang w:eastAsia="zh-CN"/>
        </w:rPr>
        <w:t>的</w:t>
      </w:r>
      <w:r>
        <w:rPr>
          <w:rFonts w:hint="eastAsia" w:ascii="宋体" w:hAnsi="宋体" w:cs="宋体"/>
          <w:sz w:val="24"/>
          <w:szCs w:val="24"/>
        </w:rPr>
        <w:t>发票</w:t>
      </w:r>
      <w:r>
        <w:rPr>
          <w:rFonts w:hint="eastAsia" w:ascii="宋体" w:hAnsi="宋体" w:cs="宋体"/>
          <w:sz w:val="24"/>
          <w:szCs w:val="24"/>
          <w:lang w:val="en-US" w:eastAsia="zh-CN"/>
        </w:rPr>
        <w:t>后30日内向乙方支付全部费用</w:t>
      </w:r>
      <w:r>
        <w:rPr>
          <w:rFonts w:hint="eastAsia" w:ascii="宋体" w:hAnsi="宋体" w:cs="宋体"/>
          <w:sz w:val="24"/>
          <w:szCs w:val="24"/>
        </w:rPr>
        <w:t>，</w:t>
      </w:r>
      <w:r>
        <w:rPr>
          <w:rFonts w:hint="eastAsia" w:ascii="宋体" w:hAnsi="宋体" w:cs="宋体"/>
          <w:sz w:val="24"/>
          <w:szCs w:val="24"/>
          <w:lang w:val="en-US" w:eastAsia="zh-CN"/>
        </w:rPr>
        <w:t>乙方未按要求提供发票的，甲方有权延期支付且不视为违约</w:t>
      </w:r>
      <w:r>
        <w:rPr>
          <w:rFonts w:hint="eastAsia" w:ascii="宋体" w:hAnsi="宋体" w:cs="宋体"/>
          <w:sz w:val="24"/>
          <w:szCs w:val="24"/>
        </w:rPr>
        <w:t>。</w:t>
      </w:r>
    </w:p>
    <w:p>
      <w:pPr>
        <w:pStyle w:val="13"/>
        <w:ind w:left="0" w:leftChars="0" w:firstLine="0" w:firstLineChars="0"/>
        <w:rPr>
          <w:sz w:val="24"/>
        </w:rPr>
      </w:pPr>
      <w:r>
        <w:rPr>
          <w:rFonts w:hint="eastAsia"/>
          <w:sz w:val="24"/>
          <w:lang w:val="en-US" w:eastAsia="zh-CN"/>
        </w:rPr>
        <w:t xml:space="preserve">（2）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不视为甲方违约，乙方亦不得以此为由迟延履行或不履行合同义务。 </w:t>
      </w:r>
    </w:p>
    <w:p>
      <w:pPr>
        <w:spacing w:after="156" w:afterLines="50" w:line="240" w:lineRule="atLeast"/>
        <w:rPr>
          <w:rFonts w:ascii="宋体" w:hAnsi="宋体" w:cs="宋体"/>
          <w:sz w:val="24"/>
          <w:szCs w:val="24"/>
        </w:rPr>
      </w:pPr>
      <w:r>
        <w:rPr>
          <w:rFonts w:hint="eastAsia" w:ascii="宋体" w:hAnsi="宋体" w:cs="宋体"/>
          <w:sz w:val="24"/>
          <w:szCs w:val="24"/>
        </w:rPr>
        <w:t>6、结算方式</w:t>
      </w:r>
    </w:p>
    <w:p>
      <w:pPr>
        <w:spacing w:after="156" w:afterLines="50" w:line="240" w:lineRule="atLeast"/>
        <w:rPr>
          <w:rFonts w:ascii="宋体" w:hAnsi="宋体" w:cs="宋体"/>
          <w:sz w:val="24"/>
          <w:szCs w:val="24"/>
        </w:rPr>
      </w:pPr>
      <w:r>
        <w:rPr>
          <w:rFonts w:hint="eastAsia" w:ascii="宋体" w:hAnsi="宋体" w:cs="宋体"/>
          <w:sz w:val="24"/>
          <w:szCs w:val="24"/>
        </w:rPr>
        <w:t>甲方以汇款方式支付款项至如下账户</w:t>
      </w:r>
    </w:p>
    <w:p>
      <w:pPr>
        <w:spacing w:after="156" w:afterLines="50" w:line="240" w:lineRule="atLeast"/>
        <w:rPr>
          <w:rFonts w:ascii="宋体" w:hAnsi="宋体" w:cs="宋体"/>
          <w:sz w:val="24"/>
          <w:szCs w:val="24"/>
        </w:rPr>
      </w:pPr>
      <w:r>
        <w:rPr>
          <w:rFonts w:hint="eastAsia" w:ascii="宋体" w:hAnsi="宋体" w:cs="宋体"/>
          <w:sz w:val="24"/>
          <w:szCs w:val="24"/>
        </w:rPr>
        <w:t>开户行：</w:t>
      </w:r>
    </w:p>
    <w:p>
      <w:pPr>
        <w:spacing w:after="156" w:afterLines="50" w:line="240" w:lineRule="atLeast"/>
        <w:rPr>
          <w:rFonts w:ascii="宋体" w:hAnsi="宋体" w:cs="宋体"/>
          <w:sz w:val="24"/>
          <w:szCs w:val="24"/>
        </w:rPr>
      </w:pPr>
      <w:r>
        <w:rPr>
          <w:rFonts w:hint="eastAsia" w:ascii="宋体" w:hAnsi="宋体" w:cs="宋体"/>
          <w:sz w:val="24"/>
          <w:szCs w:val="24"/>
        </w:rPr>
        <w:t>账户名称：</w:t>
      </w:r>
    </w:p>
    <w:p>
      <w:pPr>
        <w:spacing w:after="156" w:afterLines="50" w:line="240" w:lineRule="atLeast"/>
        <w:rPr>
          <w:rFonts w:hint="eastAsia" w:ascii="宋体" w:hAnsi="宋体" w:cs="宋体"/>
          <w:sz w:val="24"/>
          <w:szCs w:val="24"/>
        </w:rPr>
      </w:pPr>
      <w:r>
        <w:rPr>
          <w:rFonts w:hint="eastAsia" w:ascii="宋体" w:hAnsi="宋体" w:cs="宋体"/>
          <w:sz w:val="24"/>
          <w:szCs w:val="24"/>
        </w:rPr>
        <w:t>账号：</w:t>
      </w:r>
    </w:p>
    <w:p>
      <w:pPr>
        <w:pStyle w:val="13"/>
        <w:ind w:left="0" w:leftChars="0" w:firstLine="0" w:firstLineChars="0"/>
      </w:pPr>
      <w:r>
        <w:rPr>
          <w:rFonts w:hint="eastAsia"/>
          <w:sz w:val="24"/>
          <w:lang w:val="en-US" w:eastAsia="zh-CN"/>
        </w:rPr>
        <w:t xml:space="preserve">乙方对其向甲方提供的收款银行账户信息的真实性、合法性、有效性、准确性、完整性负责。乙方需变更其收款账户的，应当提前3日以书面方式通知甲方，如因乙方提供的银行账户原因（包括但不限于账号错误、被注销、被冻结等）或乙方不适当、不及时通知甲方，导致费用的支付发生任何不利后果的，由乙方承担全部责任。 </w:t>
      </w:r>
    </w:p>
    <w:p>
      <w:pPr>
        <w:spacing w:after="156" w:afterLines="50" w:line="240" w:lineRule="atLeast"/>
        <w:rPr>
          <w:rFonts w:ascii="宋体" w:hAnsi="宋体" w:cs="宋体"/>
          <w:sz w:val="24"/>
          <w:szCs w:val="24"/>
        </w:rPr>
      </w:pPr>
      <w:r>
        <w:rPr>
          <w:rFonts w:hint="eastAsia" w:ascii="宋体" w:hAnsi="宋体" w:cs="宋体"/>
          <w:sz w:val="24"/>
          <w:szCs w:val="24"/>
        </w:rPr>
        <w:t>五、双方均有义务配合提供対方税务机关、审计部门等相关部门所需文件及询证函等。</w:t>
      </w:r>
    </w:p>
    <w:p>
      <w:pPr>
        <w:spacing w:after="156" w:afterLines="50" w:line="240" w:lineRule="atLeast"/>
        <w:rPr>
          <w:rFonts w:ascii="宋体" w:hAnsi="宋体" w:cs="宋体"/>
          <w:sz w:val="24"/>
          <w:szCs w:val="24"/>
        </w:rPr>
      </w:pPr>
      <w:r>
        <w:rPr>
          <w:rFonts w:hint="eastAsia" w:ascii="宋体" w:hAnsi="宋体" w:cs="宋体"/>
          <w:sz w:val="24"/>
          <w:szCs w:val="24"/>
        </w:rPr>
        <w:t>六、知识产权与保密</w:t>
      </w:r>
    </w:p>
    <w:p>
      <w:pPr>
        <w:spacing w:after="156" w:afterLines="50" w:line="240" w:lineRule="atLeast"/>
        <w:rPr>
          <w:rFonts w:ascii="宋体" w:hAnsi="宋体" w:cs="宋体"/>
          <w:sz w:val="24"/>
          <w:szCs w:val="24"/>
        </w:rPr>
      </w:pPr>
      <w:r>
        <w:rPr>
          <w:rFonts w:hint="eastAsia" w:ascii="宋体" w:hAnsi="宋体" w:cs="宋体"/>
          <w:sz w:val="24"/>
          <w:szCs w:val="24"/>
        </w:rPr>
        <w:t>1、甲方对其提供的知识产品拥有绝对的知识产权，乙方对其考试系统、考试管理平台等软件系统和专有技术拥有绝对的知识产权，双方均承诺尊重与保护对方的知识产权。</w:t>
      </w:r>
    </w:p>
    <w:p>
      <w:pPr>
        <w:spacing w:after="156" w:afterLines="50" w:line="240" w:lineRule="atLeas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、双方各自对其因本协议下的合作而获知的对方的秘密信息（试题信息、考生信息）承担保密义务。</w:t>
      </w:r>
    </w:p>
    <w:p>
      <w:pPr>
        <w:pStyle w:val="2"/>
        <w:rPr>
          <w:rFonts w:hint="eastAsia" w:eastAsia="宋体"/>
          <w:lang w:val="en-US" w:eastAsia="zh-CN"/>
        </w:rPr>
      </w:pPr>
      <w:r>
        <w:rPr>
          <w:rFonts w:hint="eastAsia" w:ascii="宋体" w:hAnsi="宋体" w:cs="宋体"/>
          <w:sz w:val="24"/>
          <w:szCs w:val="24"/>
          <w:lang w:val="en-US" w:eastAsia="zh-CN"/>
        </w:rPr>
        <w:t>3、</w:t>
      </w:r>
    </w:p>
    <w:p>
      <w:pPr>
        <w:spacing w:after="156" w:afterLines="50" w:line="240" w:lineRule="atLeast"/>
        <w:rPr>
          <w:rFonts w:ascii="宋体" w:hAnsi="宋体" w:cs="宋体"/>
          <w:sz w:val="24"/>
          <w:szCs w:val="24"/>
        </w:rPr>
      </w:pPr>
      <w:r>
        <w:rPr>
          <w:rFonts w:hint="eastAsia" w:ascii="宋体" w:hAnsi="宋体" w:cs="宋体"/>
          <w:sz w:val="24"/>
          <w:szCs w:val="24"/>
        </w:rPr>
        <w:t>七、违约责任</w:t>
      </w:r>
    </w:p>
    <w:p>
      <w:pPr>
        <w:spacing w:after="156" w:afterLines="50" w:line="240" w:lineRule="atLeas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任何一方违反本协议的约定，应赔偿由此给对方造成的损失。</w:t>
      </w:r>
    </w:p>
    <w:p>
      <w:pPr>
        <w:pStyle w:val="2"/>
        <w:rPr>
          <w:rFonts w:hint="eastAsia"/>
          <w:sz w:val="24"/>
          <w:szCs w:val="24"/>
        </w:rPr>
      </w:pPr>
      <w:r>
        <w:rPr>
          <w:rFonts w:hint="eastAsia"/>
          <w:sz w:val="24"/>
          <w:szCs w:val="24"/>
          <w:lang w:val="en-US" w:eastAsia="zh-CN"/>
        </w:rPr>
        <w:t>2.</w:t>
      </w:r>
      <w:r>
        <w:rPr>
          <w:rFonts w:hint="eastAsia"/>
          <w:sz w:val="24"/>
          <w:szCs w:val="24"/>
        </w:rPr>
        <w:t>如甲方未能按本协议约定及时足额支付服务费用，每逾期一天按</w:t>
      </w:r>
      <w:r>
        <w:rPr>
          <w:rFonts w:hint="eastAsia"/>
          <w:sz w:val="24"/>
          <w:szCs w:val="24"/>
          <w:lang w:val="en-US" w:eastAsia="zh-CN"/>
        </w:rPr>
        <w:t>应付未付金额</w:t>
      </w:r>
      <w:r>
        <w:rPr>
          <w:rFonts w:hint="eastAsia"/>
          <w:sz w:val="24"/>
          <w:szCs w:val="24"/>
        </w:rPr>
        <w:t>的0.1‰支付违约金，违约金合计不超过本协议总金额的5%。因财政支付审批导致的延期到账，不视为甲方逾期付款。</w:t>
      </w:r>
    </w:p>
    <w:p>
      <w:pPr>
        <w:pStyle w:val="2"/>
        <w:rPr>
          <w:rFonts w:hint="eastAsia"/>
          <w:sz w:val="24"/>
          <w:szCs w:val="24"/>
        </w:rPr>
      </w:pPr>
      <w:r>
        <w:rPr>
          <w:rFonts w:hint="eastAsia"/>
          <w:sz w:val="24"/>
          <w:szCs w:val="24"/>
          <w:lang w:val="en-US" w:eastAsia="zh-CN"/>
        </w:rPr>
        <w:t>3.</w:t>
      </w:r>
      <w:r>
        <w:rPr>
          <w:rFonts w:hint="eastAsia"/>
          <w:sz w:val="24"/>
          <w:szCs w:val="24"/>
        </w:rPr>
        <w:t>如乙方</w:t>
      </w:r>
      <w:r>
        <w:rPr>
          <w:rFonts w:hint="eastAsia"/>
          <w:sz w:val="24"/>
          <w:szCs w:val="24"/>
          <w:lang w:val="en-US" w:eastAsia="zh-CN"/>
        </w:rPr>
        <w:t>存在履约不合符合协议约定的</w:t>
      </w:r>
      <w:r>
        <w:rPr>
          <w:rFonts w:hint="eastAsia"/>
          <w:sz w:val="24"/>
          <w:szCs w:val="24"/>
        </w:rPr>
        <w:t>或</w:t>
      </w:r>
      <w:r>
        <w:rPr>
          <w:rFonts w:hint="eastAsia"/>
          <w:sz w:val="24"/>
          <w:szCs w:val="24"/>
          <w:lang w:val="en-US" w:eastAsia="zh-CN"/>
        </w:rPr>
        <w:t>无故</w:t>
      </w:r>
      <w:r>
        <w:rPr>
          <w:rFonts w:hint="eastAsia"/>
          <w:sz w:val="24"/>
          <w:szCs w:val="24"/>
        </w:rPr>
        <w:t>不履约</w:t>
      </w:r>
      <w:r>
        <w:rPr>
          <w:rFonts w:hint="eastAsia"/>
          <w:sz w:val="24"/>
          <w:szCs w:val="24"/>
          <w:lang w:val="en-US" w:eastAsia="zh-CN"/>
        </w:rPr>
        <w:t>的</w:t>
      </w:r>
      <w:r>
        <w:rPr>
          <w:rFonts w:hint="eastAsia"/>
          <w:sz w:val="24"/>
          <w:szCs w:val="24"/>
        </w:rPr>
        <w:t>，甲方有权书面通知乙方解除本协议，乙方应当退还甲方已支付的全部费用，并按本协议总金额的20%承担违约金。</w:t>
      </w:r>
    </w:p>
    <w:p>
      <w:pPr>
        <w:pStyle w:val="3"/>
        <w:ind w:left="0" w:leftChars="0"/>
        <w:rPr>
          <w:rFonts w:hint="default" w:eastAsia="宋体"/>
          <w:lang w:val="en-US" w:eastAsia="zh-CN"/>
        </w:rPr>
      </w:pPr>
      <w:r>
        <w:rPr>
          <w:rFonts w:hint="eastAsia" w:ascii="宋体" w:hAnsi="宋体" w:cs="宋体"/>
          <w:sz w:val="24"/>
          <w:szCs w:val="24"/>
          <w:lang w:val="en-US" w:eastAsia="zh-CN"/>
        </w:rPr>
        <w:t>4.如因乙方提供的试题资料侵犯任何第三方的知识产权等合法权益，导致该第三方追究甲方责任的，乙方应负责解决并赔偿因此给甲方造成的全部损失，包括且不限于甲方因此支出的律师费、诉讼费、执行费、差旅费等，另应额外向甲方支付本合同总金额 20%的违约金。</w:t>
      </w:r>
    </w:p>
    <w:p>
      <w:pPr>
        <w:pStyle w:val="2"/>
        <w:rPr>
          <w:rFonts w:hint="eastAsia"/>
          <w:sz w:val="24"/>
          <w:szCs w:val="24"/>
        </w:rPr>
      </w:pPr>
      <w:r>
        <w:rPr>
          <w:rFonts w:hint="eastAsia"/>
          <w:sz w:val="24"/>
          <w:szCs w:val="24"/>
          <w:lang w:val="en-US" w:eastAsia="zh-CN"/>
        </w:rPr>
        <w:t>5.</w:t>
      </w:r>
      <w:r>
        <w:rPr>
          <w:rFonts w:hint="eastAsia"/>
          <w:sz w:val="24"/>
          <w:szCs w:val="24"/>
        </w:rPr>
        <w:t>乙方应按照本协议内约定的内容执行，如没有特别约定或约定未详尽，相应的违约责任或补充违约责任均为：甲方有权单方解除协议，乙方应退回甲方已支付的费用，未支付的费用不予支付；同时乙方承担一切经济责任和法律责任，包括且不限于律师费、诉讼费、保全费、鉴定费用等，并向甲方支付协议总价20%的违约金。</w:t>
      </w:r>
    </w:p>
    <w:p>
      <w:pPr>
        <w:pStyle w:val="2"/>
        <w:rPr>
          <w:rFonts w:hint="default"/>
          <w:sz w:val="24"/>
          <w:szCs w:val="24"/>
          <w:lang w:val="en-US" w:eastAsia="zh-CN"/>
        </w:rPr>
      </w:pPr>
      <w:r>
        <w:rPr>
          <w:rFonts w:hint="eastAsia"/>
          <w:sz w:val="24"/>
          <w:szCs w:val="24"/>
          <w:lang w:val="en-US" w:eastAsia="zh-CN"/>
        </w:rPr>
        <w:t>6.</w:t>
      </w:r>
      <w:r>
        <w:rPr>
          <w:rFonts w:hint="eastAsia"/>
          <w:sz w:val="24"/>
          <w:szCs w:val="24"/>
        </w:rPr>
        <w:t>本协议项下乙方应付违约金或赔偿金的情形，均为甲方有权在未付款项中扣除，也可要求乙方另行支付。</w:t>
      </w:r>
    </w:p>
    <w:p>
      <w:pPr>
        <w:spacing w:after="156" w:afterLines="50" w:line="240" w:lineRule="atLeast"/>
        <w:rPr>
          <w:rFonts w:ascii="宋体" w:hAnsi="宋体" w:cs="宋体"/>
          <w:sz w:val="24"/>
          <w:szCs w:val="24"/>
        </w:rPr>
      </w:pPr>
      <w:r>
        <w:rPr>
          <w:rFonts w:hint="eastAsia" w:ascii="宋体" w:hAnsi="宋体" w:cs="宋体"/>
          <w:sz w:val="24"/>
          <w:szCs w:val="24"/>
        </w:rPr>
        <w:t>八、协议期限和终止</w:t>
      </w:r>
    </w:p>
    <w:p>
      <w:pPr>
        <w:spacing w:after="156" w:afterLines="50" w:line="240" w:lineRule="atLeast"/>
        <w:rPr>
          <w:rFonts w:ascii="宋体" w:hAnsi="宋体" w:cs="宋体"/>
          <w:sz w:val="24"/>
          <w:szCs w:val="24"/>
        </w:rPr>
      </w:pPr>
      <w:r>
        <w:rPr>
          <w:rFonts w:hint="eastAsia" w:ascii="宋体" w:hAnsi="宋体" w:cs="宋体"/>
          <w:sz w:val="24"/>
          <w:szCs w:val="24"/>
        </w:rPr>
        <w:t>1、本协议有效期为_1_年，协议期满30日前，双方均可向对方发出不再续约的书面通知，由此本协议在当期期满之日终止。</w:t>
      </w:r>
      <w:r>
        <w:rPr>
          <w:rFonts w:hint="eastAsia" w:ascii="宋体" w:hAnsi="宋体" w:cs="宋体"/>
          <w:sz w:val="24"/>
          <w:szCs w:val="24"/>
          <w:lang w:val="en-US" w:eastAsia="zh-CN"/>
        </w:rPr>
        <w:t>如需续期的，双方应当另行签订合同。</w:t>
      </w:r>
    </w:p>
    <w:p>
      <w:pPr>
        <w:spacing w:after="156" w:afterLines="50" w:line="240" w:lineRule="atLeast"/>
        <w:rPr>
          <w:rFonts w:ascii="宋体" w:hAnsi="宋体" w:cs="宋体"/>
          <w:sz w:val="24"/>
          <w:szCs w:val="24"/>
        </w:rPr>
      </w:pPr>
      <w:r>
        <w:rPr>
          <w:rFonts w:hint="eastAsia" w:ascii="宋体" w:hAnsi="宋体" w:cs="宋体"/>
          <w:sz w:val="24"/>
          <w:szCs w:val="24"/>
        </w:rPr>
        <w:t>2、任一方破产或停业的，或由不可抗力造成考试项目终止，本协议自行终止：双方协商一致，可提前解除本协议：任何一方严重违反本协议，经另一方书面通知后三个月内仍未补正的，另一方有权单方面终止本协议。</w:t>
      </w:r>
    </w:p>
    <w:p>
      <w:pPr>
        <w:spacing w:after="156" w:afterLines="50" w:line="240" w:lineRule="atLeast"/>
        <w:rPr>
          <w:rFonts w:ascii="宋体" w:hAnsi="宋体" w:cs="宋体"/>
          <w:sz w:val="24"/>
          <w:szCs w:val="24"/>
        </w:rPr>
      </w:pPr>
      <w:r>
        <w:rPr>
          <w:rFonts w:hint="eastAsia" w:ascii="宋体" w:hAnsi="宋体" w:cs="宋体"/>
          <w:sz w:val="24"/>
          <w:szCs w:val="24"/>
        </w:rPr>
        <w:t>3、本协议终止不影响本协议知识产权与保密条款效力.</w:t>
      </w:r>
    </w:p>
    <w:p>
      <w:pPr>
        <w:spacing w:after="156" w:afterLines="50" w:line="240" w:lineRule="atLeast"/>
        <w:rPr>
          <w:rFonts w:ascii="宋体" w:hAnsi="宋体" w:cs="宋体"/>
          <w:sz w:val="24"/>
          <w:szCs w:val="24"/>
        </w:rPr>
      </w:pPr>
      <w:r>
        <w:rPr>
          <w:rFonts w:hint="eastAsia" w:ascii="宋体" w:hAnsi="宋体" w:cs="宋体"/>
          <w:sz w:val="24"/>
          <w:szCs w:val="24"/>
        </w:rPr>
        <w:t>九、其他</w:t>
      </w:r>
    </w:p>
    <w:p>
      <w:pPr>
        <w:spacing w:after="156" w:afterLines="50" w:line="240" w:lineRule="atLeast"/>
        <w:rPr>
          <w:rFonts w:hint="eastAsia" w:ascii="宋体" w:hAnsi="宋体" w:cs="宋体"/>
          <w:sz w:val="24"/>
          <w:szCs w:val="24"/>
        </w:rPr>
      </w:pPr>
      <w:r>
        <w:rPr>
          <w:rFonts w:hint="eastAsia" w:ascii="宋体" w:hAnsi="宋体" w:cs="宋体"/>
          <w:sz w:val="24"/>
          <w:szCs w:val="24"/>
        </w:rPr>
        <w:t>1、在双方合作的深入开展中，如有必要对协议有所修改和补充时，双方可共同协商和签订补充协议，双方签订的补充协议与本协议同具法律效力。</w:t>
      </w:r>
    </w:p>
    <w:p>
      <w:pPr>
        <w:pStyle w:val="2"/>
        <w:rPr>
          <w:rFonts w:hint="eastAsia" w:ascii="宋体" w:hAnsi="宋体" w:cs="宋体"/>
          <w:sz w:val="24"/>
          <w:szCs w:val="24"/>
          <w:lang w:val="en-US" w:eastAsia="zh-CN"/>
        </w:rPr>
      </w:pPr>
      <w:r>
        <w:rPr>
          <w:rFonts w:hint="eastAsia" w:ascii="宋体" w:hAnsi="宋体" w:cs="宋体"/>
          <w:sz w:val="24"/>
          <w:szCs w:val="24"/>
          <w:lang w:val="en-US" w:eastAsia="zh-CN"/>
        </w:rPr>
        <w:t>2、在履行协议过程中产生纠纷的，双方应先友好协商，协商不成的，任一方均可向甲方住所地人民法院提起诉讼解决。</w:t>
      </w:r>
    </w:p>
    <w:p>
      <w:pPr>
        <w:pStyle w:val="3"/>
        <w:ind w:left="0" w:leftChars="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双方确保本</w:t>
      </w:r>
      <w:r>
        <w:rPr>
          <w:rFonts w:hint="eastAsia" w:ascii="宋体" w:hAnsi="宋体" w:cs="宋体"/>
          <w:sz w:val="24"/>
          <w:szCs w:val="24"/>
          <w:lang w:val="en-US" w:eastAsia="zh-CN"/>
        </w:rPr>
        <w:t>协议</w:t>
      </w:r>
      <w:r>
        <w:rPr>
          <w:rFonts w:hint="eastAsia" w:ascii="宋体" w:hAnsi="宋体" w:cs="宋体"/>
          <w:sz w:val="24"/>
          <w:szCs w:val="24"/>
        </w:rPr>
        <w:t>所提供的通讯地址为有效地址，一方及有权机关（包括但不限于人民法院、仲裁委员会、公证处）按此地址发出信函、文书等材料即视为相对方收到。如一方地址、电话、传真号码有变更，应在变更当日内书面通知对方，否则，应承担相应责任。</w:t>
      </w:r>
    </w:p>
    <w:p>
      <w:pPr>
        <w:pStyle w:val="3"/>
        <w:ind w:left="0" w:leftChars="0"/>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4、本协议任何一方由于不可抗力的原因不能履行协议时，应在不可抗力事件结束后1日内向对方通报，并尽最大努力积极采取必要措施，以减轻可能给对方造成的损失，在取得有关机构的不可抗力证明或双方谅解确认后，允许延期履行或修订合同，并根据情况可部分或全部免于承担违约责任。没有采取适当措施致使损失扩大的，该方不得就扩大损失的部分要求免责或赔偿。因协议一方迟延履行协议后发生不可抗力的，不能免除迟延履行方的相应责任。 </w:t>
      </w:r>
    </w:p>
    <w:p>
      <w:pPr>
        <w:spacing w:after="156" w:afterLines="50" w:line="240" w:lineRule="atLeast"/>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、本协议一式二份，自双方</w:t>
      </w:r>
      <w:r>
        <w:rPr>
          <w:rFonts w:hint="eastAsia" w:ascii="宋体" w:hAnsi="宋体" w:cs="宋体"/>
          <w:sz w:val="24"/>
          <w:szCs w:val="24"/>
          <w:lang w:val="en-US" w:eastAsia="zh-CN"/>
        </w:rPr>
        <w:t>授权代表</w:t>
      </w:r>
      <w:r>
        <w:rPr>
          <w:rFonts w:hint="eastAsia" w:ascii="宋体" w:hAnsi="宋体" w:cs="宋体"/>
          <w:sz w:val="24"/>
          <w:szCs w:val="24"/>
        </w:rPr>
        <w:t>签字</w:t>
      </w:r>
      <w:r>
        <w:rPr>
          <w:rFonts w:hint="eastAsia" w:ascii="宋体" w:hAnsi="宋体" w:cs="宋体"/>
          <w:sz w:val="24"/>
          <w:szCs w:val="24"/>
          <w:lang w:val="en-US" w:eastAsia="zh-CN"/>
        </w:rPr>
        <w:t>并加</w:t>
      </w:r>
      <w:r>
        <w:rPr>
          <w:rFonts w:hint="eastAsia" w:ascii="宋体" w:hAnsi="宋体" w:cs="宋体"/>
          <w:sz w:val="24"/>
          <w:szCs w:val="24"/>
        </w:rPr>
        <w:t>盖</w:t>
      </w:r>
      <w:r>
        <w:rPr>
          <w:rFonts w:hint="eastAsia" w:ascii="宋体" w:hAnsi="宋体" w:cs="宋体"/>
          <w:sz w:val="24"/>
          <w:szCs w:val="24"/>
          <w:lang w:val="en-US" w:eastAsia="zh-CN"/>
        </w:rPr>
        <w:t>公</w:t>
      </w:r>
      <w:r>
        <w:rPr>
          <w:rFonts w:hint="eastAsia" w:ascii="宋体" w:hAnsi="宋体" w:cs="宋体"/>
          <w:sz w:val="24"/>
          <w:szCs w:val="24"/>
        </w:rPr>
        <w:t>章之日起生效，双方各执一份，同具法律效力。</w:t>
      </w:r>
    </w:p>
    <w:p>
      <w:pPr>
        <w:pStyle w:val="2"/>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以下无正文，为签署页</w:t>
      </w:r>
      <w:r>
        <w:rPr>
          <w:rFonts w:hint="eastAsia" w:ascii="宋体" w:hAnsi="宋体" w:cs="宋体"/>
          <w:sz w:val="24"/>
          <w:szCs w:val="24"/>
          <w:lang w:eastAsia="zh-CN"/>
        </w:rPr>
        <w:t>）</w:t>
      </w:r>
    </w:p>
    <w:p>
      <w:pPr>
        <w:pStyle w:val="3"/>
        <w:rPr>
          <w:rFonts w:hint="eastAsia"/>
          <w:lang w:eastAsia="zh-CN"/>
        </w:rPr>
      </w:pPr>
    </w:p>
    <w:p>
      <w:pPr>
        <w:spacing w:after="156" w:afterLines="50" w:line="240" w:lineRule="atLeast"/>
        <w:rPr>
          <w:rFonts w:ascii="宋体" w:hAnsi="宋体" w:cs="宋体"/>
          <w:sz w:val="24"/>
          <w:szCs w:val="24"/>
        </w:rPr>
      </w:pPr>
      <w:r>
        <w:rPr>
          <w:rFonts w:hint="eastAsia" w:ascii="宋体" w:hAnsi="宋体" w:cs="宋体"/>
          <w:sz w:val="24"/>
          <w:szCs w:val="24"/>
        </w:rPr>
        <w:t xml:space="preserve">甲方（盖章）：                       乙方（盖章）：                                  </w:t>
      </w:r>
    </w:p>
    <w:p>
      <w:pPr>
        <w:spacing w:after="156" w:afterLines="50" w:line="240" w:lineRule="atLeast"/>
        <w:rPr>
          <w:rFonts w:ascii="宋体" w:hAnsi="宋体" w:cs="宋体"/>
          <w:sz w:val="24"/>
          <w:szCs w:val="24"/>
        </w:rPr>
      </w:pPr>
      <w:r>
        <w:rPr>
          <w:rFonts w:hint="eastAsia" w:ascii="宋体" w:hAnsi="宋体" w:cs="宋体"/>
          <w:sz w:val="24"/>
          <w:szCs w:val="24"/>
        </w:rPr>
        <w:t>授权代表签字：                      授权代表签字：</w:t>
      </w:r>
    </w:p>
    <w:p>
      <w:pPr>
        <w:spacing w:after="156" w:afterLines="50" w:line="240" w:lineRule="atLeast"/>
        <w:rPr>
          <w:sz w:val="24"/>
          <w:szCs w:val="22"/>
        </w:rPr>
      </w:pPr>
      <w:r>
        <w:rPr>
          <w:rFonts w:hint="eastAsia" w:ascii="宋体" w:hAnsi="宋体" w:cs="宋体"/>
          <w:sz w:val="24"/>
          <w:szCs w:val="24"/>
        </w:rPr>
        <w:t>签字日期：</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               签字日期：</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DC58D8A-116A-4C54-ADE6-388AB88AF41D}"/>
  </w:font>
  <w:font w:name="黑体">
    <w:panose1 w:val="02010609060101010101"/>
    <w:charset w:val="86"/>
    <w:family w:val="auto"/>
    <w:pitch w:val="default"/>
    <w:sig w:usb0="800002BF" w:usb1="38CF7CFA" w:usb2="00000016" w:usb3="00000000" w:csb0="00040001" w:csb1="00000000"/>
    <w:embedRegular r:id="rId2" w:fontKey="{C8B82A33-EEC2-4083-A8B2-51FA040108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A05CB8A4-1573-421B-9532-AB1D6E682EE3}"/>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4" w:fontKey="{D900DAC0-D8B2-4619-A160-190E942E202D}"/>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5" w:fontKey="{74548051-74FB-4A0E-8639-BE5549F144F3}"/>
  </w:font>
  <w:font w:name="微软雅黑">
    <w:panose1 w:val="020B0503020204020204"/>
    <w:charset w:val="86"/>
    <w:family w:val="swiss"/>
    <w:pitch w:val="default"/>
    <w:sig w:usb0="80000287" w:usb1="2ACF3C50" w:usb2="00000016" w:usb3="00000000" w:csb0="0004001F" w:csb1="00000000"/>
    <w:embedRegular r:id="rId6" w:fontKey="{D5583882-9DC7-4E48-9B9D-C79848CCDB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left="-523" w:leftChars="-249" w:right="-868" w:firstLine="630" w:firstLineChars="300"/>
      <w:jc w:val="center"/>
      <w:rPr>
        <w:rFonts w:ascii="仿宋" w:hAnsi="仿宋" w:eastAsia="仿宋"/>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left="-523" w:leftChars="-249" w:right="-868" w:firstLine="630" w:firstLineChars="300"/>
      <w:jc w:val="center"/>
      <w:rPr>
        <w:rFonts w:ascii="仿宋" w:hAnsi="仿宋" w:eastAsia="仿宋"/>
        <w:sz w:val="21"/>
        <w:szCs w:val="21"/>
      </w:rPr>
    </w:pPr>
    <w:r>
      <w:rPr>
        <w:sz w:val="21"/>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rPr>
                              <w:rFonts w:ascii="宋体" w:hAnsi="宋体" w:cs="宋体"/>
                              <w:sz w:val="15"/>
                              <w:szCs w:val="16"/>
                            </w:rPr>
                          </w:pPr>
                          <w:r>
                            <w:rPr>
                              <w:rFonts w:ascii="宋体" w:hAnsi="宋体" w:cs="宋体"/>
                              <w:sz w:val="15"/>
                              <w:szCs w:val="16"/>
                            </w:rPr>
                            <w:t xml:space="preserve">第 </w:t>
                          </w:r>
                          <w:r>
                            <w:rPr>
                              <w:rFonts w:ascii="宋体" w:hAnsi="宋体" w:cs="宋体"/>
                              <w:sz w:val="15"/>
                              <w:szCs w:val="16"/>
                            </w:rPr>
                            <w:fldChar w:fldCharType="begin"/>
                          </w:r>
                          <w:r>
                            <w:rPr>
                              <w:rFonts w:ascii="宋体" w:hAnsi="宋体" w:cs="宋体"/>
                              <w:sz w:val="15"/>
                              <w:szCs w:val="16"/>
                            </w:rPr>
                            <w:instrText xml:space="preserve"> PAGE  \* MERGEFORMAT </w:instrText>
                          </w:r>
                          <w:r>
                            <w:rPr>
                              <w:rFonts w:ascii="宋体" w:hAnsi="宋体" w:cs="宋体"/>
                              <w:sz w:val="15"/>
                              <w:szCs w:val="16"/>
                            </w:rPr>
                            <w:fldChar w:fldCharType="separate"/>
                          </w:r>
                          <w:r>
                            <w:rPr>
                              <w:rFonts w:ascii="宋体" w:hAnsi="宋体" w:cs="宋体"/>
                              <w:sz w:val="15"/>
                              <w:szCs w:val="16"/>
                            </w:rPr>
                            <w:t>1</w:t>
                          </w:r>
                          <w:r>
                            <w:rPr>
                              <w:rFonts w:ascii="宋体" w:hAnsi="宋体" w:cs="宋体"/>
                              <w:sz w:val="15"/>
                              <w:szCs w:val="16"/>
                            </w:rPr>
                            <w:fldChar w:fldCharType="end"/>
                          </w:r>
                          <w:r>
                            <w:rPr>
                              <w:rFonts w:ascii="宋体" w:hAnsi="宋体" w:cs="宋体"/>
                              <w:sz w:val="15"/>
                              <w:szCs w:val="16"/>
                            </w:rPr>
                            <w:t xml:space="preserve"> 页 共 </w:t>
                          </w:r>
                          <w:r>
                            <w:rPr>
                              <w:rFonts w:ascii="宋体" w:hAnsi="宋体" w:cs="宋体"/>
                              <w:sz w:val="15"/>
                              <w:szCs w:val="16"/>
                            </w:rPr>
                            <w:fldChar w:fldCharType="begin"/>
                          </w:r>
                          <w:r>
                            <w:rPr>
                              <w:rFonts w:ascii="宋体" w:hAnsi="宋体" w:cs="宋体"/>
                              <w:sz w:val="15"/>
                              <w:szCs w:val="16"/>
                            </w:rPr>
                            <w:instrText xml:space="preserve"> NUMPAGES  \* MERGEFORMAT </w:instrText>
                          </w:r>
                          <w:r>
                            <w:rPr>
                              <w:rFonts w:ascii="宋体" w:hAnsi="宋体" w:cs="宋体"/>
                              <w:sz w:val="15"/>
                              <w:szCs w:val="16"/>
                            </w:rPr>
                            <w:fldChar w:fldCharType="separate"/>
                          </w:r>
                          <w:r>
                            <w:rPr>
                              <w:rFonts w:ascii="宋体" w:hAnsi="宋体" w:cs="宋体"/>
                              <w:sz w:val="15"/>
                              <w:szCs w:val="16"/>
                            </w:rPr>
                            <w:t>5</w:t>
                          </w:r>
                          <w:r>
                            <w:rPr>
                              <w:rFonts w:ascii="宋体" w:hAnsi="宋体" w:cs="宋体"/>
                              <w:sz w:val="15"/>
                              <w:szCs w:val="16"/>
                            </w:rPr>
                            <w:fldChar w:fldCharType="end"/>
                          </w:r>
                          <w:r>
                            <w:rPr>
                              <w:rFonts w:ascii="宋体" w:hAnsi="宋体" w:cs="宋体"/>
                              <w:sz w:val="15"/>
                              <w:szCs w:val="16"/>
                            </w:rPr>
                            <w:t xml:space="preserve"> 页</w:t>
                          </w:r>
                        </w:p>
                      </w:txbxContent>
                    </wps:txbx>
                    <wps:bodyPr wrap="none" lIns="0" tIns="0" rIns="0" bIns="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xRRh370BAAB7AwAADgAAAAAAAAABACAAAAAfAQAAZHJzL2Uyb0RvYy54bWxQSwUGAAAA&#10;AAYABgBZAQAATgUAAAAA&#10;">
              <v:fill on="f" focussize="0,0"/>
              <v:stroke on="f"/>
              <v:imagedata o:title=""/>
              <o:lock v:ext="edit" aspectratio="f"/>
              <v:textbox inset="0mm,0mm,0mm,0mm" style="mso-fit-shape-to-text:t;">
                <w:txbxContent>
                  <w:p>
                    <w:pPr>
                      <w:pStyle w:val="10"/>
                      <w:rPr>
                        <w:rFonts w:ascii="宋体" w:hAnsi="宋体" w:cs="宋体"/>
                        <w:sz w:val="15"/>
                        <w:szCs w:val="16"/>
                      </w:rPr>
                    </w:pPr>
                    <w:r>
                      <w:rPr>
                        <w:rFonts w:ascii="宋体" w:hAnsi="宋体" w:cs="宋体"/>
                        <w:sz w:val="15"/>
                        <w:szCs w:val="16"/>
                      </w:rPr>
                      <w:t xml:space="preserve">第 </w:t>
                    </w:r>
                    <w:r>
                      <w:rPr>
                        <w:rFonts w:ascii="宋体" w:hAnsi="宋体" w:cs="宋体"/>
                        <w:sz w:val="15"/>
                        <w:szCs w:val="16"/>
                      </w:rPr>
                      <w:fldChar w:fldCharType="begin"/>
                    </w:r>
                    <w:r>
                      <w:rPr>
                        <w:rFonts w:ascii="宋体" w:hAnsi="宋体" w:cs="宋体"/>
                        <w:sz w:val="15"/>
                        <w:szCs w:val="16"/>
                      </w:rPr>
                      <w:instrText xml:space="preserve"> PAGE  \* MERGEFORMAT </w:instrText>
                    </w:r>
                    <w:r>
                      <w:rPr>
                        <w:rFonts w:ascii="宋体" w:hAnsi="宋体" w:cs="宋体"/>
                        <w:sz w:val="15"/>
                        <w:szCs w:val="16"/>
                      </w:rPr>
                      <w:fldChar w:fldCharType="separate"/>
                    </w:r>
                    <w:r>
                      <w:rPr>
                        <w:rFonts w:ascii="宋体" w:hAnsi="宋体" w:cs="宋体"/>
                        <w:sz w:val="15"/>
                        <w:szCs w:val="16"/>
                      </w:rPr>
                      <w:t>1</w:t>
                    </w:r>
                    <w:r>
                      <w:rPr>
                        <w:rFonts w:ascii="宋体" w:hAnsi="宋体" w:cs="宋体"/>
                        <w:sz w:val="15"/>
                        <w:szCs w:val="16"/>
                      </w:rPr>
                      <w:fldChar w:fldCharType="end"/>
                    </w:r>
                    <w:r>
                      <w:rPr>
                        <w:rFonts w:ascii="宋体" w:hAnsi="宋体" w:cs="宋体"/>
                        <w:sz w:val="15"/>
                        <w:szCs w:val="16"/>
                      </w:rPr>
                      <w:t xml:space="preserve"> 页 共 </w:t>
                    </w:r>
                    <w:r>
                      <w:rPr>
                        <w:rFonts w:ascii="宋体" w:hAnsi="宋体" w:cs="宋体"/>
                        <w:sz w:val="15"/>
                        <w:szCs w:val="16"/>
                      </w:rPr>
                      <w:fldChar w:fldCharType="begin"/>
                    </w:r>
                    <w:r>
                      <w:rPr>
                        <w:rFonts w:ascii="宋体" w:hAnsi="宋体" w:cs="宋体"/>
                        <w:sz w:val="15"/>
                        <w:szCs w:val="16"/>
                      </w:rPr>
                      <w:instrText xml:space="preserve"> NUMPAGES  \* MERGEFORMAT </w:instrText>
                    </w:r>
                    <w:r>
                      <w:rPr>
                        <w:rFonts w:ascii="宋体" w:hAnsi="宋体" w:cs="宋体"/>
                        <w:sz w:val="15"/>
                        <w:szCs w:val="16"/>
                      </w:rPr>
                      <w:fldChar w:fldCharType="separate"/>
                    </w:r>
                    <w:r>
                      <w:rPr>
                        <w:rFonts w:ascii="宋体" w:hAnsi="宋体" w:cs="宋体"/>
                        <w:sz w:val="15"/>
                        <w:szCs w:val="16"/>
                      </w:rPr>
                      <w:t>5</w:t>
                    </w:r>
                    <w:r>
                      <w:rPr>
                        <w:rFonts w:ascii="宋体" w:hAnsi="宋体" w:cs="宋体"/>
                        <w:sz w:val="15"/>
                        <w:szCs w:val="16"/>
                      </w:rPr>
                      <w:fldChar w:fldCharType="end"/>
                    </w:r>
                    <w:r>
                      <w:rPr>
                        <w:rFonts w:ascii="宋体" w:hAnsi="宋体" w:cs="宋体"/>
                        <w:sz w:val="15"/>
                        <w:szCs w:val="16"/>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707"/>
      </w:tabs>
      <w:spacing w:line="360" w:lineRule="auto"/>
      <w:rPr>
        <w:rFonts w:ascii="宋体" w:hAnsi="宋体"/>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tabs>
          <w:tab w:val="left" w:pos="900"/>
        </w:tabs>
        <w:ind w:left="900" w:hanging="720"/>
      </w:pPr>
    </w:lvl>
    <w:lvl w:ilvl="1" w:tentative="0">
      <w:start w:val="1"/>
      <w:numFmt w:val="decimal"/>
      <w:lvlText w:val="%2."/>
      <w:lvlJc w:val="left"/>
      <w:pPr>
        <w:tabs>
          <w:tab w:val="left" w:pos="1060"/>
        </w:tabs>
        <w:ind w:left="1060" w:hanging="360"/>
      </w:p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abstractNum w:abstractNumId="2">
    <w:nsid w:val="00000002"/>
    <w:multiLevelType w:val="multilevel"/>
    <w:tmpl w:val="000000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3"/>
    <w:multiLevelType w:val="singleLevel"/>
    <w:tmpl w:val="00000003"/>
    <w:lvl w:ilvl="0" w:tentative="0">
      <w:start w:val="1"/>
      <w:numFmt w:val="decimal"/>
      <w:suff w:val="nothing"/>
      <w:lvlText w:val="%1．"/>
      <w:lvlJc w:val="left"/>
      <w:pPr>
        <w:ind w:left="0" w:firstLine="400"/>
      </w:pPr>
      <w:rPr>
        <w:rFonts w:hint="default"/>
      </w:rPr>
    </w:lvl>
  </w:abstractNum>
  <w:abstractNum w:abstractNumId="4">
    <w:nsid w:val="00000004"/>
    <w:multiLevelType w:val="singleLevel"/>
    <w:tmpl w:val="00000004"/>
    <w:lvl w:ilvl="0" w:tentative="0">
      <w:start w:val="1"/>
      <w:numFmt w:val="decimal"/>
      <w:suff w:val="nothing"/>
      <w:lvlText w:val="%1．"/>
      <w:lvlJc w:val="left"/>
      <w:pPr>
        <w:ind w:left="0" w:firstLine="400"/>
      </w:pPr>
      <w:rPr>
        <w:rFonts w:hint="default"/>
      </w:rPr>
    </w:lvl>
  </w:abstractNum>
  <w:abstractNum w:abstractNumId="5">
    <w:nsid w:val="00000005"/>
    <w:multiLevelType w:val="singleLevel"/>
    <w:tmpl w:val="00000005"/>
    <w:lvl w:ilvl="0" w:tentative="0">
      <w:start w:val="1"/>
      <w:numFmt w:val="decimal"/>
      <w:suff w:val="nothing"/>
      <w:lvlText w:val="%1）"/>
      <w:lvlJc w:val="left"/>
      <w:pPr>
        <w:ind w:left="0" w:firstLine="420"/>
      </w:pPr>
      <w:rPr>
        <w:rFonts w:ascii="宋体" w:hAnsi="宋体" w:eastAsia="宋体" w:cs="宋体"/>
      </w:rPr>
    </w:lvl>
  </w:abstractNum>
  <w:abstractNum w:abstractNumId="6">
    <w:nsid w:val="00000006"/>
    <w:multiLevelType w:val="singleLevel"/>
    <w:tmpl w:val="00000006"/>
    <w:lvl w:ilvl="0" w:tentative="0">
      <w:start w:val="1"/>
      <w:numFmt w:val="decimal"/>
      <w:suff w:val="nothing"/>
      <w:lvlText w:val="%1）"/>
      <w:lvlJc w:val="left"/>
      <w:pPr>
        <w:ind w:left="0" w:firstLine="420"/>
      </w:pPr>
      <w:rPr>
        <w:rFonts w:ascii="宋体" w:hAnsi="宋体" w:eastAsia="宋体" w:cs="宋体"/>
      </w:rPr>
    </w:lvl>
  </w:abstractNum>
  <w:abstractNum w:abstractNumId="7">
    <w:nsid w:val="00000007"/>
    <w:multiLevelType w:val="singleLevel"/>
    <w:tmpl w:val="00000007"/>
    <w:lvl w:ilvl="0" w:tentative="0">
      <w:start w:val="1"/>
      <w:numFmt w:val="decimal"/>
      <w:suff w:val="nothing"/>
      <w:lvlText w:val="%1）"/>
      <w:lvlJc w:val="left"/>
      <w:pPr>
        <w:ind w:left="0" w:firstLine="420"/>
      </w:pPr>
      <w:rPr>
        <w:rFonts w:ascii="宋体" w:hAnsi="宋体" w:eastAsia="宋体" w:cs="宋体"/>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7"/>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43AA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15">
    <w:name w:val="Default Paragraph Font"/>
    <w:qFormat/>
    <w:uiPriority w:val="0"/>
  </w:style>
  <w:style w:type="table" w:default="1" w:styleId="14">
    <w:name w:val="Normal Table"/>
    <w:qFormat/>
    <w:uiPriority w:val="0"/>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3"/>
    <w:basedOn w:val="1"/>
    <w:qFormat/>
    <w:uiPriority w:val="0"/>
    <w:pPr>
      <w:spacing w:after="120"/>
      <w:ind w:left="420" w:leftChars="200"/>
    </w:pPr>
    <w:rPr>
      <w:sz w:val="16"/>
      <w:szCs w:val="16"/>
    </w:rPr>
  </w:style>
  <w:style w:type="paragraph" w:styleId="5">
    <w:name w:val="Normal Indent"/>
    <w:basedOn w:val="1"/>
    <w:qFormat/>
    <w:uiPriority w:val="0"/>
    <w:pPr>
      <w:widowControl/>
      <w:spacing w:before="100" w:beforeAutospacing="1" w:after="100" w:afterAutospacing="1"/>
      <w:jc w:val="left"/>
    </w:pPr>
    <w:rPr>
      <w:rFonts w:ascii="宋体" w:hAnsi="宋体"/>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after="120"/>
    </w:pPr>
    <w:rPr>
      <w:szCs w:val="24"/>
    </w:rPr>
  </w:style>
  <w:style w:type="paragraph" w:styleId="8">
    <w:name w:val="Body Text Indent"/>
    <w:basedOn w:val="1"/>
    <w:qFormat/>
    <w:uiPriority w:val="0"/>
    <w:pPr>
      <w:autoSpaceDN w:val="0"/>
      <w:ind w:firstLine="560" w:firstLineChars="200"/>
    </w:pPr>
    <w:rPr>
      <w:sz w:val="28"/>
    </w:r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rPr>
  </w:style>
  <w:style w:type="paragraph" w:styleId="12">
    <w:name w:val="Title"/>
    <w:basedOn w:val="1"/>
    <w:qFormat/>
    <w:uiPriority w:val="0"/>
    <w:pPr>
      <w:spacing w:before="1"/>
      <w:ind w:left="1329" w:right="1471"/>
      <w:jc w:val="center"/>
    </w:pPr>
    <w:rPr>
      <w:rFonts w:ascii="楷体" w:hAnsi="楷体" w:eastAsia="楷体"/>
      <w:b/>
      <w:bCs/>
      <w:sz w:val="70"/>
      <w:szCs w:val="70"/>
    </w:rPr>
  </w:style>
  <w:style w:type="paragraph" w:styleId="13">
    <w:name w:val="Body Text First Indent 2"/>
    <w:basedOn w:val="8"/>
    <w:qFormat/>
    <w:uiPriority w:val="0"/>
    <w:pPr>
      <w:spacing w:after="120"/>
      <w:ind w:left="420" w:leftChars="200" w:firstLine="420"/>
    </w:pPr>
    <w:rPr>
      <w:sz w:val="21"/>
      <w:szCs w:val="24"/>
    </w:rPr>
  </w:style>
  <w:style w:type="character" w:styleId="16">
    <w:name w:val="Strong"/>
    <w:basedOn w:val="15"/>
    <w:qFormat/>
    <w:uiPriority w:val="0"/>
    <w:rPr>
      <w:b/>
    </w:rPr>
  </w:style>
  <w:style w:type="paragraph" w:customStyle="1" w:styleId="17">
    <w:name w:val="07正文"/>
    <w:qFormat/>
    <w:uiPriority w:val="0"/>
    <w:pPr>
      <w:widowControl w:val="0"/>
      <w:overflowPunct w:val="0"/>
      <w:autoSpaceDE w:val="0"/>
      <w:autoSpaceDN w:val="0"/>
      <w:adjustRightInd w:val="0"/>
      <w:snapToGrid w:val="0"/>
      <w:spacing w:line="336" w:lineRule="auto"/>
      <w:ind w:firstLine="200"/>
      <w:textAlignment w:val="center"/>
    </w:pPr>
    <w:rPr>
      <w:rFonts w:ascii="仿宋" w:hAnsi="仿宋" w:eastAsia="仿宋" w:cs="Times New Roman"/>
      <w:kern w:val="2"/>
      <w:sz w:val="32"/>
      <w:szCs w:val="32"/>
      <w:lang w:val="en-US" w:eastAsia="zh-CN" w:bidi="ar-SA"/>
    </w:rPr>
  </w:style>
  <w:style w:type="paragraph" w:customStyle="1" w:styleId="18">
    <w:name w:val="彩色列表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8118</Words>
  <Characters>8427</Characters>
  <Paragraphs>477</Paragraphs>
  <TotalTime>17</TotalTime>
  <ScaleCrop>false</ScaleCrop>
  <LinksUpToDate>false</LinksUpToDate>
  <CharactersWithSpaces>8714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2022-11-24T04:49:00Z</dcterms:created>
  <dc:creator>律师顾问团</dc:creator>
  <cp:lastModifiedBy>章小羽</cp:lastModifiedBy>
  <cp:lastPrinted>2022-11-25T08:48:00Z</cp:lastPrinted>
  <dcterms:modified xsi:type="dcterms:W3CDTF">2023-11-24T01:00:41Z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CC36C4A86898442DBE404E42631543F8</vt:lpwstr>
  </property>
</Properties>
</file>