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s>
        <w:spacing w:line="360" w:lineRule="auto"/>
        <w:ind w:left="526" w:leftChars="174" w:right="393" w:rightChars="187" w:hanging="161" w:hangingChars="27"/>
        <w:jc w:val="center"/>
        <w:rPr>
          <w:rFonts w:ascii="宋体" w:hAnsi="宋体"/>
          <w:b/>
          <w:bCs/>
          <w:spacing w:val="-23"/>
          <w:sz w:val="64"/>
          <w:szCs w:val="64"/>
        </w:rPr>
      </w:pPr>
      <w:bookmarkStart w:id="0" w:name="_Hlk83648042"/>
      <w:r>
        <w:rPr>
          <w:rFonts w:ascii="宋体" w:hAnsi="宋体"/>
          <w:b/>
          <w:bCs/>
          <w:spacing w:val="-23"/>
          <w:sz w:val="64"/>
          <w:szCs w:val="64"/>
        </w:rPr>
        <w:t>广东省消防救援总队信息安全等级保护测评服务（2022年）</w:t>
      </w:r>
    </w:p>
    <w:bookmarkEnd w:id="0"/>
    <w:p>
      <w:pPr>
        <w:tabs>
          <w:tab w:val="left" w:pos="720"/>
        </w:tabs>
        <w:spacing w:line="360" w:lineRule="auto"/>
        <w:jc w:val="center"/>
        <w:rPr>
          <w:rFonts w:ascii="宋体" w:hAnsi="宋体"/>
          <w:b/>
          <w:bCs/>
          <w:sz w:val="32"/>
          <w:szCs w:val="32"/>
        </w:rPr>
      </w:pPr>
      <w:r>
        <w:rPr>
          <w:rFonts w:hint="eastAsia" w:ascii="宋体" w:hAnsi="宋体"/>
          <w:b/>
          <w:bCs/>
          <w:sz w:val="32"/>
          <w:szCs w:val="32"/>
        </w:rPr>
        <w:t>（</w:t>
      </w:r>
      <w:r>
        <w:rPr>
          <w:rFonts w:hint="eastAsia" w:ascii="宋体" w:hAnsi="宋体"/>
          <w:b/>
          <w:bCs/>
          <w:color w:val="auto"/>
          <w:sz w:val="32"/>
          <w:szCs w:val="32"/>
        </w:rPr>
        <w:t>项目编号：ZDXXH2022001</w:t>
      </w:r>
      <w:r>
        <w:rPr>
          <w:rFonts w:hint="eastAsia" w:ascii="宋体" w:hAnsi="宋体"/>
          <w:b/>
          <w:bCs/>
          <w:sz w:val="32"/>
          <w:szCs w:val="32"/>
        </w:rPr>
        <w:t>）</w:t>
      </w:r>
    </w:p>
    <w:p>
      <w:pPr>
        <w:tabs>
          <w:tab w:val="left" w:pos="720"/>
        </w:tabs>
        <w:spacing w:line="360" w:lineRule="auto"/>
        <w:jc w:val="center"/>
        <w:rPr>
          <w:rFonts w:ascii="宋体" w:hAnsi="宋体"/>
          <w:sz w:val="52"/>
          <w:szCs w:val="52"/>
        </w:rPr>
      </w:pPr>
    </w:p>
    <w:p>
      <w:pPr>
        <w:spacing w:line="360" w:lineRule="auto"/>
        <w:jc w:val="center"/>
        <w:rPr>
          <w:rFonts w:ascii="宋体" w:hAnsi="宋体"/>
          <w:b/>
          <w:bCs/>
          <w:spacing w:val="-30"/>
          <w:sz w:val="52"/>
          <w:szCs w:val="52"/>
        </w:rPr>
      </w:pPr>
      <w:r>
        <w:rPr>
          <w:rFonts w:hint="eastAsia" w:ascii="宋体" w:hAnsi="宋体"/>
          <w:b/>
          <w:bCs/>
          <w:spacing w:val="-30"/>
          <w:sz w:val="52"/>
          <w:szCs w:val="52"/>
        </w:rPr>
        <w:t>遴选文件</w:t>
      </w:r>
    </w:p>
    <w:p>
      <w:pPr>
        <w:spacing w:line="360" w:lineRule="auto"/>
        <w:rPr>
          <w:rFonts w:ascii="宋体" w:hAnsi="宋体"/>
          <w:bCs/>
          <w:sz w:val="32"/>
          <w:szCs w:val="32"/>
        </w:rPr>
      </w:pPr>
    </w:p>
    <w:p>
      <w:pPr>
        <w:spacing w:line="360" w:lineRule="auto"/>
        <w:rPr>
          <w:rFonts w:ascii="宋体" w:hAnsi="宋体"/>
          <w:bCs/>
          <w:sz w:val="32"/>
          <w:szCs w:val="32"/>
        </w:rPr>
      </w:pPr>
    </w:p>
    <w:p>
      <w:pPr>
        <w:spacing w:line="360" w:lineRule="auto"/>
        <w:jc w:val="center"/>
        <w:rPr>
          <w:rFonts w:ascii="宋体" w:hAnsi="宋体"/>
          <w:bCs/>
          <w:sz w:val="32"/>
          <w:szCs w:val="32"/>
        </w:rPr>
      </w:pPr>
    </w:p>
    <w:p>
      <w:pPr>
        <w:pStyle w:val="7"/>
      </w:pPr>
    </w:p>
    <w:p>
      <w:pPr>
        <w:pStyle w:val="7"/>
      </w:pPr>
    </w:p>
    <w:p>
      <w:pPr>
        <w:spacing w:line="360" w:lineRule="auto"/>
        <w:rPr>
          <w:rFonts w:ascii="宋体" w:hAnsi="宋体"/>
          <w:b/>
          <w:bCs/>
          <w:sz w:val="32"/>
          <w:szCs w:val="32"/>
        </w:rPr>
      </w:pPr>
    </w:p>
    <w:p>
      <w:pPr>
        <w:spacing w:line="360" w:lineRule="auto"/>
        <w:jc w:val="center"/>
        <w:rPr>
          <w:rFonts w:ascii="宋体" w:hAnsi="宋体"/>
          <w:b/>
          <w:bCs/>
          <w:sz w:val="32"/>
          <w:szCs w:val="32"/>
        </w:rPr>
      </w:pPr>
      <w:r>
        <w:rPr>
          <w:rFonts w:hint="eastAsia" w:ascii="宋体" w:hAnsi="宋体"/>
          <w:b/>
          <w:bCs/>
          <w:sz w:val="32"/>
          <w:szCs w:val="32"/>
        </w:rPr>
        <w:t>采购人：广东省消防救援总队</w:t>
      </w:r>
    </w:p>
    <w:p>
      <w:pPr>
        <w:spacing w:line="360" w:lineRule="auto"/>
        <w:jc w:val="center"/>
        <w:rPr>
          <w:rFonts w:ascii="宋体" w:hAnsi="宋体"/>
          <w:b/>
          <w:bCs/>
          <w:sz w:val="32"/>
          <w:szCs w:val="32"/>
        </w:rPr>
      </w:pPr>
      <w:r>
        <w:rPr>
          <w:rFonts w:hint="eastAsia" w:ascii="宋体" w:hAnsi="宋体"/>
          <w:b/>
          <w:bCs/>
          <w:sz w:val="32"/>
          <w:szCs w:val="32"/>
        </w:rPr>
        <w:t xml:space="preserve">    2022年11月</w:t>
      </w:r>
    </w:p>
    <w:p>
      <w:pPr>
        <w:jc w:val="center"/>
        <w:rPr>
          <w:rFonts w:ascii="宋体" w:hAnsi="宋体"/>
          <w:b/>
          <w:sz w:val="32"/>
          <w:szCs w:val="32"/>
        </w:rPr>
        <w:sectPr>
          <w:headerReference r:id="rId4" w:type="first"/>
          <w:headerReference r:id="rId3" w:type="default"/>
          <w:footerReference r:id="rId5" w:type="default"/>
          <w:pgSz w:w="11906" w:h="16838"/>
          <w:pgMar w:top="1440" w:right="1416" w:bottom="1440" w:left="1276" w:header="851" w:footer="992" w:gutter="0"/>
          <w:pgNumType w:start="0"/>
          <w:cols w:space="720" w:num="1"/>
          <w:docGrid w:type="lines" w:linePitch="312" w:charSpace="0"/>
        </w:sectPr>
      </w:pPr>
      <w:bookmarkStart w:id="1" w:name="_Toc370744755"/>
    </w:p>
    <w:sdt>
      <w:sdtPr>
        <w:rPr>
          <w:rFonts w:ascii="Times New Roman" w:hAnsi="Times New Roman" w:eastAsia="宋体" w:cs="Times New Roman"/>
          <w:b w:val="0"/>
          <w:bCs w:val="0"/>
          <w:color w:val="auto"/>
          <w:kern w:val="2"/>
          <w:sz w:val="21"/>
          <w:szCs w:val="24"/>
          <w:lang w:val="zh-CN"/>
        </w:rPr>
        <w:id w:val="1485198450"/>
        <w:docPartObj>
          <w:docPartGallery w:val="Table of Contents"/>
          <w:docPartUnique/>
        </w:docPartObj>
      </w:sdtPr>
      <w:sdtEndPr>
        <w:rPr>
          <w:rFonts w:ascii="Times New Roman" w:hAnsi="Times New Roman" w:eastAsia="宋体" w:cs="Times New Roman"/>
          <w:b w:val="0"/>
          <w:bCs w:val="0"/>
          <w:color w:val="auto"/>
          <w:kern w:val="2"/>
          <w:sz w:val="21"/>
          <w:szCs w:val="24"/>
          <w:lang w:val="zh-CN"/>
        </w:rPr>
      </w:sdtEndPr>
      <w:sdtContent>
        <w:p>
          <w:pPr>
            <w:pStyle w:val="118"/>
          </w:pPr>
          <w:r>
            <w:rPr>
              <w:lang w:val="zh-CN"/>
            </w:rPr>
            <w:t>目录</w:t>
          </w:r>
        </w:p>
        <w:p>
          <w:pPr>
            <w:pStyle w:val="25"/>
            <w:tabs>
              <w:tab w:val="right" w:leader="dot" w:pos="8834"/>
            </w:tabs>
            <w:rPr>
              <w:kern w:val="2"/>
              <w:sz w:val="21"/>
            </w:rPr>
          </w:pPr>
          <w:r>
            <w:fldChar w:fldCharType="begin"/>
          </w:r>
          <w:r>
            <w:instrText xml:space="preserve"> TOC \o "1-3" \h \z \u </w:instrText>
          </w:r>
          <w:r>
            <w:fldChar w:fldCharType="separate"/>
          </w:r>
          <w:r>
            <w:fldChar w:fldCharType="begin"/>
          </w:r>
          <w:r>
            <w:instrText xml:space="preserve"> HYPERLINK \l "_Toc119527892" </w:instrText>
          </w:r>
          <w:r>
            <w:fldChar w:fldCharType="separate"/>
          </w:r>
          <w:r>
            <w:rPr>
              <w:rStyle w:val="39"/>
              <w:rFonts w:hint="eastAsia"/>
            </w:rPr>
            <w:t>第一章</w:t>
          </w:r>
          <w:r>
            <w:rPr>
              <w:rStyle w:val="39"/>
            </w:rPr>
            <w:t xml:space="preserve">  </w:t>
          </w:r>
          <w:r>
            <w:rPr>
              <w:rStyle w:val="39"/>
              <w:rFonts w:hint="eastAsia"/>
            </w:rPr>
            <w:t>遴选公告</w:t>
          </w:r>
          <w:r>
            <w:tab/>
          </w:r>
          <w:r>
            <w:fldChar w:fldCharType="begin"/>
          </w:r>
          <w:r>
            <w:instrText xml:space="preserve"> PAGEREF _Toc119527892 \h </w:instrText>
          </w:r>
          <w:r>
            <w:fldChar w:fldCharType="separate"/>
          </w:r>
          <w:r>
            <w:t>2</w:t>
          </w:r>
          <w:r>
            <w:fldChar w:fldCharType="end"/>
          </w:r>
          <w:r>
            <w:fldChar w:fldCharType="end"/>
          </w:r>
        </w:p>
        <w:p>
          <w:pPr>
            <w:pStyle w:val="25"/>
            <w:tabs>
              <w:tab w:val="right" w:leader="dot" w:pos="8834"/>
            </w:tabs>
            <w:rPr>
              <w:kern w:val="2"/>
              <w:sz w:val="21"/>
            </w:rPr>
          </w:pPr>
          <w:r>
            <w:fldChar w:fldCharType="begin"/>
          </w:r>
          <w:r>
            <w:instrText xml:space="preserve"> HYPERLINK \l "_Toc119527893" </w:instrText>
          </w:r>
          <w:r>
            <w:fldChar w:fldCharType="separate"/>
          </w:r>
          <w:r>
            <w:rPr>
              <w:rStyle w:val="39"/>
              <w:rFonts w:hint="eastAsia"/>
            </w:rPr>
            <w:t>第二章</w:t>
          </w:r>
          <w:r>
            <w:rPr>
              <w:rStyle w:val="39"/>
            </w:rPr>
            <w:t xml:space="preserve">  </w:t>
          </w:r>
          <w:r>
            <w:rPr>
              <w:rStyle w:val="39"/>
              <w:rFonts w:hint="eastAsia"/>
            </w:rPr>
            <w:t>参评须知</w:t>
          </w:r>
          <w:r>
            <w:tab/>
          </w:r>
          <w:r>
            <w:fldChar w:fldCharType="begin"/>
          </w:r>
          <w:r>
            <w:instrText xml:space="preserve"> PAGEREF _Toc119527893 \h </w:instrText>
          </w:r>
          <w:r>
            <w:fldChar w:fldCharType="separate"/>
          </w:r>
          <w:r>
            <w:t>5</w:t>
          </w:r>
          <w:r>
            <w:fldChar w:fldCharType="end"/>
          </w:r>
          <w:r>
            <w:fldChar w:fldCharType="end"/>
          </w:r>
        </w:p>
        <w:p>
          <w:pPr>
            <w:pStyle w:val="25"/>
            <w:tabs>
              <w:tab w:val="right" w:leader="dot" w:pos="8834"/>
            </w:tabs>
            <w:rPr>
              <w:kern w:val="2"/>
              <w:sz w:val="21"/>
            </w:rPr>
          </w:pPr>
          <w:r>
            <w:fldChar w:fldCharType="begin"/>
          </w:r>
          <w:r>
            <w:instrText xml:space="preserve"> HYPERLINK \l "_Toc119527894" </w:instrText>
          </w:r>
          <w:r>
            <w:fldChar w:fldCharType="separate"/>
          </w:r>
          <w:r>
            <w:rPr>
              <w:rStyle w:val="39"/>
              <w:rFonts w:hint="eastAsia"/>
            </w:rPr>
            <w:t>第三章</w:t>
          </w:r>
          <w:r>
            <w:rPr>
              <w:rStyle w:val="39"/>
            </w:rPr>
            <w:t xml:space="preserve">  </w:t>
          </w:r>
          <w:r>
            <w:rPr>
              <w:rStyle w:val="39"/>
              <w:rFonts w:hint="eastAsia"/>
            </w:rPr>
            <w:t>采购需求</w:t>
          </w:r>
          <w:r>
            <w:tab/>
          </w:r>
          <w:r>
            <w:fldChar w:fldCharType="begin"/>
          </w:r>
          <w:r>
            <w:instrText xml:space="preserve"> PAGEREF _Toc119527894 \h </w:instrText>
          </w:r>
          <w:r>
            <w:fldChar w:fldCharType="separate"/>
          </w:r>
          <w:r>
            <w:t>6</w:t>
          </w:r>
          <w:r>
            <w:fldChar w:fldCharType="end"/>
          </w:r>
          <w:r>
            <w:fldChar w:fldCharType="end"/>
          </w:r>
        </w:p>
        <w:p>
          <w:pPr>
            <w:pStyle w:val="26"/>
            <w:tabs>
              <w:tab w:val="left" w:pos="1050"/>
              <w:tab w:val="right" w:leader="dot" w:pos="8834"/>
            </w:tabs>
            <w:rPr>
              <w:rFonts w:asciiTheme="minorHAnsi" w:hAnsiTheme="minorHAnsi" w:eastAsiaTheme="minorEastAsia" w:cstheme="minorBidi"/>
              <w:smallCaps w:val="0"/>
              <w:sz w:val="22"/>
              <w:szCs w:val="22"/>
            </w:rPr>
          </w:pPr>
          <w:r>
            <w:fldChar w:fldCharType="begin"/>
          </w:r>
          <w:r>
            <w:instrText xml:space="preserve"> HYPERLINK \l "_Toc119527895" </w:instrText>
          </w:r>
          <w:r>
            <w:fldChar w:fldCharType="separate"/>
          </w:r>
          <w:r>
            <w:rPr>
              <w:rStyle w:val="39"/>
              <w:rFonts w:hint="eastAsia"/>
              <w:sz w:val="22"/>
              <w:szCs w:val="22"/>
            </w:rPr>
            <w:t>一、</w:t>
          </w:r>
          <w:r>
            <w:rPr>
              <w:rFonts w:asciiTheme="minorHAnsi" w:hAnsiTheme="minorHAnsi" w:eastAsiaTheme="minorEastAsia" w:cstheme="minorBidi"/>
              <w:smallCaps w:val="0"/>
              <w:sz w:val="22"/>
              <w:szCs w:val="22"/>
            </w:rPr>
            <w:tab/>
          </w:r>
          <w:r>
            <w:rPr>
              <w:rStyle w:val="39"/>
              <w:rFonts w:hint="eastAsia"/>
              <w:sz w:val="22"/>
              <w:szCs w:val="22"/>
            </w:rPr>
            <w:t>基本要求</w:t>
          </w:r>
          <w:r>
            <w:rPr>
              <w:sz w:val="22"/>
              <w:szCs w:val="22"/>
            </w:rPr>
            <w:tab/>
          </w:r>
          <w:r>
            <w:rPr>
              <w:sz w:val="22"/>
              <w:szCs w:val="22"/>
            </w:rPr>
            <w:fldChar w:fldCharType="begin"/>
          </w:r>
          <w:r>
            <w:rPr>
              <w:sz w:val="22"/>
              <w:szCs w:val="22"/>
            </w:rPr>
            <w:instrText xml:space="preserve"> PAGEREF _Toc119527895 \h </w:instrText>
          </w:r>
          <w:r>
            <w:rPr>
              <w:sz w:val="22"/>
              <w:szCs w:val="22"/>
            </w:rPr>
            <w:fldChar w:fldCharType="separate"/>
          </w:r>
          <w:r>
            <w:rPr>
              <w:sz w:val="22"/>
              <w:szCs w:val="22"/>
            </w:rPr>
            <w:t>6</w:t>
          </w:r>
          <w:r>
            <w:rPr>
              <w:sz w:val="22"/>
              <w:szCs w:val="22"/>
            </w:rPr>
            <w:fldChar w:fldCharType="end"/>
          </w:r>
          <w:r>
            <w:rPr>
              <w:sz w:val="22"/>
              <w:szCs w:val="22"/>
            </w:rPr>
            <w:fldChar w:fldCharType="end"/>
          </w:r>
        </w:p>
        <w:p>
          <w:pPr>
            <w:pStyle w:val="26"/>
            <w:tabs>
              <w:tab w:val="left" w:pos="1050"/>
              <w:tab w:val="right" w:leader="dot" w:pos="8834"/>
            </w:tabs>
            <w:rPr>
              <w:rFonts w:asciiTheme="minorHAnsi" w:hAnsiTheme="minorHAnsi" w:eastAsiaTheme="minorEastAsia" w:cstheme="minorBidi"/>
              <w:smallCaps w:val="0"/>
              <w:sz w:val="22"/>
              <w:szCs w:val="22"/>
            </w:rPr>
          </w:pPr>
          <w:r>
            <w:fldChar w:fldCharType="begin"/>
          </w:r>
          <w:r>
            <w:instrText xml:space="preserve"> HYPERLINK \l "_Toc119527896" </w:instrText>
          </w:r>
          <w:r>
            <w:fldChar w:fldCharType="separate"/>
          </w:r>
          <w:r>
            <w:rPr>
              <w:rStyle w:val="39"/>
              <w:rFonts w:hint="eastAsia" w:ascii="宋体" w:hAnsi="宋体" w:cs="宋体"/>
              <w:sz w:val="22"/>
              <w:szCs w:val="22"/>
            </w:rPr>
            <w:t>二、</w:t>
          </w:r>
          <w:r>
            <w:rPr>
              <w:rFonts w:asciiTheme="minorHAnsi" w:hAnsiTheme="minorHAnsi" w:eastAsiaTheme="minorEastAsia" w:cstheme="minorBidi"/>
              <w:smallCaps w:val="0"/>
              <w:sz w:val="22"/>
              <w:szCs w:val="22"/>
            </w:rPr>
            <w:tab/>
          </w:r>
          <w:r>
            <w:rPr>
              <w:rStyle w:val="39"/>
              <w:rFonts w:hint="eastAsia"/>
              <w:sz w:val="22"/>
              <w:szCs w:val="22"/>
            </w:rPr>
            <w:t>参评报价说明</w:t>
          </w:r>
          <w:r>
            <w:rPr>
              <w:sz w:val="22"/>
              <w:szCs w:val="22"/>
            </w:rPr>
            <w:tab/>
          </w:r>
          <w:r>
            <w:rPr>
              <w:sz w:val="22"/>
              <w:szCs w:val="22"/>
            </w:rPr>
            <w:fldChar w:fldCharType="begin"/>
          </w:r>
          <w:r>
            <w:rPr>
              <w:sz w:val="22"/>
              <w:szCs w:val="22"/>
            </w:rPr>
            <w:instrText xml:space="preserve"> PAGEREF _Toc119527896 \h </w:instrText>
          </w:r>
          <w:r>
            <w:rPr>
              <w:sz w:val="22"/>
              <w:szCs w:val="22"/>
            </w:rPr>
            <w:fldChar w:fldCharType="separate"/>
          </w:r>
          <w:r>
            <w:rPr>
              <w:sz w:val="22"/>
              <w:szCs w:val="22"/>
            </w:rPr>
            <w:t>6</w:t>
          </w:r>
          <w:r>
            <w:rPr>
              <w:sz w:val="22"/>
              <w:szCs w:val="22"/>
            </w:rPr>
            <w:fldChar w:fldCharType="end"/>
          </w:r>
          <w:r>
            <w:rPr>
              <w:sz w:val="22"/>
              <w:szCs w:val="22"/>
            </w:rPr>
            <w:fldChar w:fldCharType="end"/>
          </w:r>
        </w:p>
        <w:p>
          <w:pPr>
            <w:pStyle w:val="26"/>
            <w:tabs>
              <w:tab w:val="left" w:pos="1050"/>
              <w:tab w:val="right" w:leader="dot" w:pos="8834"/>
            </w:tabs>
            <w:rPr>
              <w:rFonts w:asciiTheme="minorHAnsi" w:hAnsiTheme="minorHAnsi" w:eastAsiaTheme="minorEastAsia" w:cstheme="minorBidi"/>
              <w:smallCaps w:val="0"/>
              <w:sz w:val="22"/>
              <w:szCs w:val="22"/>
            </w:rPr>
          </w:pPr>
          <w:r>
            <w:fldChar w:fldCharType="begin"/>
          </w:r>
          <w:r>
            <w:instrText xml:space="preserve"> HYPERLINK \l "_Toc119527897" </w:instrText>
          </w:r>
          <w:r>
            <w:fldChar w:fldCharType="separate"/>
          </w:r>
          <w:r>
            <w:rPr>
              <w:rStyle w:val="39"/>
              <w:rFonts w:hint="eastAsia" w:ascii="宋体" w:hAnsi="宋体" w:cs="宋体"/>
              <w:sz w:val="22"/>
              <w:szCs w:val="22"/>
            </w:rPr>
            <w:t>三、</w:t>
          </w:r>
          <w:r>
            <w:rPr>
              <w:rFonts w:asciiTheme="minorHAnsi" w:hAnsiTheme="minorHAnsi" w:eastAsiaTheme="minorEastAsia" w:cstheme="minorBidi"/>
              <w:smallCaps w:val="0"/>
              <w:sz w:val="22"/>
              <w:szCs w:val="22"/>
            </w:rPr>
            <w:tab/>
          </w:r>
          <w:r>
            <w:rPr>
              <w:rStyle w:val="39"/>
              <w:rFonts w:hint="eastAsia"/>
              <w:sz w:val="22"/>
              <w:szCs w:val="22"/>
            </w:rPr>
            <w:t>服务要求</w:t>
          </w:r>
          <w:r>
            <w:rPr>
              <w:sz w:val="22"/>
              <w:szCs w:val="22"/>
            </w:rPr>
            <w:tab/>
          </w:r>
          <w:r>
            <w:rPr>
              <w:sz w:val="22"/>
              <w:szCs w:val="22"/>
            </w:rPr>
            <w:fldChar w:fldCharType="begin"/>
          </w:r>
          <w:r>
            <w:rPr>
              <w:sz w:val="22"/>
              <w:szCs w:val="22"/>
            </w:rPr>
            <w:instrText xml:space="preserve"> PAGEREF _Toc119527897 \h </w:instrText>
          </w:r>
          <w:r>
            <w:rPr>
              <w:sz w:val="22"/>
              <w:szCs w:val="22"/>
            </w:rPr>
            <w:fldChar w:fldCharType="separate"/>
          </w:r>
          <w:r>
            <w:rPr>
              <w:sz w:val="22"/>
              <w:szCs w:val="22"/>
            </w:rPr>
            <w:t>7</w:t>
          </w:r>
          <w:r>
            <w:rPr>
              <w:sz w:val="22"/>
              <w:szCs w:val="22"/>
            </w:rPr>
            <w:fldChar w:fldCharType="end"/>
          </w:r>
          <w:r>
            <w:rPr>
              <w:sz w:val="22"/>
              <w:szCs w:val="22"/>
            </w:rPr>
            <w:fldChar w:fldCharType="end"/>
          </w:r>
        </w:p>
        <w:p>
          <w:pPr>
            <w:pStyle w:val="19"/>
            <w:tabs>
              <w:tab w:val="right" w:leader="dot" w:pos="8834"/>
            </w:tabs>
            <w:rPr>
              <w:kern w:val="2"/>
              <w:sz w:val="21"/>
            </w:rPr>
          </w:pPr>
          <w:r>
            <w:fldChar w:fldCharType="begin"/>
          </w:r>
          <w:r>
            <w:instrText xml:space="preserve"> HYPERLINK \l "_Toc119527898" </w:instrText>
          </w:r>
          <w:r>
            <w:fldChar w:fldCharType="separate"/>
          </w:r>
          <w:r>
            <w:rPr>
              <w:rStyle w:val="39"/>
            </w:rPr>
            <w:t>3.1</w:t>
          </w:r>
          <w:r>
            <w:rPr>
              <w:rStyle w:val="39"/>
              <w:rFonts w:hint="eastAsia"/>
              <w:lang w:eastAsia="zh-Hans"/>
            </w:rPr>
            <w:t>项目概况</w:t>
          </w:r>
          <w:r>
            <w:tab/>
          </w:r>
          <w:r>
            <w:fldChar w:fldCharType="begin"/>
          </w:r>
          <w:r>
            <w:instrText xml:space="preserve"> PAGEREF _Toc119527898 \h </w:instrText>
          </w:r>
          <w:r>
            <w:fldChar w:fldCharType="separate"/>
          </w:r>
          <w:r>
            <w:t>7</w:t>
          </w:r>
          <w:r>
            <w:fldChar w:fldCharType="end"/>
          </w:r>
          <w:r>
            <w:fldChar w:fldCharType="end"/>
          </w:r>
        </w:p>
        <w:p>
          <w:pPr>
            <w:pStyle w:val="19"/>
            <w:tabs>
              <w:tab w:val="right" w:leader="dot" w:pos="8834"/>
            </w:tabs>
            <w:rPr>
              <w:kern w:val="2"/>
              <w:sz w:val="21"/>
            </w:rPr>
          </w:pPr>
          <w:r>
            <w:fldChar w:fldCharType="begin"/>
          </w:r>
          <w:r>
            <w:instrText xml:space="preserve"> HYPERLINK \l "_Toc119527899" </w:instrText>
          </w:r>
          <w:r>
            <w:fldChar w:fldCharType="separate"/>
          </w:r>
          <w:r>
            <w:rPr>
              <w:rStyle w:val="39"/>
            </w:rPr>
            <w:t>3.2</w:t>
          </w:r>
          <w:r>
            <w:rPr>
              <w:rStyle w:val="39"/>
              <w:rFonts w:hint="eastAsia"/>
            </w:rPr>
            <w:t>服务内容</w:t>
          </w:r>
          <w:r>
            <w:tab/>
          </w:r>
          <w:r>
            <w:fldChar w:fldCharType="begin"/>
          </w:r>
          <w:r>
            <w:instrText xml:space="preserve"> PAGEREF _Toc119527899 \h </w:instrText>
          </w:r>
          <w:r>
            <w:fldChar w:fldCharType="separate"/>
          </w:r>
          <w:r>
            <w:t>7</w:t>
          </w:r>
          <w:r>
            <w:fldChar w:fldCharType="end"/>
          </w:r>
          <w:r>
            <w:fldChar w:fldCharType="end"/>
          </w:r>
        </w:p>
        <w:p>
          <w:pPr>
            <w:pStyle w:val="19"/>
            <w:tabs>
              <w:tab w:val="right" w:leader="dot" w:pos="8834"/>
            </w:tabs>
            <w:rPr>
              <w:kern w:val="2"/>
              <w:sz w:val="21"/>
            </w:rPr>
          </w:pPr>
          <w:r>
            <w:fldChar w:fldCharType="begin"/>
          </w:r>
          <w:r>
            <w:instrText xml:space="preserve"> HYPERLINK \l "_Toc119527900" </w:instrText>
          </w:r>
          <w:r>
            <w:fldChar w:fldCharType="separate"/>
          </w:r>
          <w:r>
            <w:rPr>
              <w:rStyle w:val="39"/>
            </w:rPr>
            <w:t>3.3</w:t>
          </w:r>
          <w:r>
            <w:rPr>
              <w:rStyle w:val="39"/>
              <w:rFonts w:hint="eastAsia"/>
            </w:rPr>
            <w:t>测评成果要求</w:t>
          </w:r>
          <w:r>
            <w:tab/>
          </w:r>
          <w:r>
            <w:fldChar w:fldCharType="begin"/>
          </w:r>
          <w:r>
            <w:instrText xml:space="preserve"> PAGEREF _Toc119527900 \h </w:instrText>
          </w:r>
          <w:r>
            <w:fldChar w:fldCharType="separate"/>
          </w:r>
          <w:r>
            <w:t>8</w:t>
          </w:r>
          <w:r>
            <w:fldChar w:fldCharType="end"/>
          </w:r>
          <w:r>
            <w:fldChar w:fldCharType="end"/>
          </w:r>
        </w:p>
        <w:p>
          <w:pPr>
            <w:pStyle w:val="19"/>
            <w:tabs>
              <w:tab w:val="right" w:leader="dot" w:pos="8834"/>
            </w:tabs>
            <w:rPr>
              <w:kern w:val="2"/>
              <w:sz w:val="21"/>
            </w:rPr>
          </w:pPr>
          <w:r>
            <w:fldChar w:fldCharType="begin"/>
          </w:r>
          <w:r>
            <w:instrText xml:space="preserve"> HYPERLINK \l "_Toc119527901" </w:instrText>
          </w:r>
          <w:r>
            <w:fldChar w:fldCharType="separate"/>
          </w:r>
          <w:r>
            <w:rPr>
              <w:rStyle w:val="39"/>
            </w:rPr>
            <w:t>3.4</w:t>
          </w:r>
          <w:r>
            <w:rPr>
              <w:rStyle w:val="39"/>
              <w:rFonts w:hint="eastAsia"/>
            </w:rPr>
            <w:t>技术要求</w:t>
          </w:r>
          <w:r>
            <w:tab/>
          </w:r>
          <w:r>
            <w:fldChar w:fldCharType="begin"/>
          </w:r>
          <w:r>
            <w:instrText xml:space="preserve"> PAGEREF _Toc119527901 \h </w:instrText>
          </w:r>
          <w:r>
            <w:fldChar w:fldCharType="separate"/>
          </w:r>
          <w:r>
            <w:t>8</w:t>
          </w:r>
          <w:r>
            <w:fldChar w:fldCharType="end"/>
          </w:r>
          <w:r>
            <w:fldChar w:fldCharType="end"/>
          </w:r>
        </w:p>
        <w:p>
          <w:pPr>
            <w:pStyle w:val="19"/>
            <w:tabs>
              <w:tab w:val="right" w:leader="dot" w:pos="8834"/>
            </w:tabs>
            <w:rPr>
              <w:kern w:val="2"/>
              <w:sz w:val="21"/>
            </w:rPr>
          </w:pPr>
          <w:r>
            <w:fldChar w:fldCharType="begin"/>
          </w:r>
          <w:r>
            <w:instrText xml:space="preserve"> HYPERLINK \l "_Toc119527902" </w:instrText>
          </w:r>
          <w:r>
            <w:fldChar w:fldCharType="separate"/>
          </w:r>
          <w:r>
            <w:rPr>
              <w:rStyle w:val="39"/>
              <w:rFonts w:hint="eastAsia"/>
            </w:rPr>
            <w:t>四、付款方式</w:t>
          </w:r>
          <w:r>
            <w:tab/>
          </w:r>
          <w:r>
            <w:fldChar w:fldCharType="begin"/>
          </w:r>
          <w:r>
            <w:instrText xml:space="preserve"> PAGEREF _Toc119527902 \h </w:instrText>
          </w:r>
          <w:r>
            <w:fldChar w:fldCharType="separate"/>
          </w:r>
          <w:r>
            <w:t>8</w:t>
          </w:r>
          <w:r>
            <w:fldChar w:fldCharType="end"/>
          </w:r>
          <w:r>
            <w:fldChar w:fldCharType="end"/>
          </w:r>
        </w:p>
        <w:p>
          <w:pPr>
            <w:pStyle w:val="25"/>
            <w:tabs>
              <w:tab w:val="right" w:leader="dot" w:pos="8834"/>
            </w:tabs>
            <w:rPr>
              <w:kern w:val="2"/>
              <w:sz w:val="21"/>
            </w:rPr>
          </w:pPr>
          <w:r>
            <w:fldChar w:fldCharType="begin"/>
          </w:r>
          <w:r>
            <w:instrText xml:space="preserve"> HYPERLINK \l "_Toc119527903" </w:instrText>
          </w:r>
          <w:r>
            <w:fldChar w:fldCharType="separate"/>
          </w:r>
          <w:r>
            <w:rPr>
              <w:rStyle w:val="39"/>
              <w:rFonts w:hint="eastAsia"/>
            </w:rPr>
            <w:t>第四章</w:t>
          </w:r>
          <w:r>
            <w:rPr>
              <w:rStyle w:val="39"/>
            </w:rPr>
            <w:t xml:space="preserve">  </w:t>
          </w:r>
          <w:r>
            <w:rPr>
              <w:rStyle w:val="39"/>
              <w:rFonts w:hint="eastAsia"/>
            </w:rPr>
            <w:t>评审办法</w:t>
          </w:r>
          <w:r>
            <w:tab/>
          </w:r>
          <w:r>
            <w:fldChar w:fldCharType="begin"/>
          </w:r>
          <w:r>
            <w:instrText xml:space="preserve"> PAGEREF _Toc119527903 \h </w:instrText>
          </w:r>
          <w:r>
            <w:fldChar w:fldCharType="separate"/>
          </w:r>
          <w:r>
            <w:t>9</w:t>
          </w:r>
          <w:r>
            <w:fldChar w:fldCharType="end"/>
          </w:r>
          <w:r>
            <w:fldChar w:fldCharType="end"/>
          </w:r>
        </w:p>
        <w:p>
          <w:pPr>
            <w:pStyle w:val="25"/>
            <w:tabs>
              <w:tab w:val="right" w:leader="dot" w:pos="8834"/>
            </w:tabs>
            <w:rPr>
              <w:kern w:val="2"/>
              <w:sz w:val="21"/>
            </w:rPr>
          </w:pPr>
          <w:r>
            <w:fldChar w:fldCharType="begin"/>
          </w:r>
          <w:r>
            <w:instrText xml:space="preserve"> HYPERLINK \l "_Toc119527904" </w:instrText>
          </w:r>
          <w:r>
            <w:fldChar w:fldCharType="separate"/>
          </w:r>
          <w:r>
            <w:rPr>
              <w:rStyle w:val="39"/>
              <w:rFonts w:hint="eastAsia"/>
            </w:rPr>
            <w:t>第五章</w:t>
          </w:r>
          <w:r>
            <w:rPr>
              <w:rStyle w:val="39"/>
            </w:rPr>
            <w:t xml:space="preserve">  </w:t>
          </w:r>
          <w:r>
            <w:rPr>
              <w:rStyle w:val="39"/>
              <w:rFonts w:hint="eastAsia"/>
            </w:rPr>
            <w:t>合同格式</w:t>
          </w:r>
          <w:r>
            <w:tab/>
          </w:r>
          <w:r>
            <w:fldChar w:fldCharType="begin"/>
          </w:r>
          <w:r>
            <w:instrText xml:space="preserve"> PAGEREF _Toc119527904 \h </w:instrText>
          </w:r>
          <w:r>
            <w:fldChar w:fldCharType="separate"/>
          </w:r>
          <w:r>
            <w:t>22</w:t>
          </w:r>
          <w:r>
            <w:fldChar w:fldCharType="end"/>
          </w:r>
          <w:r>
            <w:fldChar w:fldCharType="end"/>
          </w:r>
        </w:p>
        <w:p>
          <w:pPr>
            <w:pStyle w:val="25"/>
            <w:tabs>
              <w:tab w:val="right" w:leader="dot" w:pos="8834"/>
            </w:tabs>
            <w:rPr>
              <w:kern w:val="2"/>
              <w:sz w:val="21"/>
            </w:rPr>
          </w:pPr>
          <w:r>
            <w:fldChar w:fldCharType="begin"/>
          </w:r>
          <w:r>
            <w:instrText xml:space="preserve"> HYPERLINK \l "_Toc119527905" </w:instrText>
          </w:r>
          <w:r>
            <w:fldChar w:fldCharType="separate"/>
          </w:r>
          <w:r>
            <w:rPr>
              <w:rStyle w:val="39"/>
              <w:rFonts w:hint="eastAsia"/>
            </w:rPr>
            <w:t>第六章</w:t>
          </w:r>
          <w:r>
            <w:rPr>
              <w:rStyle w:val="39"/>
            </w:rPr>
            <w:t xml:space="preserve">  </w:t>
          </w:r>
          <w:r>
            <w:rPr>
              <w:rStyle w:val="39"/>
              <w:rFonts w:hint="eastAsia"/>
            </w:rPr>
            <w:t>参评文件格式</w:t>
          </w:r>
          <w:r>
            <w:tab/>
          </w:r>
          <w:r>
            <w:fldChar w:fldCharType="begin"/>
          </w:r>
          <w:r>
            <w:instrText xml:space="preserve"> PAGEREF _Toc119527905 \h </w:instrText>
          </w:r>
          <w:r>
            <w:fldChar w:fldCharType="separate"/>
          </w:r>
          <w:r>
            <w:t>19</w:t>
          </w:r>
          <w:r>
            <w:fldChar w:fldCharType="end"/>
          </w:r>
          <w:r>
            <w:fldChar w:fldCharType="end"/>
          </w:r>
        </w:p>
        <w:p>
          <w:r>
            <w:rPr>
              <w:b/>
              <w:bCs/>
              <w:lang w:val="zh-CN"/>
            </w:rPr>
            <w:fldChar w:fldCharType="end"/>
          </w:r>
        </w:p>
      </w:sdtContent>
    </w:sdt>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4"/>
        <w:numPr>
          <w:ilvl w:val="0"/>
          <w:numId w:val="0"/>
        </w:numPr>
        <w:ind w:left="854" w:firstLine="422"/>
      </w:pPr>
      <w:bookmarkStart w:id="2" w:name="_Toc119527892"/>
      <w:r>
        <w:rPr>
          <w:rFonts w:hint="eastAsia"/>
        </w:rPr>
        <w:t xml:space="preserve">第一章  </w:t>
      </w:r>
      <w:bookmarkEnd w:id="1"/>
      <w:r>
        <w:rPr>
          <w:rFonts w:hint="eastAsia"/>
        </w:rPr>
        <w:t>遴选公告</w:t>
      </w:r>
      <w:bookmarkEnd w:id="2"/>
    </w:p>
    <w:p>
      <w:pPr>
        <w:jc w:val="center"/>
        <w:rPr>
          <w:szCs w:val="21"/>
        </w:rPr>
      </w:pPr>
    </w:p>
    <w:p>
      <w:pPr>
        <w:spacing w:line="360" w:lineRule="auto"/>
        <w:ind w:firstLine="422" w:firstLineChars="200"/>
        <w:rPr>
          <w:b/>
          <w:szCs w:val="22"/>
        </w:rPr>
      </w:pPr>
      <w:r>
        <w:rPr>
          <w:rFonts w:hint="eastAsia"/>
          <w:b/>
          <w:szCs w:val="22"/>
        </w:rPr>
        <w:t>一、项目基本情况</w:t>
      </w:r>
    </w:p>
    <w:p>
      <w:pPr>
        <w:spacing w:line="360" w:lineRule="auto"/>
        <w:ind w:firstLine="420" w:firstLineChars="200"/>
        <w:rPr>
          <w:color w:val="auto"/>
          <w:szCs w:val="22"/>
        </w:rPr>
      </w:pPr>
      <w:r>
        <w:rPr>
          <w:rFonts w:hint="eastAsia"/>
          <w:color w:val="auto"/>
          <w:szCs w:val="22"/>
        </w:rPr>
        <w:t>项目名称：</w:t>
      </w:r>
      <w:r>
        <w:rPr>
          <w:color w:val="auto"/>
          <w:szCs w:val="22"/>
        </w:rPr>
        <w:t>广东省消防救援总队信息安全等级保护测评服务（2022年）</w:t>
      </w:r>
    </w:p>
    <w:p>
      <w:pPr>
        <w:tabs>
          <w:tab w:val="left" w:pos="2552"/>
        </w:tabs>
        <w:spacing w:line="276" w:lineRule="auto"/>
        <w:ind w:firstLine="420" w:firstLineChars="200"/>
        <w:rPr>
          <w:rFonts w:ascii="宋体" w:hAnsi="宋体"/>
          <w:color w:val="auto"/>
          <w:szCs w:val="21"/>
        </w:rPr>
      </w:pPr>
      <w:r>
        <w:rPr>
          <w:rFonts w:hint="eastAsia" w:ascii="宋体" w:hAnsi="宋体"/>
          <w:color w:val="auto"/>
          <w:szCs w:val="21"/>
        </w:rPr>
        <w:t>项目编号：ZDXXH2022001</w:t>
      </w:r>
    </w:p>
    <w:p>
      <w:pPr>
        <w:spacing w:line="360" w:lineRule="auto"/>
        <w:ind w:firstLine="420" w:firstLineChars="200"/>
        <w:rPr>
          <w:szCs w:val="22"/>
        </w:rPr>
      </w:pPr>
      <w:r>
        <w:rPr>
          <w:rFonts w:hint="eastAsia"/>
          <w:szCs w:val="22"/>
        </w:rPr>
        <w:t>预算金额：人民币</w:t>
      </w:r>
      <w:r>
        <w:rPr>
          <w:rFonts w:hint="eastAsia"/>
          <w:szCs w:val="22"/>
          <w:lang w:eastAsia="zh-Hans"/>
        </w:rPr>
        <w:t>肆拾捌</w:t>
      </w:r>
      <w:r>
        <w:rPr>
          <w:rFonts w:hint="eastAsia"/>
          <w:szCs w:val="22"/>
        </w:rPr>
        <w:t>万元整（小写：¥</w:t>
      </w:r>
      <w:r>
        <w:rPr>
          <w:szCs w:val="22"/>
        </w:rPr>
        <w:t>480,000.00</w:t>
      </w:r>
      <w:r>
        <w:rPr>
          <w:rFonts w:hint="eastAsia"/>
          <w:szCs w:val="22"/>
        </w:rPr>
        <w:t>）(含税)</w:t>
      </w:r>
    </w:p>
    <w:p>
      <w:pPr>
        <w:spacing w:line="360" w:lineRule="auto"/>
        <w:ind w:firstLine="420" w:firstLineChars="200"/>
        <w:rPr>
          <w:szCs w:val="22"/>
        </w:rPr>
      </w:pPr>
      <w:r>
        <w:rPr>
          <w:rFonts w:hint="eastAsia"/>
          <w:szCs w:val="22"/>
        </w:rPr>
        <w:t>最高限价：人民币</w:t>
      </w:r>
      <w:r>
        <w:rPr>
          <w:rFonts w:hint="eastAsia"/>
          <w:szCs w:val="22"/>
          <w:lang w:eastAsia="zh-Hans"/>
        </w:rPr>
        <w:t>肆</w:t>
      </w:r>
      <w:r>
        <w:rPr>
          <w:rFonts w:hint="eastAsia"/>
          <w:szCs w:val="22"/>
        </w:rPr>
        <w:t>拾捌万元整（小写：¥</w:t>
      </w:r>
      <w:r>
        <w:rPr>
          <w:szCs w:val="22"/>
        </w:rPr>
        <w:t>480,000.00</w:t>
      </w:r>
      <w:r>
        <w:rPr>
          <w:rFonts w:hint="eastAsia"/>
          <w:szCs w:val="22"/>
        </w:rPr>
        <w:t>）（含税）</w:t>
      </w:r>
    </w:p>
    <w:p>
      <w:pPr>
        <w:spacing w:line="360" w:lineRule="auto"/>
        <w:ind w:firstLine="420" w:firstLineChars="200"/>
        <w:rPr>
          <w:szCs w:val="22"/>
        </w:rPr>
      </w:pPr>
      <w:r>
        <w:rPr>
          <w:rFonts w:hint="eastAsia"/>
          <w:szCs w:val="22"/>
        </w:rPr>
        <w:t>采购需求（ 包括但不限于采购的名称、数量、简要技术需求或服务要求等 ）：确定一家供应商，为采购人提供</w:t>
      </w:r>
      <w:r>
        <w:rPr>
          <w:rFonts w:hint="eastAsia"/>
          <w:szCs w:val="22"/>
          <w:lang w:eastAsia="zh-Hans"/>
        </w:rPr>
        <w:t>网络安全等级保护测评服务</w:t>
      </w:r>
      <w:r>
        <w:rPr>
          <w:rFonts w:hint="eastAsia"/>
          <w:szCs w:val="22"/>
        </w:rPr>
        <w:t>。</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2446"/>
        <w:gridCol w:w="4039"/>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shd w:val="clear" w:color="auto" w:fill="9BBB59"/>
            <w:vAlign w:val="center"/>
          </w:tcPr>
          <w:p>
            <w:pPr>
              <w:pStyle w:val="26"/>
              <w:ind w:left="0"/>
              <w:jc w:val="center"/>
              <w:rPr>
                <w:rFonts w:ascii="仿宋" w:hAnsi="仿宋" w:eastAsia="仿宋" w:cs="仿宋"/>
                <w:b/>
                <w:kern w:val="0"/>
                <w:lang w:eastAsia="zh-Hans"/>
              </w:rPr>
            </w:pPr>
            <w:r>
              <w:rPr>
                <w:rFonts w:hint="eastAsia" w:ascii="仿宋" w:hAnsi="仿宋" w:eastAsia="仿宋" w:cs="仿宋"/>
                <w:b/>
                <w:kern w:val="0"/>
                <w:lang w:eastAsia="zh-Hans"/>
              </w:rPr>
              <w:t>序号</w:t>
            </w:r>
          </w:p>
        </w:tc>
        <w:tc>
          <w:tcPr>
            <w:tcW w:w="2446" w:type="dxa"/>
            <w:shd w:val="clear" w:color="auto" w:fill="9BBB59"/>
            <w:vAlign w:val="center"/>
          </w:tcPr>
          <w:p>
            <w:pPr>
              <w:pStyle w:val="26"/>
              <w:jc w:val="center"/>
              <w:rPr>
                <w:rFonts w:ascii="仿宋" w:hAnsi="仿宋" w:eastAsia="仿宋" w:cs="仿宋"/>
                <w:b/>
                <w:kern w:val="0"/>
                <w:lang w:eastAsia="zh-Hans"/>
              </w:rPr>
            </w:pPr>
            <w:r>
              <w:rPr>
                <w:rFonts w:hint="eastAsia" w:ascii="仿宋" w:hAnsi="仿宋" w:eastAsia="仿宋" w:cs="仿宋"/>
                <w:b/>
                <w:kern w:val="0"/>
                <w:lang w:eastAsia="zh-Hans"/>
              </w:rPr>
              <w:t>服务对象</w:t>
            </w:r>
          </w:p>
        </w:tc>
        <w:tc>
          <w:tcPr>
            <w:tcW w:w="4039" w:type="dxa"/>
            <w:shd w:val="clear" w:color="auto" w:fill="9BBB59"/>
            <w:vAlign w:val="center"/>
          </w:tcPr>
          <w:p>
            <w:pPr>
              <w:pStyle w:val="26"/>
              <w:jc w:val="center"/>
              <w:rPr>
                <w:rFonts w:ascii="仿宋" w:hAnsi="仿宋" w:eastAsia="仿宋" w:cs="仿宋"/>
                <w:b/>
                <w:kern w:val="0"/>
                <w:lang w:eastAsia="zh-Hans"/>
              </w:rPr>
            </w:pPr>
            <w:r>
              <w:rPr>
                <w:rFonts w:hint="eastAsia" w:ascii="仿宋" w:hAnsi="仿宋" w:eastAsia="仿宋" w:cs="仿宋"/>
                <w:b/>
                <w:kern w:val="0"/>
                <w:lang w:eastAsia="zh-Hans"/>
              </w:rPr>
              <w:t>工作项</w:t>
            </w:r>
          </w:p>
        </w:tc>
        <w:tc>
          <w:tcPr>
            <w:tcW w:w="1745" w:type="dxa"/>
            <w:shd w:val="clear" w:color="auto" w:fill="9BBB59"/>
            <w:vAlign w:val="center"/>
          </w:tcPr>
          <w:p>
            <w:pPr>
              <w:pStyle w:val="26"/>
              <w:jc w:val="center"/>
              <w:rPr>
                <w:rFonts w:ascii="仿宋" w:hAnsi="仿宋" w:eastAsia="仿宋" w:cs="仿宋"/>
                <w:b/>
                <w:kern w:val="0"/>
                <w:lang w:eastAsia="zh-Hans"/>
              </w:rPr>
            </w:pPr>
            <w:r>
              <w:rPr>
                <w:rFonts w:hint="eastAsia" w:ascii="仿宋" w:hAnsi="仿宋" w:eastAsia="仿宋" w:cs="仿宋"/>
                <w:b/>
                <w:kern w:val="0"/>
                <w:lang w:eastAsia="zh-Hans"/>
              </w:rPr>
              <w:t>暂拟定级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vAlign w:val="center"/>
          </w:tcPr>
          <w:p>
            <w:pPr>
              <w:pStyle w:val="26"/>
              <w:jc w:val="center"/>
              <w:rPr>
                <w:rFonts w:ascii="仿宋" w:hAnsi="仿宋" w:eastAsia="仿宋" w:cs="仿宋"/>
                <w:kern w:val="0"/>
                <w:sz w:val="21"/>
                <w:szCs w:val="21"/>
              </w:rPr>
            </w:pPr>
            <w:r>
              <w:rPr>
                <w:rFonts w:hint="eastAsia" w:ascii="仿宋" w:hAnsi="仿宋" w:eastAsia="仿宋" w:cs="仿宋"/>
                <w:kern w:val="0"/>
                <w:sz w:val="21"/>
                <w:szCs w:val="21"/>
              </w:rPr>
              <w:t>1</w:t>
            </w:r>
          </w:p>
        </w:tc>
        <w:tc>
          <w:tcPr>
            <w:tcW w:w="2446" w:type="dxa"/>
            <w:vAlign w:val="center"/>
          </w:tcPr>
          <w:p>
            <w:pPr>
              <w:pStyle w:val="26"/>
              <w:jc w:val="center"/>
              <w:rPr>
                <w:rFonts w:ascii="仿宋" w:hAnsi="仿宋" w:eastAsia="仿宋" w:cs="仿宋"/>
                <w:kern w:val="0"/>
                <w:sz w:val="21"/>
                <w:szCs w:val="21"/>
                <w:lang w:eastAsia="zh-Hans"/>
              </w:rPr>
            </w:pPr>
            <w:r>
              <w:rPr>
                <w:rFonts w:hint="eastAsia" w:ascii="仿宋" w:hAnsi="仿宋" w:eastAsia="仿宋" w:cs="仿宋"/>
                <w:kern w:val="0"/>
                <w:sz w:val="21"/>
                <w:szCs w:val="21"/>
                <w:lang w:eastAsia="zh-Hans"/>
              </w:rPr>
              <w:t>年度目标任务考核系统（办公室）</w:t>
            </w:r>
          </w:p>
        </w:tc>
        <w:tc>
          <w:tcPr>
            <w:tcW w:w="4039" w:type="dxa"/>
            <w:vMerge w:val="restart"/>
            <w:vAlign w:val="center"/>
          </w:tcPr>
          <w:p>
            <w:pPr>
              <w:pStyle w:val="26"/>
              <w:ind w:left="0"/>
              <w:jc w:val="center"/>
              <w:rPr>
                <w:rFonts w:ascii="仿宋" w:hAnsi="仿宋" w:eastAsia="仿宋" w:cs="仿宋"/>
                <w:kern w:val="0"/>
                <w:sz w:val="21"/>
                <w:szCs w:val="21"/>
              </w:rPr>
            </w:pPr>
            <w:r>
              <w:rPr>
                <w:rFonts w:ascii="仿宋" w:hAnsi="仿宋" w:eastAsia="仿宋" w:cs="仿宋"/>
                <w:kern w:val="0"/>
                <w:sz w:val="21"/>
                <w:szCs w:val="21"/>
              </w:rPr>
              <w:t>1、</w:t>
            </w:r>
            <w:r>
              <w:rPr>
                <w:rFonts w:hint="eastAsia" w:ascii="仿宋" w:hAnsi="仿宋" w:eastAsia="仿宋" w:cs="仿宋"/>
                <w:kern w:val="0"/>
                <w:sz w:val="21"/>
                <w:szCs w:val="21"/>
              </w:rPr>
              <w:t>协助完成系统定级备案工作</w:t>
            </w:r>
            <w:r>
              <w:rPr>
                <w:rFonts w:ascii="仿宋" w:hAnsi="仿宋" w:eastAsia="仿宋" w:cs="仿宋"/>
                <w:kern w:val="0"/>
                <w:sz w:val="21"/>
                <w:szCs w:val="21"/>
              </w:rPr>
              <w:t>；</w:t>
            </w:r>
          </w:p>
          <w:p>
            <w:pPr>
              <w:jc w:val="center"/>
              <w:rPr>
                <w:kern w:val="0"/>
                <w:sz w:val="20"/>
              </w:rPr>
            </w:pPr>
            <w:r>
              <w:rPr>
                <w:rFonts w:ascii="仿宋" w:hAnsi="仿宋" w:eastAsia="仿宋" w:cs="仿宋"/>
                <w:kern w:val="0"/>
                <w:sz w:val="21"/>
                <w:szCs w:val="21"/>
              </w:rPr>
              <w:t>2、</w:t>
            </w:r>
            <w:r>
              <w:rPr>
                <w:rFonts w:hint="eastAsia" w:ascii="仿宋" w:hAnsi="仿宋" w:eastAsia="仿宋" w:cs="仿宋"/>
                <w:kern w:val="0"/>
                <w:sz w:val="21"/>
                <w:szCs w:val="21"/>
                <w:lang w:eastAsia="zh-Hans"/>
              </w:rPr>
              <w:t>差距安全评估</w:t>
            </w:r>
            <w:r>
              <w:rPr>
                <w:rFonts w:ascii="仿宋" w:hAnsi="仿宋" w:eastAsia="仿宋" w:cs="仿宋"/>
                <w:kern w:val="0"/>
                <w:sz w:val="21"/>
                <w:szCs w:val="21"/>
                <w:lang w:eastAsia="zh-Hans"/>
              </w:rPr>
              <w:t>；</w:t>
            </w:r>
          </w:p>
          <w:p>
            <w:pPr>
              <w:jc w:val="center"/>
              <w:rPr>
                <w:rFonts w:ascii="仿宋" w:hAnsi="仿宋" w:eastAsia="仿宋" w:cs="仿宋"/>
                <w:kern w:val="0"/>
                <w:sz w:val="21"/>
                <w:szCs w:val="21"/>
              </w:rPr>
            </w:pPr>
            <w:r>
              <w:rPr>
                <w:rFonts w:ascii="仿宋" w:hAnsi="仿宋" w:eastAsia="仿宋" w:cs="仿宋"/>
                <w:kern w:val="0"/>
                <w:sz w:val="21"/>
                <w:szCs w:val="21"/>
              </w:rPr>
              <w:t>3、</w:t>
            </w:r>
            <w:r>
              <w:rPr>
                <w:rFonts w:hint="eastAsia" w:hAnsi="仿宋" w:eastAsia="仿宋_GB2312"/>
                <w:kern w:val="0"/>
                <w:sz w:val="21"/>
                <w:szCs w:val="21"/>
                <w:lang w:eastAsia="zh-Hans"/>
              </w:rPr>
              <w:t>输出</w:t>
            </w:r>
            <w:r>
              <w:rPr>
                <w:rFonts w:hAnsi="仿宋" w:eastAsia="仿宋_GB2312"/>
                <w:kern w:val="0"/>
                <w:sz w:val="21"/>
                <w:szCs w:val="21"/>
                <w:lang w:eastAsia="zh-Hans"/>
              </w:rPr>
              <w:t>《</w:t>
            </w:r>
            <w:r>
              <w:rPr>
                <w:rFonts w:hint="eastAsia" w:hAnsi="仿宋" w:eastAsia="仿宋_GB2312"/>
                <w:kern w:val="0"/>
                <w:sz w:val="21"/>
                <w:szCs w:val="21"/>
                <w:lang w:eastAsia="zh-Hans"/>
              </w:rPr>
              <w:t>网络安全等级保护测评报告</w:t>
            </w:r>
            <w:r>
              <w:rPr>
                <w:rFonts w:hAnsi="仿宋" w:eastAsia="仿宋_GB2312"/>
                <w:kern w:val="0"/>
                <w:sz w:val="21"/>
                <w:szCs w:val="21"/>
                <w:lang w:eastAsia="zh-Hans"/>
              </w:rPr>
              <w:t>》</w:t>
            </w:r>
          </w:p>
        </w:tc>
        <w:tc>
          <w:tcPr>
            <w:tcW w:w="1745" w:type="dxa"/>
            <w:vMerge w:val="restart"/>
            <w:vAlign w:val="center"/>
          </w:tcPr>
          <w:p>
            <w:pPr>
              <w:pStyle w:val="26"/>
              <w:ind w:firstLine="210" w:firstLineChars="100"/>
              <w:rPr>
                <w:rFonts w:ascii="仿宋" w:hAnsi="仿宋" w:eastAsia="仿宋" w:cs="仿宋"/>
                <w:kern w:val="0"/>
                <w:lang w:eastAsia="zh-Hans"/>
              </w:rPr>
            </w:pPr>
            <w:r>
              <w:rPr>
                <w:rFonts w:hint="eastAsia" w:ascii="仿宋" w:hAnsi="仿宋" w:eastAsia="仿宋" w:cs="仿宋"/>
                <w:kern w:val="0"/>
                <w:sz w:val="21"/>
                <w:szCs w:val="21"/>
                <w:lang w:eastAsia="zh-Hans"/>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vAlign w:val="center"/>
          </w:tcPr>
          <w:p>
            <w:pPr>
              <w:pStyle w:val="26"/>
              <w:jc w:val="center"/>
              <w:rPr>
                <w:rFonts w:ascii="仿宋" w:hAnsi="仿宋" w:eastAsia="仿宋" w:cs="仿宋"/>
                <w:kern w:val="0"/>
                <w:sz w:val="21"/>
                <w:szCs w:val="21"/>
              </w:rPr>
            </w:pPr>
            <w:r>
              <w:rPr>
                <w:rFonts w:hint="eastAsia" w:ascii="仿宋" w:hAnsi="仿宋" w:eastAsia="仿宋" w:cs="仿宋"/>
                <w:kern w:val="0"/>
                <w:sz w:val="21"/>
                <w:szCs w:val="21"/>
              </w:rPr>
              <w:t>2</w:t>
            </w:r>
          </w:p>
        </w:tc>
        <w:tc>
          <w:tcPr>
            <w:tcW w:w="2446" w:type="dxa"/>
            <w:vAlign w:val="center"/>
          </w:tcPr>
          <w:p>
            <w:pPr>
              <w:pStyle w:val="26"/>
              <w:jc w:val="center"/>
              <w:rPr>
                <w:rFonts w:ascii="仿宋" w:hAnsi="仿宋" w:eastAsia="仿宋" w:cs="仿宋"/>
                <w:kern w:val="0"/>
                <w:sz w:val="21"/>
                <w:szCs w:val="21"/>
                <w:lang w:eastAsia="zh-Hans"/>
              </w:rPr>
            </w:pPr>
            <w:r>
              <w:rPr>
                <w:rFonts w:hint="eastAsia" w:ascii="仿宋" w:hAnsi="仿宋" w:eastAsia="仿宋" w:cs="仿宋"/>
                <w:kern w:val="0"/>
                <w:sz w:val="21"/>
                <w:szCs w:val="21"/>
                <w:lang w:eastAsia="zh-Hans"/>
              </w:rPr>
              <w:t>广东消防通（信通处）</w:t>
            </w:r>
          </w:p>
        </w:tc>
        <w:tc>
          <w:tcPr>
            <w:tcW w:w="4039" w:type="dxa"/>
            <w:vMerge w:val="continue"/>
          </w:tcPr>
          <w:p>
            <w:pPr>
              <w:pStyle w:val="26"/>
              <w:rPr>
                <w:kern w:val="0"/>
              </w:rPr>
            </w:pPr>
          </w:p>
        </w:tc>
        <w:tc>
          <w:tcPr>
            <w:tcW w:w="1745" w:type="dxa"/>
            <w:vMerge w:val="continue"/>
          </w:tcPr>
          <w:p>
            <w:pPr>
              <w:pStyle w:val="26"/>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830" w:type="dxa"/>
            <w:vAlign w:val="center"/>
          </w:tcPr>
          <w:p>
            <w:pPr>
              <w:pStyle w:val="26"/>
              <w:jc w:val="center"/>
              <w:rPr>
                <w:rFonts w:ascii="仿宋" w:hAnsi="仿宋" w:eastAsia="仿宋" w:cs="仿宋"/>
                <w:kern w:val="0"/>
                <w:sz w:val="21"/>
                <w:szCs w:val="21"/>
              </w:rPr>
            </w:pPr>
            <w:r>
              <w:rPr>
                <w:rFonts w:hint="eastAsia" w:ascii="仿宋" w:hAnsi="仿宋" w:eastAsia="仿宋" w:cs="仿宋"/>
                <w:kern w:val="0"/>
                <w:sz w:val="21"/>
                <w:szCs w:val="21"/>
              </w:rPr>
              <w:t>3</w:t>
            </w:r>
          </w:p>
        </w:tc>
        <w:tc>
          <w:tcPr>
            <w:tcW w:w="2446" w:type="dxa"/>
            <w:vAlign w:val="center"/>
          </w:tcPr>
          <w:p>
            <w:pPr>
              <w:pStyle w:val="26"/>
              <w:jc w:val="center"/>
              <w:rPr>
                <w:rFonts w:ascii="仿宋" w:hAnsi="仿宋" w:eastAsia="仿宋" w:cs="仿宋"/>
                <w:kern w:val="0"/>
                <w:sz w:val="21"/>
                <w:szCs w:val="21"/>
                <w:lang w:eastAsia="zh-Hans"/>
              </w:rPr>
            </w:pPr>
            <w:r>
              <w:rPr>
                <w:rFonts w:hint="eastAsia" w:ascii="仿宋" w:hAnsi="仿宋" w:eastAsia="仿宋" w:cs="仿宋"/>
                <w:kern w:val="0"/>
                <w:sz w:val="21"/>
                <w:szCs w:val="21"/>
                <w:lang w:eastAsia="zh-Hans"/>
              </w:rPr>
              <w:t>智慧政工（组教处）</w:t>
            </w:r>
          </w:p>
        </w:tc>
        <w:tc>
          <w:tcPr>
            <w:tcW w:w="4039" w:type="dxa"/>
            <w:vMerge w:val="continue"/>
          </w:tcPr>
          <w:p>
            <w:pPr>
              <w:pStyle w:val="26"/>
              <w:rPr>
                <w:kern w:val="0"/>
              </w:rPr>
            </w:pPr>
          </w:p>
        </w:tc>
        <w:tc>
          <w:tcPr>
            <w:tcW w:w="1745" w:type="dxa"/>
            <w:vMerge w:val="continue"/>
          </w:tcPr>
          <w:p>
            <w:pPr>
              <w:pStyle w:val="26"/>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30" w:type="dxa"/>
            <w:vAlign w:val="center"/>
          </w:tcPr>
          <w:p>
            <w:pPr>
              <w:pStyle w:val="26"/>
              <w:jc w:val="center"/>
              <w:rPr>
                <w:rFonts w:ascii="仿宋" w:hAnsi="仿宋" w:eastAsia="仿宋" w:cs="仿宋"/>
                <w:kern w:val="0"/>
                <w:sz w:val="21"/>
                <w:szCs w:val="21"/>
              </w:rPr>
            </w:pPr>
            <w:r>
              <w:rPr>
                <w:rFonts w:hint="eastAsia" w:ascii="仿宋" w:hAnsi="仿宋" w:eastAsia="仿宋" w:cs="仿宋"/>
                <w:kern w:val="0"/>
                <w:sz w:val="21"/>
                <w:szCs w:val="21"/>
              </w:rPr>
              <w:t>4</w:t>
            </w:r>
          </w:p>
        </w:tc>
        <w:tc>
          <w:tcPr>
            <w:tcW w:w="2446" w:type="dxa"/>
            <w:vAlign w:val="center"/>
          </w:tcPr>
          <w:p>
            <w:pPr>
              <w:pStyle w:val="26"/>
              <w:jc w:val="center"/>
              <w:rPr>
                <w:rFonts w:ascii="仿宋" w:hAnsi="仿宋" w:eastAsia="仿宋" w:cs="仿宋"/>
                <w:kern w:val="0"/>
                <w:sz w:val="21"/>
                <w:szCs w:val="21"/>
                <w:lang w:eastAsia="zh-Hans"/>
              </w:rPr>
            </w:pPr>
            <w:r>
              <w:rPr>
                <w:rFonts w:hint="eastAsia" w:ascii="仿宋" w:hAnsi="仿宋" w:eastAsia="仿宋" w:cs="仿宋"/>
                <w:kern w:val="0"/>
                <w:sz w:val="21"/>
                <w:szCs w:val="21"/>
                <w:lang w:eastAsia="zh-Hans"/>
              </w:rPr>
              <w:t>智慧队务（队务处）</w:t>
            </w:r>
          </w:p>
        </w:tc>
        <w:tc>
          <w:tcPr>
            <w:tcW w:w="4039" w:type="dxa"/>
            <w:vMerge w:val="continue"/>
          </w:tcPr>
          <w:p>
            <w:pPr>
              <w:pStyle w:val="26"/>
              <w:rPr>
                <w:kern w:val="0"/>
              </w:rPr>
            </w:pPr>
          </w:p>
        </w:tc>
        <w:tc>
          <w:tcPr>
            <w:tcW w:w="1745" w:type="dxa"/>
            <w:vMerge w:val="continue"/>
          </w:tcPr>
          <w:p>
            <w:pPr>
              <w:pStyle w:val="26"/>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30" w:type="dxa"/>
            <w:vAlign w:val="center"/>
          </w:tcPr>
          <w:p>
            <w:pPr>
              <w:pStyle w:val="26"/>
              <w:jc w:val="center"/>
              <w:rPr>
                <w:rFonts w:ascii="仿宋" w:hAnsi="仿宋" w:eastAsia="仿宋" w:cs="仿宋"/>
                <w:kern w:val="0"/>
                <w:sz w:val="21"/>
                <w:szCs w:val="21"/>
              </w:rPr>
            </w:pPr>
            <w:r>
              <w:rPr>
                <w:rFonts w:hint="eastAsia" w:ascii="仿宋" w:hAnsi="仿宋" w:eastAsia="仿宋" w:cs="仿宋"/>
                <w:kern w:val="0"/>
                <w:sz w:val="21"/>
                <w:szCs w:val="21"/>
              </w:rPr>
              <w:t>5</w:t>
            </w:r>
          </w:p>
        </w:tc>
        <w:tc>
          <w:tcPr>
            <w:tcW w:w="2446" w:type="dxa"/>
            <w:vAlign w:val="center"/>
          </w:tcPr>
          <w:p>
            <w:pPr>
              <w:pStyle w:val="26"/>
              <w:jc w:val="center"/>
              <w:rPr>
                <w:rFonts w:ascii="仿宋" w:hAnsi="仿宋" w:eastAsia="仿宋" w:cs="仿宋"/>
                <w:kern w:val="0"/>
                <w:sz w:val="21"/>
                <w:szCs w:val="21"/>
                <w:lang w:eastAsia="zh-Hans"/>
              </w:rPr>
            </w:pPr>
            <w:r>
              <w:rPr>
                <w:rFonts w:hint="eastAsia" w:ascii="仿宋" w:hAnsi="仿宋" w:eastAsia="仿宋" w:cs="仿宋"/>
                <w:kern w:val="0"/>
                <w:sz w:val="21"/>
                <w:szCs w:val="21"/>
                <w:lang w:eastAsia="zh-Hans"/>
              </w:rPr>
              <w:t>人才智库（人事处）</w:t>
            </w:r>
          </w:p>
        </w:tc>
        <w:tc>
          <w:tcPr>
            <w:tcW w:w="4039" w:type="dxa"/>
            <w:vMerge w:val="continue"/>
          </w:tcPr>
          <w:p>
            <w:pPr>
              <w:pStyle w:val="26"/>
              <w:rPr>
                <w:kern w:val="0"/>
              </w:rPr>
            </w:pPr>
          </w:p>
        </w:tc>
        <w:tc>
          <w:tcPr>
            <w:tcW w:w="1745" w:type="dxa"/>
            <w:vMerge w:val="continue"/>
          </w:tcPr>
          <w:p>
            <w:pPr>
              <w:pStyle w:val="26"/>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830" w:type="dxa"/>
            <w:vAlign w:val="center"/>
          </w:tcPr>
          <w:p>
            <w:pPr>
              <w:pStyle w:val="26"/>
              <w:jc w:val="center"/>
              <w:rPr>
                <w:rFonts w:ascii="仿宋" w:hAnsi="仿宋" w:eastAsia="仿宋" w:cs="仿宋"/>
                <w:kern w:val="0"/>
                <w:sz w:val="21"/>
                <w:szCs w:val="21"/>
              </w:rPr>
            </w:pPr>
            <w:r>
              <w:rPr>
                <w:rFonts w:hint="eastAsia" w:ascii="仿宋" w:hAnsi="仿宋" w:eastAsia="仿宋" w:cs="仿宋"/>
                <w:kern w:val="0"/>
                <w:sz w:val="21"/>
                <w:szCs w:val="21"/>
              </w:rPr>
              <w:t>6</w:t>
            </w:r>
          </w:p>
        </w:tc>
        <w:tc>
          <w:tcPr>
            <w:tcW w:w="2446" w:type="dxa"/>
            <w:vAlign w:val="center"/>
          </w:tcPr>
          <w:p>
            <w:pPr>
              <w:pStyle w:val="26"/>
              <w:jc w:val="center"/>
              <w:rPr>
                <w:rFonts w:ascii="仿宋" w:hAnsi="仿宋" w:eastAsia="仿宋" w:cs="仿宋"/>
                <w:kern w:val="0"/>
                <w:sz w:val="21"/>
                <w:szCs w:val="21"/>
                <w:lang w:eastAsia="zh-Hans"/>
              </w:rPr>
            </w:pPr>
            <w:r>
              <w:rPr>
                <w:rFonts w:hint="eastAsia" w:ascii="仿宋" w:hAnsi="仿宋" w:eastAsia="仿宋" w:cs="仿宋"/>
                <w:kern w:val="0"/>
                <w:sz w:val="21"/>
                <w:szCs w:val="21"/>
                <w:lang w:eastAsia="zh-Hans"/>
              </w:rPr>
              <w:t>总队互联网网站（宣传处）</w:t>
            </w:r>
          </w:p>
        </w:tc>
        <w:tc>
          <w:tcPr>
            <w:tcW w:w="4039" w:type="dxa"/>
            <w:vMerge w:val="continue"/>
          </w:tcPr>
          <w:p>
            <w:pPr>
              <w:pStyle w:val="26"/>
              <w:rPr>
                <w:kern w:val="0"/>
              </w:rPr>
            </w:pPr>
          </w:p>
        </w:tc>
        <w:tc>
          <w:tcPr>
            <w:tcW w:w="1745" w:type="dxa"/>
            <w:vMerge w:val="continue"/>
          </w:tcPr>
          <w:p>
            <w:pPr>
              <w:pStyle w:val="26"/>
              <w:rPr>
                <w:kern w:val="0"/>
              </w:rPr>
            </w:pPr>
          </w:p>
        </w:tc>
      </w:tr>
    </w:tbl>
    <w:p>
      <w:pPr>
        <w:pStyle w:val="26"/>
      </w:pPr>
    </w:p>
    <w:p>
      <w:pPr>
        <w:spacing w:line="360" w:lineRule="auto"/>
        <w:ind w:firstLine="420" w:firstLineChars="200"/>
      </w:pPr>
      <w:r>
        <w:rPr>
          <w:rFonts w:hint="eastAsia"/>
        </w:rPr>
        <w:t>合同履行期限：自合同签订生效之日起</w:t>
      </w:r>
      <w:r>
        <w:rPr>
          <w:rFonts w:hint="eastAsia"/>
          <w:lang w:eastAsia="zh-Hans"/>
        </w:rPr>
        <w:t>至本服务所约定工作完成止</w:t>
      </w:r>
      <w:r>
        <w:rPr>
          <w:rFonts w:hint="eastAsia"/>
        </w:rPr>
        <w:t>。</w:t>
      </w:r>
    </w:p>
    <w:p>
      <w:pPr>
        <w:spacing w:line="360" w:lineRule="auto"/>
        <w:ind w:firstLine="420" w:firstLineChars="200"/>
        <w:rPr>
          <w:szCs w:val="22"/>
        </w:rPr>
      </w:pPr>
      <w:r>
        <w:rPr>
          <w:rFonts w:hint="eastAsia"/>
          <w:szCs w:val="22"/>
        </w:rPr>
        <w:t>本项目（ 是/否 ）接受联合体参评：否</w:t>
      </w:r>
    </w:p>
    <w:p>
      <w:pPr>
        <w:spacing w:line="360" w:lineRule="auto"/>
        <w:ind w:firstLine="422" w:firstLineChars="200"/>
        <w:rPr>
          <w:b/>
          <w:szCs w:val="22"/>
        </w:rPr>
      </w:pPr>
      <w:r>
        <w:rPr>
          <w:rFonts w:hint="eastAsia"/>
          <w:b/>
          <w:szCs w:val="22"/>
        </w:rPr>
        <w:t>二、参选人的资格要求：</w:t>
      </w:r>
    </w:p>
    <w:p>
      <w:pPr>
        <w:spacing w:line="360" w:lineRule="auto"/>
        <w:ind w:firstLine="420" w:firstLineChars="200"/>
        <w:rPr>
          <w:rFonts w:hint="eastAsia"/>
        </w:rPr>
      </w:pPr>
      <w:r>
        <w:rPr>
          <w:rFonts w:hint="eastAsia"/>
        </w:rPr>
        <w:t>1、</w:t>
      </w:r>
      <w:r>
        <w:rPr>
          <w:rFonts w:hint="eastAsia"/>
        </w:rPr>
        <w:tab/>
      </w:r>
      <w:r>
        <w:rPr>
          <w:rFonts w:hint="eastAsia"/>
        </w:rPr>
        <w:t>参选人应具备《中华人民共和国政府采购法》第二十二条规定的条件，提供下列材料：具有独立承担民事责任的能力：是在中华人民共和国境内注册的法人或其他组织 或自然人，投标时提交有效的营业执照（或事业法人登记证或社会团体登记证或民办非企业 单位登记证或身份证等相关证明）副本复印件。（如国家另有规定的，则从其规定。如供应 商为分支机构，须取得具有法人资格的总公司（总所）出具给分支机构的授权书，并提供总 公司（总所）和分支机构的营业执照（执业许可证）复印件；已由总公司（总所）授权的， 总公司（总所）取得的相关资质证书对分支机构有效，法律法规或者行业另有规定的除外）</w:t>
      </w:r>
    </w:p>
    <w:p>
      <w:pPr>
        <w:spacing w:line="360" w:lineRule="auto"/>
        <w:ind w:firstLine="420" w:firstLineChars="200"/>
        <w:rPr>
          <w:rFonts w:hint="eastAsia"/>
        </w:rPr>
      </w:pPr>
      <w:r>
        <w:rPr>
          <w:rFonts w:hint="eastAsia"/>
        </w:rPr>
        <w:t>2、</w:t>
      </w:r>
      <w:r>
        <w:rPr>
          <w:rFonts w:hint="eastAsia"/>
        </w:rPr>
        <w:tab/>
      </w:r>
      <w:r>
        <w:rPr>
          <w:rFonts w:hint="eastAsia"/>
        </w:rPr>
        <w:t>具有良好的商业信誉和健全的财务会计制度：提供2020年度或2021年度财务状况报告或基本开户行出具的资信证明，或最近一期财务报表（适用在上一年度或本财务年度成立 的法人或其他组织），或人民银行出具的个人信用报告（适用于自然人）。</w:t>
      </w:r>
    </w:p>
    <w:p>
      <w:pPr>
        <w:spacing w:line="360" w:lineRule="auto"/>
        <w:ind w:firstLine="420" w:firstLineChars="200"/>
        <w:rPr>
          <w:rFonts w:hint="eastAsia"/>
        </w:rPr>
      </w:pPr>
      <w:r>
        <w:rPr>
          <w:rFonts w:hint="eastAsia"/>
        </w:rPr>
        <w:t>3、</w:t>
      </w:r>
      <w:r>
        <w:rPr>
          <w:rFonts w:hint="eastAsia"/>
        </w:rPr>
        <w:tab/>
      </w:r>
      <w:r>
        <w:rPr>
          <w:rFonts w:hint="eastAsia"/>
        </w:rPr>
        <w:t>有依法缴纳税收和社会保障资金的良好记录：提供提交评选文件截止日前6个月内任意1个月依法缴纳税收和社会保障资金的相关材料。如依法免税或不需要缴纳社会保障资金的，提 供相应证明材料。</w:t>
      </w:r>
    </w:p>
    <w:p>
      <w:pPr>
        <w:spacing w:line="360" w:lineRule="auto"/>
        <w:ind w:firstLine="420" w:firstLineChars="200"/>
        <w:rPr>
          <w:rFonts w:hint="eastAsia"/>
        </w:rPr>
      </w:pPr>
      <w:r>
        <w:rPr>
          <w:rFonts w:hint="eastAsia"/>
        </w:rPr>
        <w:t>4、</w:t>
      </w:r>
      <w:r>
        <w:rPr>
          <w:rFonts w:hint="eastAsia"/>
        </w:rPr>
        <w:tab/>
      </w:r>
      <w:r>
        <w:rPr>
          <w:rFonts w:hint="eastAsia"/>
        </w:rPr>
        <w:t>具有履行合同所必须的设备和专业技术能力：提供《参选人资格声明函》。</w:t>
      </w:r>
    </w:p>
    <w:p>
      <w:pPr>
        <w:spacing w:line="360" w:lineRule="auto"/>
        <w:ind w:firstLine="420" w:firstLineChars="200"/>
        <w:rPr>
          <w:rFonts w:hint="eastAsia"/>
        </w:rPr>
      </w:pPr>
      <w:r>
        <w:rPr>
          <w:rFonts w:hint="eastAsia"/>
        </w:rPr>
        <w:t>5、</w:t>
      </w:r>
      <w:r>
        <w:rPr>
          <w:rFonts w:hint="eastAsia"/>
        </w:rPr>
        <w:tab/>
      </w:r>
      <w:r>
        <w:rPr>
          <w:rFonts w:hint="eastAsia"/>
        </w:rPr>
        <w:t>参加采购活动前三年内，在经营活动中没有重大违法记录：提供《参选人资格声明函》。重大违法记录，是指参选人因违法经营受到刑事处罚或者责令停产停业、吊销许可证 或者执照、较大数额罚款等行政处罚。（较大数额罚款按照发出行政处罚决定书部门所在省 级政府，或实行垂直领导的国务院有关行政主管部门制定的较大数额罚款标准，或罚款决定 之前需要举行听证会的金额标准来认定）</w:t>
      </w:r>
    </w:p>
    <w:p>
      <w:pPr>
        <w:spacing w:line="360" w:lineRule="auto"/>
        <w:ind w:firstLine="420" w:firstLineChars="200"/>
        <w:rPr>
          <w:rFonts w:hint="eastAsia"/>
        </w:rPr>
      </w:pPr>
      <w:r>
        <w:rPr>
          <w:rFonts w:hint="eastAsia"/>
        </w:rPr>
        <w:t>6、</w:t>
      </w:r>
      <w:r>
        <w:rPr>
          <w:rFonts w:hint="eastAsia"/>
        </w:rPr>
        <w:tab/>
      </w:r>
      <w:r>
        <w:rPr>
          <w:rFonts w:hint="eastAsia"/>
        </w:rPr>
        <w:t>信用记录：参选人未被列入“信用中国”网站(www.creditchina.gov.cn)“记录失信被执 行人或重大税收违法案件当事人名单或政府采购严重违法失信行为''记录名单；不处于中国 政府采购网(www.ccgp.gov.cn)“政府采购严重违法失信行为信息记录”中的禁止参加政府采购活动期间。(以招标人于投标截止时间当天在“信用中国”网站(www.creditchina.gov.cn) 及中国政府采购网(http://www.ccgp.gov.cn/)查询结果为准，如相关失信记录已失效，供应 商需提供相关证明资料)。</w:t>
      </w:r>
    </w:p>
    <w:p>
      <w:pPr>
        <w:spacing w:line="360" w:lineRule="auto"/>
        <w:ind w:firstLine="420" w:firstLineChars="200"/>
        <w:rPr>
          <w:rFonts w:hint="eastAsia"/>
        </w:rPr>
      </w:pPr>
      <w:r>
        <w:rPr>
          <w:rFonts w:hint="eastAsia"/>
        </w:rPr>
        <w:t>7、</w:t>
      </w:r>
      <w:r>
        <w:rPr>
          <w:rFonts w:hint="eastAsia"/>
        </w:rPr>
        <w:tab/>
      </w:r>
      <w:r>
        <w:rPr>
          <w:rFonts w:hint="eastAsia"/>
        </w:rPr>
        <w:t>参选人必须符合法律、行政法规规定的其他条件：单位负责人为同一人或者存在直 接控股、管理关系的不同参选人，不得同时参加本采购项目(包组)投标。为本项目提供整 体设计、规范编制或者项目管理、监理、检测等服务的参选人，不得再参与本项目投标。(提供《参选人资格声明函》。</w:t>
      </w:r>
    </w:p>
    <w:p>
      <w:pPr>
        <w:spacing w:line="360" w:lineRule="auto"/>
        <w:ind w:firstLine="420" w:firstLineChars="200"/>
        <w:rPr>
          <w:rFonts w:hint="eastAsia"/>
        </w:rPr>
      </w:pPr>
      <w:r>
        <w:rPr>
          <w:rFonts w:hint="eastAsia"/>
        </w:rPr>
        <w:t>8、</w:t>
      </w:r>
      <w:r>
        <w:rPr>
          <w:rFonts w:hint="eastAsia"/>
        </w:rPr>
        <w:tab/>
      </w:r>
      <w:r>
        <w:rPr>
          <w:rFonts w:hint="eastAsia"/>
        </w:rPr>
        <w:t>参选人已按招标公告及遴选采购文件的规定获取了遴选采购文件。(提供《参选人 资格声明函》)</w:t>
      </w:r>
    </w:p>
    <w:p>
      <w:pPr>
        <w:spacing w:line="360" w:lineRule="auto"/>
        <w:ind w:firstLine="420" w:firstLineChars="200"/>
        <w:rPr>
          <w:rFonts w:hint="eastAsia"/>
        </w:rPr>
      </w:pPr>
      <w:r>
        <w:rPr>
          <w:rFonts w:hint="eastAsia"/>
        </w:rPr>
        <w:t>9、</w:t>
      </w:r>
      <w:r>
        <w:rPr>
          <w:rFonts w:hint="eastAsia"/>
        </w:rPr>
        <w:tab/>
      </w:r>
      <w:r>
        <w:rPr>
          <w:rFonts w:hint="eastAsia"/>
        </w:rPr>
        <w:t>本项目不接受联合体投标。</w:t>
      </w:r>
    </w:p>
    <w:p>
      <w:pPr>
        <w:spacing w:line="360" w:lineRule="auto"/>
        <w:ind w:firstLine="422" w:firstLineChars="200"/>
        <w:rPr>
          <w:b/>
          <w:szCs w:val="22"/>
        </w:rPr>
      </w:pPr>
      <w:r>
        <w:rPr>
          <w:rFonts w:hint="eastAsia"/>
          <w:b/>
          <w:szCs w:val="22"/>
        </w:rPr>
        <w:t>三、获取遴选文件的方法：</w:t>
      </w:r>
    </w:p>
    <w:p>
      <w:pPr>
        <w:pStyle w:val="117"/>
        <w:tabs>
          <w:tab w:val="left" w:pos="914"/>
        </w:tabs>
        <w:spacing w:line="360" w:lineRule="auto"/>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1</w:t>
      </w:r>
      <w:r>
        <w:rPr>
          <w:rFonts w:hint="eastAsia" w:ascii="Times New Roman" w:hAnsi="Times New Roman" w:cs="Times New Roman"/>
          <w:sz w:val="21"/>
          <w:szCs w:val="21"/>
          <w:lang w:eastAsia="zh-CN"/>
        </w:rPr>
        <w:t>、时间：</w:t>
      </w:r>
      <w:r>
        <w:rPr>
          <w:rFonts w:ascii="Times New Roman" w:hAnsi="Times New Roman" w:cs="Times New Roman"/>
          <w:sz w:val="21"/>
          <w:szCs w:val="21"/>
        </w:rPr>
        <w:t>2022</w:t>
      </w:r>
      <w:r>
        <w:rPr>
          <w:rFonts w:hint="eastAsia" w:ascii="Times New Roman" w:hAnsi="Times New Roman" w:cs="Times New Roman"/>
          <w:sz w:val="21"/>
          <w:szCs w:val="21"/>
        </w:rPr>
        <w:t>年</w:t>
      </w:r>
      <w:r>
        <w:rPr>
          <w:rFonts w:ascii="Times New Roman" w:hAnsi="Times New Roman" w:cs="Times New Roman"/>
          <w:sz w:val="21"/>
          <w:szCs w:val="21"/>
        </w:rPr>
        <w:t>11</w:t>
      </w:r>
      <w:r>
        <w:rPr>
          <w:rFonts w:hint="eastAsia" w:ascii="Times New Roman" w:hAnsi="Times New Roman" w:cs="Times New Roman"/>
          <w:sz w:val="21"/>
          <w:szCs w:val="21"/>
        </w:rPr>
        <w:t>月</w:t>
      </w:r>
      <w:r>
        <w:rPr>
          <w:rFonts w:hint="eastAsia" w:ascii="Times New Roman" w:hAnsi="Times New Roman" w:cs="Times New Roman"/>
          <w:sz w:val="21"/>
          <w:szCs w:val="21"/>
          <w:lang w:val="en-US" w:eastAsia="zh-CN"/>
        </w:rPr>
        <w:t>16</w:t>
      </w:r>
      <w:r>
        <w:rPr>
          <w:rFonts w:hint="eastAsia" w:ascii="Times New Roman" w:hAnsi="Times New Roman" w:cs="Times New Roman"/>
          <w:sz w:val="21"/>
          <w:szCs w:val="21"/>
        </w:rPr>
        <w:t>日</w:t>
      </w:r>
      <w:r>
        <w:rPr>
          <w:rFonts w:hint="eastAsia" w:ascii="Times New Roman" w:hAnsi="Times New Roman" w:eastAsia="MS Gothic" w:cs="Times New Roman"/>
          <w:sz w:val="21"/>
          <w:szCs w:val="21"/>
        </w:rPr>
        <w:t>〜</w:t>
      </w:r>
      <w:r>
        <w:rPr>
          <w:rFonts w:ascii="Times New Roman" w:hAnsi="Times New Roman" w:cs="Times New Roman"/>
          <w:sz w:val="21"/>
          <w:szCs w:val="21"/>
        </w:rPr>
        <w:t>2022</w:t>
      </w:r>
      <w:r>
        <w:rPr>
          <w:rFonts w:hint="eastAsia" w:ascii="Times New Roman" w:hAnsi="Times New Roman" w:cs="Times New Roman"/>
          <w:sz w:val="21"/>
          <w:szCs w:val="21"/>
        </w:rPr>
        <w:t>年</w:t>
      </w:r>
      <w:r>
        <w:rPr>
          <w:rFonts w:ascii="Times New Roman" w:hAnsi="Times New Roman" w:cs="Times New Roman"/>
          <w:sz w:val="21"/>
          <w:szCs w:val="21"/>
        </w:rPr>
        <w:t>11</w:t>
      </w:r>
      <w:r>
        <w:rPr>
          <w:rFonts w:hint="eastAsia" w:ascii="Times New Roman" w:hAnsi="Times New Roman" w:cs="Times New Roman"/>
          <w:sz w:val="21"/>
          <w:szCs w:val="21"/>
        </w:rPr>
        <w:t>月</w:t>
      </w:r>
      <w:r>
        <w:rPr>
          <w:rFonts w:hint="eastAsia" w:ascii="Times New Roman" w:hAnsi="Times New Roman" w:cs="Times New Roman"/>
          <w:sz w:val="21"/>
          <w:szCs w:val="21"/>
          <w:lang w:val="en-US" w:eastAsia="zh-CN"/>
        </w:rPr>
        <w:t>25</w:t>
      </w:r>
      <w:r>
        <w:rPr>
          <w:rFonts w:hint="eastAsia" w:ascii="Times New Roman" w:hAnsi="Times New Roman" w:cs="Times New Roman"/>
          <w:sz w:val="21"/>
          <w:szCs w:val="21"/>
        </w:rPr>
        <w:t>日</w:t>
      </w:r>
      <w:r>
        <w:rPr>
          <w:rFonts w:hint="eastAsia" w:ascii="Times New Roman" w:hAnsi="Times New Roman" w:cs="Times New Roman"/>
          <w:sz w:val="21"/>
          <w:szCs w:val="21"/>
          <w:lang w:eastAsia="zh-CN"/>
        </w:rPr>
        <w:t>。</w:t>
      </w:r>
    </w:p>
    <w:p>
      <w:pPr>
        <w:pStyle w:val="117"/>
        <w:tabs>
          <w:tab w:val="left" w:pos="914"/>
        </w:tabs>
        <w:spacing w:line="360" w:lineRule="auto"/>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2</w:t>
      </w:r>
      <w:r>
        <w:rPr>
          <w:rFonts w:hint="eastAsia" w:ascii="Times New Roman" w:hAnsi="Times New Roman" w:cs="Times New Roman"/>
          <w:sz w:val="21"/>
          <w:szCs w:val="21"/>
          <w:lang w:eastAsia="zh-CN"/>
        </w:rPr>
        <w:t>、方式：</w:t>
      </w:r>
      <w:r>
        <w:rPr>
          <w:rFonts w:hint="eastAsia" w:ascii="Times New Roman" w:hAnsi="Times New Roman" w:cs="Times New Roman"/>
          <w:sz w:val="21"/>
          <w:szCs w:val="21"/>
        </w:rPr>
        <w:t>由采购人将邀请函及遴选文件在广东省消防救援总队互联网门户网站挂网，有意向的参评公司自行查看</w:t>
      </w:r>
      <w:r>
        <w:rPr>
          <w:rFonts w:hint="eastAsia" w:ascii="Times New Roman" w:hAnsi="Times New Roman" w:cs="Times New Roman"/>
          <w:sz w:val="21"/>
          <w:szCs w:val="21"/>
          <w:lang w:eastAsia="zh-CN"/>
        </w:rPr>
        <w:t>。</w:t>
      </w:r>
    </w:p>
    <w:p>
      <w:pPr>
        <w:spacing w:line="360" w:lineRule="auto"/>
        <w:ind w:firstLine="422" w:firstLineChars="200"/>
        <w:rPr>
          <w:b/>
          <w:szCs w:val="22"/>
        </w:rPr>
      </w:pPr>
      <w:bookmarkStart w:id="3" w:name="_Toc371172264"/>
      <w:bookmarkStart w:id="4" w:name="_Toc337541094"/>
      <w:r>
        <w:rPr>
          <w:rFonts w:hint="eastAsia"/>
          <w:b/>
          <w:szCs w:val="22"/>
        </w:rPr>
        <w:t>四、</w:t>
      </w:r>
      <w:r>
        <w:rPr>
          <w:b/>
          <w:szCs w:val="22"/>
        </w:rPr>
        <w:tab/>
      </w:r>
      <w:r>
        <w:rPr>
          <w:rFonts w:hint="eastAsia"/>
          <w:b/>
          <w:szCs w:val="22"/>
        </w:rPr>
        <w:t>提交参评文件截止时间、方式、评选时间和地点</w:t>
      </w:r>
    </w:p>
    <w:p>
      <w:pPr>
        <w:pStyle w:val="117"/>
        <w:tabs>
          <w:tab w:val="left" w:pos="914"/>
        </w:tabs>
        <w:spacing w:line="360" w:lineRule="auto"/>
        <w:ind w:firstLine="420" w:firstLineChars="200"/>
        <w:rPr>
          <w:rFonts w:ascii="Times New Roman" w:hAnsi="Times New Roman" w:cs="Times New Roman"/>
          <w:sz w:val="21"/>
          <w:szCs w:val="21"/>
          <w:highlight w:val="yellow"/>
        </w:rPr>
      </w:pPr>
      <w:r>
        <w:rPr>
          <w:rFonts w:hint="eastAsia" w:ascii="Times New Roman" w:hAnsi="Times New Roman" w:cs="Times New Roman"/>
          <w:sz w:val="21"/>
          <w:szCs w:val="21"/>
          <w:highlight w:val="yellow"/>
          <w:lang w:val="en-US" w:eastAsia="zh-CN"/>
        </w:rPr>
        <w:t>1、</w:t>
      </w:r>
      <w:r>
        <w:rPr>
          <w:rFonts w:ascii="Times New Roman" w:hAnsi="Times New Roman" w:cs="Times New Roman"/>
          <w:sz w:val="21"/>
          <w:szCs w:val="21"/>
          <w:highlight w:val="yellow"/>
        </w:rPr>
        <w:t>提交评选文件截止时间：</w:t>
      </w:r>
      <w:r>
        <w:rPr>
          <w:rFonts w:hint="eastAsia" w:ascii="Times New Roman" w:hAnsi="Times New Roman" w:cs="Times New Roman"/>
          <w:sz w:val="21"/>
          <w:szCs w:val="21"/>
          <w:highlight w:val="yellow"/>
          <w:lang w:val="en-US" w:eastAsia="zh-CN"/>
        </w:rPr>
        <w:t>2022</w:t>
      </w:r>
      <w:r>
        <w:rPr>
          <w:rFonts w:ascii="Times New Roman" w:hAnsi="Times New Roman" w:cs="Times New Roman"/>
          <w:sz w:val="21"/>
          <w:szCs w:val="21"/>
          <w:highlight w:val="yellow"/>
        </w:rPr>
        <w:t>年</w:t>
      </w:r>
      <w:r>
        <w:rPr>
          <w:rFonts w:hint="eastAsia" w:ascii="Times New Roman" w:hAnsi="Times New Roman" w:cs="Times New Roman"/>
          <w:sz w:val="21"/>
          <w:szCs w:val="21"/>
          <w:highlight w:val="yellow"/>
          <w:lang w:val="en-US" w:eastAsia="zh-CN"/>
        </w:rPr>
        <w:t>11</w:t>
      </w:r>
      <w:r>
        <w:rPr>
          <w:rFonts w:ascii="Times New Roman" w:hAnsi="Times New Roman" w:cs="Times New Roman"/>
          <w:sz w:val="21"/>
          <w:szCs w:val="21"/>
          <w:highlight w:val="yellow"/>
        </w:rPr>
        <w:t>月</w:t>
      </w:r>
      <w:r>
        <w:rPr>
          <w:rFonts w:hint="eastAsia" w:ascii="Times New Roman" w:hAnsi="Times New Roman" w:cs="Times New Roman"/>
          <w:sz w:val="21"/>
          <w:szCs w:val="21"/>
          <w:highlight w:val="yellow"/>
          <w:lang w:val="en-US" w:eastAsia="zh-CN"/>
        </w:rPr>
        <w:t>25</w:t>
      </w:r>
      <w:r>
        <w:rPr>
          <w:rFonts w:ascii="Times New Roman" w:hAnsi="Times New Roman" w:cs="Times New Roman"/>
          <w:sz w:val="21"/>
          <w:szCs w:val="21"/>
          <w:highlight w:val="yellow"/>
        </w:rPr>
        <w:t>日24时（以邮政特快专递EMS邮寄时间为准）。</w:t>
      </w:r>
    </w:p>
    <w:p>
      <w:pPr>
        <w:pStyle w:val="117"/>
        <w:tabs>
          <w:tab w:val="left" w:pos="914"/>
        </w:tabs>
        <w:spacing w:line="360" w:lineRule="auto"/>
        <w:ind w:firstLine="420" w:firstLineChars="200"/>
        <w:rPr>
          <w:rFonts w:ascii="Times New Roman" w:hAnsi="Times New Roman" w:cs="Times New Roman"/>
          <w:sz w:val="21"/>
          <w:szCs w:val="21"/>
          <w:highlight w:val="yellow"/>
        </w:rPr>
      </w:pPr>
      <w:r>
        <w:rPr>
          <w:rFonts w:hint="eastAsia" w:ascii="Times New Roman" w:hAnsi="Times New Roman" w:cs="Times New Roman"/>
          <w:sz w:val="21"/>
          <w:szCs w:val="21"/>
          <w:highlight w:val="yellow"/>
          <w:lang w:val="en-US" w:eastAsia="zh-CN"/>
        </w:rPr>
        <w:t>2、</w:t>
      </w:r>
      <w:r>
        <w:rPr>
          <w:rFonts w:ascii="Times New Roman" w:hAnsi="Times New Roman" w:cs="Times New Roman"/>
          <w:sz w:val="21"/>
          <w:szCs w:val="21"/>
          <w:highlight w:val="yellow"/>
        </w:rPr>
        <w:t>评选文件提交方式：使用邮政特快专递(EMS)邮寄。请在邮件内封套内注明参评公司联系人及电话，方便通知公司代表到场参评。</w:t>
      </w:r>
    </w:p>
    <w:p>
      <w:pPr>
        <w:pStyle w:val="117"/>
        <w:tabs>
          <w:tab w:val="left" w:pos="914"/>
        </w:tabs>
        <w:spacing w:line="360" w:lineRule="auto"/>
        <w:ind w:firstLine="420" w:firstLineChars="200"/>
        <w:rPr>
          <w:rFonts w:ascii="Times New Roman" w:hAnsi="Times New Roman" w:cs="Times New Roman"/>
          <w:sz w:val="21"/>
          <w:szCs w:val="21"/>
          <w:highlight w:val="yellow"/>
        </w:rPr>
      </w:pPr>
      <w:r>
        <w:rPr>
          <w:rFonts w:ascii="Times New Roman" w:hAnsi="Times New Roman" w:cs="Times New Roman"/>
          <w:sz w:val="21"/>
          <w:szCs w:val="21"/>
          <w:highlight w:val="yellow"/>
        </w:rPr>
        <w:t>收件信息如下：</w:t>
      </w:r>
    </w:p>
    <w:p>
      <w:pPr>
        <w:pStyle w:val="117"/>
        <w:tabs>
          <w:tab w:val="left" w:pos="914"/>
        </w:tabs>
        <w:spacing w:line="360" w:lineRule="auto"/>
        <w:ind w:firstLine="420" w:firstLineChars="200"/>
        <w:rPr>
          <w:rFonts w:ascii="Times New Roman" w:hAnsi="Times New Roman" w:cs="Times New Roman"/>
          <w:sz w:val="21"/>
          <w:szCs w:val="21"/>
          <w:highlight w:val="yellow"/>
        </w:rPr>
      </w:pPr>
      <w:r>
        <w:rPr>
          <w:rFonts w:ascii="Times New Roman" w:hAnsi="Times New Roman" w:cs="Times New Roman"/>
          <w:sz w:val="21"/>
          <w:szCs w:val="21"/>
          <w:highlight w:val="yellow"/>
        </w:rPr>
        <w:t>地址：广东省广州市天河区瘦狗岭路483号广东消防救援总队门岗内信息通信处邮递柜；</w:t>
      </w:r>
    </w:p>
    <w:p>
      <w:pPr>
        <w:pStyle w:val="117"/>
        <w:tabs>
          <w:tab w:val="left" w:pos="914"/>
        </w:tabs>
        <w:spacing w:line="360" w:lineRule="auto"/>
        <w:ind w:firstLine="420" w:firstLineChars="200"/>
        <w:rPr>
          <w:rFonts w:ascii="Times New Roman" w:hAnsi="Times New Roman" w:cs="Times New Roman"/>
          <w:sz w:val="21"/>
          <w:szCs w:val="21"/>
          <w:highlight w:val="yellow"/>
        </w:rPr>
      </w:pPr>
      <w:r>
        <w:rPr>
          <w:rFonts w:ascii="Times New Roman" w:hAnsi="Times New Roman" w:cs="Times New Roman"/>
          <w:sz w:val="21"/>
          <w:szCs w:val="21"/>
          <w:highlight w:val="yellow"/>
        </w:rPr>
        <w:t>联系人：</w:t>
      </w:r>
      <w:r>
        <w:rPr>
          <w:rFonts w:ascii="Times New Roman" w:hAnsi="Times New Roman" w:cs="Times New Roman"/>
          <w:sz w:val="21"/>
          <w:szCs w:val="21"/>
          <w:highlight w:val="yellow"/>
          <w:lang w:val="en-US" w:eastAsia="zh-Hans"/>
        </w:rPr>
        <w:t>陈</w:t>
      </w:r>
      <w:r>
        <w:rPr>
          <w:rFonts w:ascii="Times New Roman" w:hAnsi="Times New Roman" w:cs="Times New Roman"/>
          <w:sz w:val="21"/>
          <w:szCs w:val="21"/>
          <w:highlight w:val="yellow"/>
        </w:rPr>
        <w:t>先生；</w:t>
      </w:r>
    </w:p>
    <w:p>
      <w:pPr>
        <w:pStyle w:val="117"/>
        <w:tabs>
          <w:tab w:val="left" w:pos="914"/>
        </w:tabs>
        <w:spacing w:line="360" w:lineRule="auto"/>
        <w:ind w:firstLine="420" w:firstLineChars="200"/>
        <w:rPr>
          <w:rFonts w:ascii="Times New Roman" w:hAnsi="Times New Roman" w:cs="Times New Roman"/>
          <w:sz w:val="21"/>
          <w:szCs w:val="21"/>
          <w:highlight w:val="yellow"/>
        </w:rPr>
      </w:pPr>
      <w:r>
        <w:rPr>
          <w:rFonts w:ascii="Times New Roman" w:hAnsi="Times New Roman" w:cs="Times New Roman"/>
          <w:sz w:val="21"/>
          <w:szCs w:val="21"/>
          <w:highlight w:val="yellow"/>
        </w:rPr>
        <w:t>联系电话：020-87119154；</w:t>
      </w:r>
    </w:p>
    <w:p>
      <w:pPr>
        <w:pStyle w:val="117"/>
        <w:tabs>
          <w:tab w:val="left" w:pos="914"/>
        </w:tabs>
        <w:spacing w:line="360" w:lineRule="auto"/>
        <w:ind w:firstLine="420" w:firstLineChars="200"/>
        <w:rPr>
          <w:rFonts w:ascii="Times New Roman" w:hAnsi="Times New Roman" w:cs="Times New Roman"/>
          <w:sz w:val="21"/>
          <w:szCs w:val="21"/>
          <w:highlight w:val="yellow"/>
        </w:rPr>
      </w:pPr>
      <w:r>
        <w:rPr>
          <w:rFonts w:ascii="Times New Roman" w:hAnsi="Times New Roman" w:cs="Times New Roman"/>
          <w:sz w:val="21"/>
          <w:szCs w:val="21"/>
          <w:highlight w:val="yellow"/>
        </w:rPr>
        <w:t>邮编：510640。</w:t>
      </w:r>
    </w:p>
    <w:p>
      <w:pPr>
        <w:pStyle w:val="117"/>
        <w:numPr>
          <w:ilvl w:val="0"/>
          <w:numId w:val="2"/>
        </w:numPr>
        <w:tabs>
          <w:tab w:val="left" w:pos="914"/>
        </w:tabs>
        <w:spacing w:line="360" w:lineRule="auto"/>
        <w:ind w:firstLine="420" w:firstLineChars="200"/>
        <w:rPr>
          <w:rFonts w:ascii="Times New Roman" w:hAnsi="Times New Roman" w:cs="Times New Roman"/>
          <w:sz w:val="21"/>
          <w:szCs w:val="21"/>
          <w:highlight w:val="yellow"/>
        </w:rPr>
      </w:pPr>
      <w:r>
        <w:rPr>
          <w:rFonts w:ascii="Times New Roman" w:hAnsi="Times New Roman" w:cs="Times New Roman"/>
          <w:sz w:val="21"/>
          <w:szCs w:val="21"/>
          <w:highlight w:val="yellow"/>
        </w:rPr>
        <w:t>评审</w:t>
      </w:r>
      <w:r>
        <w:rPr>
          <w:rFonts w:hint="eastAsia" w:ascii="Times New Roman" w:hAnsi="Times New Roman" w:cs="Times New Roman"/>
          <w:sz w:val="21"/>
          <w:szCs w:val="21"/>
          <w:highlight w:val="yellow"/>
        </w:rPr>
        <w:t>时间：采购人根据工作安排定</w:t>
      </w:r>
      <w:r>
        <w:rPr>
          <w:rFonts w:ascii="Times New Roman" w:hAnsi="Times New Roman" w:cs="Times New Roman"/>
          <w:sz w:val="21"/>
          <w:szCs w:val="21"/>
          <w:highlight w:val="yellow"/>
        </w:rPr>
        <w:t>评审</w:t>
      </w:r>
      <w:r>
        <w:rPr>
          <w:rFonts w:hint="eastAsia" w:ascii="Times New Roman" w:hAnsi="Times New Roman" w:cs="Times New Roman"/>
          <w:sz w:val="21"/>
          <w:szCs w:val="21"/>
          <w:highlight w:val="yellow"/>
        </w:rPr>
        <w:t>时间，届时电话通知。</w:t>
      </w:r>
    </w:p>
    <w:p>
      <w:pPr>
        <w:pStyle w:val="117"/>
        <w:numPr>
          <w:ilvl w:val="0"/>
          <w:numId w:val="2"/>
        </w:numPr>
        <w:tabs>
          <w:tab w:val="left" w:pos="914"/>
        </w:tabs>
        <w:spacing w:line="360" w:lineRule="auto"/>
        <w:ind w:firstLine="420" w:firstLineChars="200"/>
        <w:rPr>
          <w:rFonts w:ascii="Times New Roman" w:hAnsi="Times New Roman" w:cs="Times New Roman"/>
          <w:sz w:val="21"/>
          <w:szCs w:val="21"/>
          <w:highlight w:val="yellow"/>
          <w:lang w:eastAsia="zh-CN"/>
        </w:rPr>
      </w:pPr>
      <w:r>
        <w:rPr>
          <w:rFonts w:hint="eastAsia" w:ascii="Times New Roman" w:hAnsi="Times New Roman" w:cs="Times New Roman"/>
          <w:sz w:val="21"/>
          <w:szCs w:val="21"/>
          <w:highlight w:val="yellow"/>
          <w:lang w:val="en-US" w:eastAsia="zh-CN"/>
        </w:rPr>
        <w:t>评审</w:t>
      </w:r>
      <w:r>
        <w:rPr>
          <w:rFonts w:hint="eastAsia" w:ascii="Times New Roman" w:hAnsi="Times New Roman" w:cs="Times New Roman"/>
          <w:sz w:val="21"/>
          <w:szCs w:val="21"/>
          <w:highlight w:val="yellow"/>
        </w:rPr>
        <w:t>地点：广州市天河区瘦狗岭路</w:t>
      </w:r>
      <w:r>
        <w:rPr>
          <w:rFonts w:ascii="Times New Roman" w:hAnsi="Times New Roman" w:cs="Times New Roman"/>
          <w:sz w:val="21"/>
          <w:szCs w:val="21"/>
          <w:highlight w:val="yellow"/>
        </w:rPr>
        <w:t xml:space="preserve"> 483 </w:t>
      </w:r>
      <w:r>
        <w:rPr>
          <w:rFonts w:hint="eastAsia" w:ascii="Times New Roman" w:hAnsi="Times New Roman" w:cs="Times New Roman"/>
          <w:sz w:val="21"/>
          <w:szCs w:val="21"/>
          <w:highlight w:val="yellow"/>
        </w:rPr>
        <w:t>号</w:t>
      </w:r>
      <w:r>
        <w:rPr>
          <w:rFonts w:hint="eastAsia" w:ascii="Times New Roman" w:hAnsi="Times New Roman" w:cs="Times New Roman"/>
          <w:sz w:val="21"/>
          <w:szCs w:val="21"/>
          <w:highlight w:val="yellow"/>
          <w:lang w:eastAsia="zh-CN"/>
        </w:rPr>
        <w:t>。</w:t>
      </w:r>
    </w:p>
    <w:p>
      <w:pPr>
        <w:pStyle w:val="117"/>
        <w:tabs>
          <w:tab w:val="left" w:pos="914"/>
        </w:tabs>
        <w:spacing w:line="360" w:lineRule="auto"/>
        <w:ind w:firstLine="420" w:firstLineChars="200"/>
        <w:rPr>
          <w:rFonts w:ascii="Times New Roman" w:hAnsi="Times New Roman" w:cs="Times New Roman"/>
          <w:sz w:val="21"/>
          <w:szCs w:val="21"/>
          <w:lang w:eastAsia="zh-CN"/>
        </w:rPr>
      </w:pPr>
    </w:p>
    <w:p>
      <w:pPr>
        <w:spacing w:line="360" w:lineRule="auto"/>
        <w:ind w:firstLine="422" w:firstLineChars="200"/>
        <w:rPr>
          <w:b/>
          <w:szCs w:val="22"/>
        </w:rPr>
      </w:pPr>
      <w:r>
        <w:rPr>
          <w:rFonts w:hint="eastAsia"/>
          <w:b/>
          <w:szCs w:val="22"/>
        </w:rPr>
        <w:t>五、</w:t>
      </w:r>
      <w:r>
        <w:rPr>
          <w:b/>
          <w:szCs w:val="22"/>
        </w:rPr>
        <w:tab/>
      </w:r>
      <w:r>
        <w:rPr>
          <w:rFonts w:hint="eastAsia"/>
          <w:b/>
          <w:szCs w:val="22"/>
        </w:rPr>
        <w:t>对本次评选提出询问，请按以下方式联系</w:t>
      </w:r>
    </w:p>
    <w:p>
      <w:pPr>
        <w:pStyle w:val="117"/>
        <w:tabs>
          <w:tab w:val="left" w:pos="914"/>
        </w:tabs>
        <w:spacing w:line="360" w:lineRule="auto"/>
        <w:ind w:firstLine="420" w:firstLineChars="200"/>
        <w:rPr>
          <w:rFonts w:ascii="Times New Roman" w:hAnsi="Times New Roman" w:cs="Times New Roman"/>
          <w:sz w:val="21"/>
          <w:szCs w:val="21"/>
          <w:lang w:eastAsia="zh-CN"/>
        </w:rPr>
      </w:pPr>
      <w:r>
        <w:rPr>
          <w:rFonts w:hint="eastAsia" w:ascii="Times New Roman" w:hAnsi="Times New Roman" w:cs="Times New Roman"/>
          <w:sz w:val="21"/>
          <w:szCs w:val="21"/>
          <w:lang w:eastAsia="zh-CN"/>
        </w:rPr>
        <w:t>　　采购人：广东省消防救援总队</w:t>
      </w:r>
    </w:p>
    <w:p>
      <w:pPr>
        <w:pStyle w:val="117"/>
        <w:tabs>
          <w:tab w:val="left" w:pos="914"/>
        </w:tabs>
        <w:spacing w:line="360" w:lineRule="auto"/>
        <w:ind w:firstLine="420" w:firstLineChars="200"/>
        <w:rPr>
          <w:rFonts w:ascii="Times New Roman" w:hAnsi="Times New Roman" w:cs="Times New Roman"/>
          <w:sz w:val="21"/>
          <w:szCs w:val="21"/>
          <w:lang w:eastAsia="zh-CN"/>
        </w:rPr>
      </w:pPr>
      <w:r>
        <w:rPr>
          <w:rFonts w:hint="eastAsia" w:ascii="Times New Roman" w:hAnsi="Times New Roman" w:cs="Times New Roman"/>
          <w:sz w:val="21"/>
          <w:szCs w:val="21"/>
          <w:lang w:eastAsia="zh-CN"/>
        </w:rPr>
        <w:t>　　地址：广州市天河区瘦狗岭路</w:t>
      </w:r>
      <w:r>
        <w:rPr>
          <w:rFonts w:ascii="Times New Roman" w:hAnsi="Times New Roman" w:cs="Times New Roman"/>
          <w:sz w:val="21"/>
          <w:szCs w:val="21"/>
          <w:lang w:eastAsia="zh-CN"/>
        </w:rPr>
        <w:t xml:space="preserve"> 483 </w:t>
      </w:r>
      <w:r>
        <w:rPr>
          <w:rFonts w:hint="eastAsia" w:ascii="Times New Roman" w:hAnsi="Times New Roman" w:cs="Times New Roman"/>
          <w:sz w:val="21"/>
          <w:szCs w:val="21"/>
          <w:lang w:eastAsia="zh-CN"/>
        </w:rPr>
        <w:t>号</w:t>
      </w:r>
    </w:p>
    <w:p>
      <w:pPr>
        <w:pStyle w:val="117"/>
        <w:tabs>
          <w:tab w:val="left" w:pos="914"/>
        </w:tabs>
        <w:spacing w:line="360" w:lineRule="auto"/>
        <w:ind w:firstLine="420" w:firstLineChars="200"/>
        <w:rPr>
          <w:rFonts w:ascii="Times New Roman" w:hAnsi="Times New Roman" w:cs="Times New Roman"/>
          <w:sz w:val="21"/>
          <w:szCs w:val="21"/>
          <w:lang w:eastAsia="zh-CN"/>
        </w:rPr>
      </w:pPr>
      <w:r>
        <w:rPr>
          <w:rFonts w:hint="eastAsia" w:ascii="Times New Roman" w:hAnsi="Times New Roman" w:cs="Times New Roman"/>
          <w:sz w:val="21"/>
          <w:szCs w:val="21"/>
          <w:lang w:eastAsia="zh-CN"/>
        </w:rPr>
        <w:t>　　联系人：陈先生</w:t>
      </w:r>
    </w:p>
    <w:p>
      <w:pPr>
        <w:pStyle w:val="117"/>
        <w:tabs>
          <w:tab w:val="left" w:pos="914"/>
        </w:tabs>
        <w:spacing w:line="360" w:lineRule="auto"/>
        <w:ind w:firstLine="420" w:firstLineChars="200"/>
        <w:rPr>
          <w:rFonts w:ascii="Times New Roman" w:hAnsi="Times New Roman" w:cs="Times New Roman"/>
          <w:sz w:val="21"/>
          <w:szCs w:val="21"/>
          <w:lang w:eastAsia="zh-CN"/>
        </w:rPr>
      </w:pPr>
      <w:r>
        <w:rPr>
          <w:rFonts w:hint="eastAsia" w:ascii="Times New Roman" w:hAnsi="Times New Roman" w:cs="Times New Roman"/>
          <w:sz w:val="21"/>
          <w:szCs w:val="21"/>
          <w:lang w:eastAsia="zh-CN"/>
        </w:rPr>
        <w:t>　　联系电话：</w:t>
      </w:r>
      <w:r>
        <w:rPr>
          <w:rFonts w:ascii="Times New Roman" w:hAnsi="Times New Roman" w:cs="Times New Roman"/>
          <w:sz w:val="21"/>
          <w:szCs w:val="21"/>
          <w:lang w:eastAsia="zh-CN"/>
        </w:rPr>
        <w:t>020-87119154</w:t>
      </w:r>
    </w:p>
    <w:p>
      <w:pPr>
        <w:pStyle w:val="117"/>
        <w:numPr>
          <w:numId w:val="0"/>
        </w:numPr>
        <w:tabs>
          <w:tab w:val="left" w:pos="914"/>
        </w:tabs>
        <w:spacing w:line="360" w:lineRule="auto"/>
        <w:rPr>
          <w:rFonts w:ascii="Times New Roman" w:hAnsi="Times New Roman" w:cs="Times New Roman"/>
          <w:sz w:val="21"/>
          <w:szCs w:val="21"/>
          <w:highlight w:val="yellow"/>
          <w:lang w:eastAsia="zh-CN"/>
        </w:rPr>
      </w:pPr>
      <w:r>
        <w:rPr>
          <w:rFonts w:hint="eastAsia" w:ascii="Times New Roman" w:hAnsi="Times New Roman" w:cs="Times New Roman"/>
          <w:sz w:val="21"/>
          <w:szCs w:val="21"/>
          <w:lang w:eastAsia="zh-CN"/>
        </w:rPr>
        <w:t>　　邮编：</w:t>
      </w:r>
      <w:r>
        <w:rPr>
          <w:rFonts w:ascii="Times New Roman" w:hAnsi="Times New Roman" w:cs="Times New Roman"/>
          <w:sz w:val="21"/>
          <w:szCs w:val="21"/>
          <w:lang w:eastAsia="zh-CN"/>
        </w:rPr>
        <w:t>510640</w:t>
      </w:r>
      <w:r>
        <w:rPr>
          <w:sz w:val="32"/>
          <w:szCs w:val="32"/>
        </w:rPr>
        <w:br w:type="page"/>
      </w:r>
    </w:p>
    <w:p>
      <w:pPr>
        <w:pStyle w:val="117"/>
        <w:tabs>
          <w:tab w:val="left" w:pos="914"/>
        </w:tabs>
        <w:spacing w:line="360" w:lineRule="auto"/>
        <w:ind w:firstLine="400" w:firstLineChars="200"/>
        <w:rPr>
          <w:rFonts w:ascii="Times New Roman" w:hAnsi="Times New Roman" w:cs="Times New Roman"/>
          <w:sz w:val="21"/>
          <w:szCs w:val="21"/>
          <w:lang w:eastAsia="zh-CN"/>
        </w:rPr>
      </w:pPr>
      <w:bookmarkStart w:id="5" w:name="_Toc119527893"/>
      <w:bookmarkStart w:id="39" w:name="_GoBack"/>
      <w:bookmarkEnd w:id="39"/>
      <w:r>
        <w:rPr>
          <w:rFonts w:hint="eastAsia"/>
        </w:rPr>
        <w:t>第二章  参评须知</w:t>
      </w:r>
      <w:bookmarkEnd w:id="3"/>
      <w:bookmarkEnd w:id="4"/>
      <w:bookmarkEnd w:id="5"/>
    </w:p>
    <w:p>
      <w:pPr>
        <w:jc w:val="center"/>
        <w:rPr>
          <w:rFonts w:ascii="宋体" w:hAnsi="宋体"/>
          <w:b/>
          <w:sz w:val="32"/>
          <w:szCs w:val="32"/>
        </w:rPr>
      </w:pPr>
      <w:r>
        <w:rPr>
          <w:rFonts w:hint="eastAsia" w:ascii="宋体" w:hAnsi="宋体"/>
          <w:b/>
          <w:sz w:val="32"/>
          <w:szCs w:val="32"/>
        </w:rPr>
        <w:t>参评须知前附表</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560"/>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59" w:type="dxa"/>
            <w:tcBorders>
              <w:top w:val="single" w:color="auto" w:sz="4" w:space="0"/>
              <w:left w:val="single" w:color="auto" w:sz="4" w:space="0"/>
              <w:bottom w:val="single" w:color="auto" w:sz="4" w:space="0"/>
              <w:right w:val="single" w:color="auto" w:sz="4" w:space="0"/>
            </w:tcBorders>
            <w:shd w:val="clear" w:color="auto" w:fill="EAEAEA"/>
            <w:vAlign w:val="center"/>
          </w:tcPr>
          <w:p>
            <w:pPr>
              <w:pStyle w:val="20"/>
              <w:adjustRightInd w:val="0"/>
              <w:snapToGrid w:val="0"/>
              <w:spacing w:line="276" w:lineRule="auto"/>
              <w:jc w:val="center"/>
              <w:rPr>
                <w:rFonts w:hAnsi="宋体"/>
                <w:b/>
                <w:szCs w:val="21"/>
              </w:rPr>
            </w:pPr>
            <w:r>
              <w:rPr>
                <w:rFonts w:hint="eastAsia" w:hAnsi="宋体"/>
                <w:b/>
                <w:szCs w:val="21"/>
              </w:rPr>
              <w:t>序号</w:t>
            </w:r>
          </w:p>
        </w:tc>
        <w:tc>
          <w:tcPr>
            <w:tcW w:w="1560" w:type="dxa"/>
            <w:tcBorders>
              <w:top w:val="single" w:color="auto" w:sz="4" w:space="0"/>
              <w:left w:val="single" w:color="auto" w:sz="4" w:space="0"/>
              <w:bottom w:val="single" w:color="auto" w:sz="4" w:space="0"/>
              <w:right w:val="single" w:color="auto" w:sz="4" w:space="0"/>
            </w:tcBorders>
            <w:shd w:val="clear" w:color="auto" w:fill="EAEAEA"/>
            <w:vAlign w:val="center"/>
          </w:tcPr>
          <w:p>
            <w:pPr>
              <w:pStyle w:val="20"/>
              <w:adjustRightInd w:val="0"/>
              <w:snapToGrid w:val="0"/>
              <w:spacing w:line="276" w:lineRule="auto"/>
              <w:jc w:val="center"/>
              <w:rPr>
                <w:rFonts w:hAnsi="宋体"/>
                <w:b/>
                <w:szCs w:val="21"/>
              </w:rPr>
            </w:pPr>
            <w:r>
              <w:rPr>
                <w:rFonts w:hint="eastAsia" w:hAnsi="宋体"/>
                <w:b/>
                <w:szCs w:val="21"/>
              </w:rPr>
              <w:t>项目</w:t>
            </w:r>
          </w:p>
        </w:tc>
        <w:tc>
          <w:tcPr>
            <w:tcW w:w="6913" w:type="dxa"/>
            <w:tcBorders>
              <w:top w:val="single" w:color="auto" w:sz="4" w:space="0"/>
              <w:left w:val="single" w:color="auto" w:sz="4" w:space="0"/>
              <w:bottom w:val="single" w:color="auto" w:sz="4" w:space="0"/>
              <w:right w:val="single" w:color="auto" w:sz="4" w:space="0"/>
            </w:tcBorders>
            <w:shd w:val="clear" w:color="auto" w:fill="EAEAEA"/>
            <w:vAlign w:val="center"/>
          </w:tcPr>
          <w:p>
            <w:pPr>
              <w:pStyle w:val="20"/>
              <w:adjustRightInd w:val="0"/>
              <w:snapToGrid w:val="0"/>
              <w:spacing w:line="276" w:lineRule="auto"/>
              <w:jc w:val="center"/>
              <w:rPr>
                <w:rFonts w:hAnsi="宋体"/>
                <w:b/>
                <w:szCs w:val="21"/>
              </w:rPr>
            </w:pPr>
            <w:r>
              <w:rPr>
                <w:rFonts w:hint="eastAsia" w:hAnsi="宋体"/>
                <w:b/>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pStyle w:val="20"/>
              <w:numPr>
                <w:ilvl w:val="0"/>
                <w:numId w:val="3"/>
              </w:numPr>
              <w:adjustRightInd w:val="0"/>
              <w:snapToGrid w:val="0"/>
              <w:spacing w:line="276" w:lineRule="auto"/>
              <w:jc w:val="center"/>
              <w:rPr>
                <w:rFonts w:hAnsi="宋体"/>
                <w:bCs/>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pStyle w:val="20"/>
              <w:adjustRightInd w:val="0"/>
              <w:snapToGrid w:val="0"/>
              <w:spacing w:line="276" w:lineRule="auto"/>
              <w:jc w:val="center"/>
              <w:rPr>
                <w:rFonts w:hAnsi="宋体"/>
                <w:szCs w:val="21"/>
              </w:rPr>
            </w:pPr>
            <w:r>
              <w:rPr>
                <w:rFonts w:hint="eastAsia" w:hAnsi="宋体"/>
                <w:szCs w:val="21"/>
              </w:rPr>
              <w:t>项目概况</w:t>
            </w:r>
          </w:p>
        </w:tc>
        <w:tc>
          <w:tcPr>
            <w:tcW w:w="6913" w:type="dxa"/>
            <w:tcBorders>
              <w:top w:val="single" w:color="auto" w:sz="4" w:space="0"/>
              <w:left w:val="single" w:color="auto" w:sz="4" w:space="0"/>
              <w:bottom w:val="single" w:color="auto" w:sz="4" w:space="0"/>
              <w:right w:val="single" w:color="auto" w:sz="4" w:space="0"/>
            </w:tcBorders>
            <w:vAlign w:val="center"/>
          </w:tcPr>
          <w:p>
            <w:pPr>
              <w:tabs>
                <w:tab w:val="left" w:pos="2552"/>
              </w:tabs>
              <w:spacing w:line="276" w:lineRule="auto"/>
              <w:rPr>
                <w:rFonts w:ascii="宋体" w:hAnsi="宋体"/>
                <w:szCs w:val="21"/>
              </w:rPr>
            </w:pPr>
            <w:r>
              <w:rPr>
                <w:rFonts w:hint="eastAsia" w:ascii="宋体" w:hAnsi="宋体"/>
                <w:szCs w:val="21"/>
              </w:rPr>
              <w:t>项目名称：</w:t>
            </w:r>
            <w:r>
              <w:rPr>
                <w:rFonts w:ascii="宋体" w:hAnsi="宋体"/>
                <w:szCs w:val="21"/>
              </w:rPr>
              <w:t>广东省消防救援总队信息安全等级保护测评服务（2022年）</w:t>
            </w:r>
          </w:p>
          <w:p>
            <w:pPr>
              <w:tabs>
                <w:tab w:val="left" w:pos="2552"/>
              </w:tabs>
              <w:spacing w:line="276" w:lineRule="auto"/>
              <w:rPr>
                <w:rFonts w:ascii="宋体" w:hAnsi="宋体"/>
                <w:szCs w:val="21"/>
              </w:rPr>
            </w:pPr>
            <w:r>
              <w:rPr>
                <w:rFonts w:hint="eastAsia" w:ascii="宋体" w:hAnsi="宋体"/>
                <w:color w:val="FF0000"/>
                <w:szCs w:val="21"/>
              </w:rPr>
              <w:t>项目编号：ZDXXH2022001</w:t>
            </w:r>
          </w:p>
          <w:p>
            <w:pPr>
              <w:tabs>
                <w:tab w:val="left" w:pos="2552"/>
              </w:tabs>
              <w:spacing w:line="276" w:lineRule="auto"/>
              <w:rPr>
                <w:rFonts w:ascii="宋体" w:hAnsi="宋体"/>
                <w:szCs w:val="21"/>
              </w:rPr>
            </w:pPr>
            <w:r>
              <w:rPr>
                <w:rFonts w:hint="eastAsia" w:ascii="宋体" w:hAnsi="宋体"/>
                <w:szCs w:val="21"/>
              </w:rPr>
              <w:t>采购人名称：广东省消防救援总队</w:t>
            </w:r>
          </w:p>
          <w:p>
            <w:pPr>
              <w:tabs>
                <w:tab w:val="left" w:pos="2552"/>
              </w:tabs>
              <w:spacing w:line="276" w:lineRule="auto"/>
              <w:rPr>
                <w:rFonts w:ascii="宋体" w:hAnsi="宋体"/>
                <w:szCs w:val="21"/>
              </w:rPr>
            </w:pPr>
            <w:r>
              <w:rPr>
                <w:rFonts w:hint="eastAsia" w:ascii="宋体" w:hAnsi="宋体"/>
                <w:szCs w:val="21"/>
              </w:rPr>
              <w:t>采购方式：遴选采购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vAlign w:val="center"/>
          </w:tcPr>
          <w:p>
            <w:pPr>
              <w:pStyle w:val="20"/>
              <w:numPr>
                <w:ilvl w:val="0"/>
                <w:numId w:val="3"/>
              </w:numPr>
              <w:adjustRightInd w:val="0"/>
              <w:snapToGrid w:val="0"/>
              <w:spacing w:line="276" w:lineRule="auto"/>
              <w:jc w:val="center"/>
              <w:rPr>
                <w:rFonts w:hAnsi="宋体"/>
                <w:bCs/>
                <w:szCs w:val="21"/>
              </w:rPr>
            </w:pPr>
          </w:p>
        </w:tc>
        <w:tc>
          <w:tcPr>
            <w:tcW w:w="1560" w:type="dxa"/>
            <w:vAlign w:val="center"/>
          </w:tcPr>
          <w:p>
            <w:pPr>
              <w:tabs>
                <w:tab w:val="left" w:pos="2552"/>
              </w:tabs>
              <w:spacing w:line="276" w:lineRule="auto"/>
              <w:jc w:val="center"/>
              <w:rPr>
                <w:rFonts w:ascii="宋体" w:hAnsi="宋体"/>
                <w:szCs w:val="21"/>
              </w:rPr>
            </w:pPr>
            <w:r>
              <w:rPr>
                <w:rFonts w:hint="eastAsia" w:ascii="宋体" w:hAnsi="宋体"/>
                <w:szCs w:val="21"/>
              </w:rPr>
              <w:t>评审有效期</w:t>
            </w:r>
          </w:p>
        </w:tc>
        <w:tc>
          <w:tcPr>
            <w:tcW w:w="6913" w:type="dxa"/>
            <w:vAlign w:val="center"/>
          </w:tcPr>
          <w:p>
            <w:pPr>
              <w:tabs>
                <w:tab w:val="left" w:pos="2552"/>
              </w:tabs>
              <w:spacing w:line="276" w:lineRule="auto"/>
              <w:rPr>
                <w:rFonts w:ascii="宋体" w:hAnsi="宋体"/>
                <w:szCs w:val="21"/>
              </w:rPr>
            </w:pPr>
            <w:r>
              <w:rPr>
                <w:rFonts w:hint="eastAsia" w:ascii="宋体" w:hAnsi="宋体"/>
                <w:szCs w:val="21"/>
              </w:rPr>
              <w:t>从评审截止之日起 90 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vAlign w:val="center"/>
          </w:tcPr>
          <w:p>
            <w:pPr>
              <w:pStyle w:val="20"/>
              <w:numPr>
                <w:ilvl w:val="0"/>
                <w:numId w:val="3"/>
              </w:numPr>
              <w:adjustRightInd w:val="0"/>
              <w:snapToGrid w:val="0"/>
              <w:spacing w:line="276" w:lineRule="auto"/>
              <w:jc w:val="center"/>
              <w:rPr>
                <w:rFonts w:hAnsi="宋体"/>
                <w:bCs/>
                <w:szCs w:val="21"/>
              </w:rPr>
            </w:pPr>
          </w:p>
        </w:tc>
        <w:tc>
          <w:tcPr>
            <w:tcW w:w="1560" w:type="dxa"/>
            <w:vAlign w:val="center"/>
          </w:tcPr>
          <w:p>
            <w:pPr>
              <w:tabs>
                <w:tab w:val="left" w:pos="2552"/>
              </w:tabs>
              <w:spacing w:line="276" w:lineRule="auto"/>
              <w:jc w:val="center"/>
              <w:rPr>
                <w:rFonts w:ascii="宋体" w:hAnsi="宋体"/>
                <w:szCs w:val="21"/>
              </w:rPr>
            </w:pPr>
            <w:r>
              <w:rPr>
                <w:rFonts w:hint="eastAsia" w:ascii="宋体" w:hAnsi="宋体"/>
                <w:szCs w:val="21"/>
              </w:rPr>
              <w:t>参评递交材料</w:t>
            </w:r>
          </w:p>
        </w:tc>
        <w:tc>
          <w:tcPr>
            <w:tcW w:w="6913" w:type="dxa"/>
            <w:vAlign w:val="center"/>
          </w:tcPr>
          <w:p>
            <w:pPr>
              <w:tabs>
                <w:tab w:val="left" w:pos="2552"/>
              </w:tabs>
              <w:spacing w:line="276" w:lineRule="auto"/>
              <w:rPr>
                <w:rFonts w:ascii="宋体" w:hAnsi="宋体"/>
                <w:szCs w:val="21"/>
              </w:rPr>
            </w:pPr>
            <w:r>
              <w:rPr>
                <w:rFonts w:hint="eastAsia" w:ascii="宋体" w:hAnsi="宋体"/>
                <w:szCs w:val="21"/>
              </w:rPr>
              <w:t>参评文件</w:t>
            </w:r>
            <w:r>
              <w:rPr>
                <w:rFonts w:hint="eastAsia" w:ascii="宋体" w:hAnsi="宋体"/>
                <w:b/>
                <w:szCs w:val="21"/>
              </w:rPr>
              <w:t>一式三份</w:t>
            </w:r>
            <w:r>
              <w:rPr>
                <w:rFonts w:hint="eastAsia" w:ascii="宋体" w:hAnsi="宋体"/>
                <w:szCs w:val="21"/>
              </w:rPr>
              <w:t>和</w:t>
            </w:r>
            <w:r>
              <w:rPr>
                <w:rFonts w:hint="eastAsia" w:ascii="宋体" w:hAnsi="宋体"/>
                <w:b/>
                <w:szCs w:val="21"/>
              </w:rPr>
              <w:t>电子参评书壹份</w:t>
            </w:r>
            <w:r>
              <w:rPr>
                <w:rFonts w:hint="eastAsia" w:ascii="宋体" w:hAnsi="宋体"/>
                <w:szCs w:val="21"/>
              </w:rPr>
              <w:t>一起封装，在每一封口处加盖公章，并在封套上标明项目名称、参评人名称等字样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vAlign w:val="center"/>
          </w:tcPr>
          <w:p>
            <w:pPr>
              <w:pStyle w:val="20"/>
              <w:numPr>
                <w:ilvl w:val="0"/>
                <w:numId w:val="3"/>
              </w:numPr>
              <w:adjustRightInd w:val="0"/>
              <w:snapToGrid w:val="0"/>
              <w:spacing w:line="276" w:lineRule="auto"/>
              <w:jc w:val="center"/>
              <w:rPr>
                <w:rFonts w:hAnsi="宋体"/>
                <w:bCs/>
                <w:szCs w:val="21"/>
              </w:rPr>
            </w:pPr>
          </w:p>
        </w:tc>
        <w:tc>
          <w:tcPr>
            <w:tcW w:w="1560" w:type="dxa"/>
            <w:vAlign w:val="center"/>
          </w:tcPr>
          <w:p>
            <w:pPr>
              <w:tabs>
                <w:tab w:val="left" w:pos="2552"/>
              </w:tabs>
              <w:spacing w:line="276" w:lineRule="auto"/>
              <w:jc w:val="center"/>
              <w:rPr>
                <w:rFonts w:ascii="宋体" w:hAnsi="宋体"/>
                <w:szCs w:val="21"/>
              </w:rPr>
            </w:pPr>
            <w:r>
              <w:rPr>
                <w:rFonts w:hint="eastAsia" w:ascii="宋体" w:hAnsi="宋体"/>
                <w:szCs w:val="21"/>
              </w:rPr>
              <w:t>参评递交方式</w:t>
            </w:r>
          </w:p>
        </w:tc>
        <w:tc>
          <w:tcPr>
            <w:tcW w:w="6913" w:type="dxa"/>
            <w:tcBorders>
              <w:bottom w:val="single" w:color="000000" w:sz="4" w:space="0"/>
            </w:tcBorders>
            <w:vAlign w:val="center"/>
          </w:tcPr>
          <w:p>
            <w:pPr>
              <w:tabs>
                <w:tab w:val="left" w:pos="2552"/>
              </w:tabs>
              <w:spacing w:line="276" w:lineRule="auto"/>
              <w:rPr>
                <w:rFonts w:ascii="宋体" w:hAnsi="宋体"/>
                <w:szCs w:val="21"/>
              </w:rPr>
            </w:pPr>
            <w:r>
              <w:rPr>
                <w:rFonts w:hint="eastAsia" w:ascii="宋体" w:hAnsi="宋体"/>
                <w:szCs w:val="21"/>
              </w:rPr>
              <w:t>采用EMS邮寄参评，邮寄地址及收件人：广东省广州市天河区瘦狗岭路483号广东消防救援总队信息通信处，文先生（电话020-87119156）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vAlign w:val="center"/>
          </w:tcPr>
          <w:p>
            <w:pPr>
              <w:pStyle w:val="20"/>
              <w:numPr>
                <w:ilvl w:val="0"/>
                <w:numId w:val="3"/>
              </w:numPr>
              <w:adjustRightInd w:val="0"/>
              <w:snapToGrid w:val="0"/>
              <w:spacing w:line="276" w:lineRule="auto"/>
              <w:jc w:val="center"/>
              <w:rPr>
                <w:rFonts w:hAnsi="宋体"/>
                <w:bCs/>
                <w:szCs w:val="21"/>
              </w:rPr>
            </w:pPr>
          </w:p>
        </w:tc>
        <w:tc>
          <w:tcPr>
            <w:tcW w:w="1560" w:type="dxa"/>
            <w:vAlign w:val="center"/>
          </w:tcPr>
          <w:p>
            <w:pPr>
              <w:tabs>
                <w:tab w:val="left" w:pos="2552"/>
              </w:tabs>
              <w:spacing w:line="276" w:lineRule="auto"/>
              <w:jc w:val="center"/>
              <w:rPr>
                <w:rFonts w:ascii="宋体" w:hAnsi="宋体"/>
                <w:szCs w:val="21"/>
              </w:rPr>
            </w:pPr>
            <w:r>
              <w:rPr>
                <w:rFonts w:hint="eastAsia" w:ascii="宋体" w:hAnsi="宋体"/>
                <w:szCs w:val="21"/>
              </w:rPr>
              <w:t>评审</w:t>
            </w:r>
          </w:p>
        </w:tc>
        <w:tc>
          <w:tcPr>
            <w:tcW w:w="6913" w:type="dxa"/>
            <w:tcBorders>
              <w:bottom w:val="single" w:color="000000" w:sz="4" w:space="0"/>
            </w:tcBorders>
            <w:vAlign w:val="center"/>
          </w:tcPr>
          <w:p>
            <w:pPr>
              <w:tabs>
                <w:tab w:val="left" w:pos="2552"/>
              </w:tabs>
              <w:spacing w:line="276" w:lineRule="auto"/>
              <w:rPr>
                <w:rFonts w:ascii="宋体" w:hAnsi="宋体"/>
                <w:b/>
                <w:szCs w:val="21"/>
              </w:rPr>
            </w:pPr>
            <w:r>
              <w:rPr>
                <w:rFonts w:hint="eastAsia"/>
                <w:szCs w:val="22"/>
              </w:rPr>
              <w:t>采购人根据工作安排确定评审时间，不晚于8月15日。参评公司代表需到现场参加。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tcBorders>
              <w:top w:val="single" w:color="auto" w:sz="4" w:space="0"/>
            </w:tcBorders>
            <w:vAlign w:val="center"/>
          </w:tcPr>
          <w:p>
            <w:pPr>
              <w:pStyle w:val="20"/>
              <w:numPr>
                <w:ilvl w:val="0"/>
                <w:numId w:val="3"/>
              </w:numPr>
              <w:adjustRightInd w:val="0"/>
              <w:snapToGrid w:val="0"/>
              <w:spacing w:line="276" w:lineRule="auto"/>
              <w:jc w:val="center"/>
              <w:rPr>
                <w:rFonts w:hAnsi="宋体"/>
                <w:bCs/>
                <w:szCs w:val="21"/>
              </w:rPr>
            </w:pPr>
          </w:p>
        </w:tc>
        <w:tc>
          <w:tcPr>
            <w:tcW w:w="1560" w:type="dxa"/>
            <w:tcBorders>
              <w:top w:val="single" w:color="auto" w:sz="4" w:space="0"/>
            </w:tcBorders>
            <w:vAlign w:val="center"/>
          </w:tcPr>
          <w:p>
            <w:pPr>
              <w:tabs>
                <w:tab w:val="left" w:pos="2552"/>
              </w:tabs>
              <w:spacing w:line="276" w:lineRule="auto"/>
              <w:jc w:val="center"/>
              <w:rPr>
                <w:rFonts w:ascii="宋体" w:hAnsi="宋体"/>
                <w:szCs w:val="21"/>
              </w:rPr>
            </w:pPr>
            <w:r>
              <w:rPr>
                <w:rFonts w:hint="eastAsia" w:ascii="宋体" w:hAnsi="宋体"/>
                <w:szCs w:val="21"/>
              </w:rPr>
              <w:t>评审小组</w:t>
            </w:r>
          </w:p>
        </w:tc>
        <w:tc>
          <w:tcPr>
            <w:tcW w:w="6913" w:type="dxa"/>
            <w:vAlign w:val="center"/>
          </w:tcPr>
          <w:p>
            <w:pPr>
              <w:tabs>
                <w:tab w:val="left" w:pos="2552"/>
              </w:tabs>
              <w:spacing w:line="276" w:lineRule="auto"/>
              <w:rPr>
                <w:rFonts w:ascii="宋体" w:hAnsi="宋体"/>
                <w:szCs w:val="21"/>
              </w:rPr>
            </w:pPr>
            <w:r>
              <w:rPr>
                <w:rFonts w:hint="eastAsia" w:ascii="宋体" w:hAnsi="宋体"/>
                <w:bCs/>
                <w:szCs w:val="21"/>
              </w:rPr>
              <w:t>全部评审过程由采购人组建的评审小组负责完成，评审小组由不少于3人单数成员组成。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vAlign w:val="center"/>
          </w:tcPr>
          <w:p>
            <w:pPr>
              <w:pStyle w:val="20"/>
              <w:numPr>
                <w:ilvl w:val="0"/>
                <w:numId w:val="3"/>
              </w:numPr>
              <w:adjustRightInd w:val="0"/>
              <w:snapToGrid w:val="0"/>
              <w:spacing w:line="276" w:lineRule="auto"/>
              <w:jc w:val="center"/>
              <w:rPr>
                <w:rFonts w:hAnsi="宋体"/>
                <w:bCs/>
                <w:szCs w:val="21"/>
              </w:rPr>
            </w:pPr>
          </w:p>
        </w:tc>
        <w:tc>
          <w:tcPr>
            <w:tcW w:w="1560" w:type="dxa"/>
            <w:vAlign w:val="center"/>
          </w:tcPr>
          <w:p>
            <w:pPr>
              <w:tabs>
                <w:tab w:val="left" w:pos="2552"/>
              </w:tabs>
              <w:spacing w:line="276" w:lineRule="auto"/>
              <w:jc w:val="center"/>
              <w:rPr>
                <w:rFonts w:ascii="宋体" w:hAnsi="宋体"/>
                <w:szCs w:val="21"/>
              </w:rPr>
            </w:pPr>
            <w:r>
              <w:rPr>
                <w:rFonts w:hint="eastAsia" w:ascii="宋体" w:hAnsi="宋体"/>
                <w:szCs w:val="21"/>
              </w:rPr>
              <w:t>评审方法</w:t>
            </w:r>
          </w:p>
        </w:tc>
        <w:tc>
          <w:tcPr>
            <w:tcW w:w="6913" w:type="dxa"/>
            <w:vAlign w:val="center"/>
          </w:tcPr>
          <w:p>
            <w:pPr>
              <w:tabs>
                <w:tab w:val="left" w:pos="2552"/>
              </w:tabs>
              <w:spacing w:line="276" w:lineRule="auto"/>
              <w:rPr>
                <w:rFonts w:ascii="宋体" w:hAnsi="宋体"/>
                <w:szCs w:val="21"/>
              </w:rPr>
            </w:pPr>
            <w:r>
              <w:rPr>
                <w:rFonts w:hint="eastAsia" w:ascii="宋体" w:hAnsi="宋体"/>
                <w:szCs w:val="21"/>
              </w:rPr>
              <w:t>综合评分法：见评分评审表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vAlign w:val="center"/>
          </w:tcPr>
          <w:p>
            <w:pPr>
              <w:pStyle w:val="20"/>
              <w:numPr>
                <w:ilvl w:val="0"/>
                <w:numId w:val="3"/>
              </w:numPr>
              <w:adjustRightInd w:val="0"/>
              <w:snapToGrid w:val="0"/>
              <w:spacing w:line="276" w:lineRule="auto"/>
              <w:jc w:val="center"/>
              <w:rPr>
                <w:rFonts w:hAnsi="宋体"/>
                <w:bCs/>
                <w:szCs w:val="21"/>
              </w:rPr>
            </w:pPr>
          </w:p>
        </w:tc>
        <w:tc>
          <w:tcPr>
            <w:tcW w:w="1560" w:type="dxa"/>
            <w:vAlign w:val="center"/>
          </w:tcPr>
          <w:p>
            <w:pPr>
              <w:spacing w:line="276" w:lineRule="auto"/>
              <w:jc w:val="center"/>
              <w:rPr>
                <w:rFonts w:ascii="宋体" w:hAnsi="宋体"/>
                <w:szCs w:val="21"/>
              </w:rPr>
            </w:pPr>
            <w:r>
              <w:rPr>
                <w:rFonts w:hint="eastAsia" w:ascii="宋体" w:hAnsi="宋体"/>
                <w:szCs w:val="21"/>
              </w:rPr>
              <w:t>评审步骤</w:t>
            </w:r>
          </w:p>
        </w:tc>
        <w:tc>
          <w:tcPr>
            <w:tcW w:w="6913" w:type="dxa"/>
            <w:vAlign w:val="center"/>
          </w:tcPr>
          <w:p>
            <w:pPr>
              <w:spacing w:line="276" w:lineRule="auto"/>
              <w:rPr>
                <w:rFonts w:ascii="宋体" w:hAnsi="宋体"/>
                <w:szCs w:val="21"/>
              </w:rPr>
            </w:pPr>
            <w:r>
              <w:rPr>
                <w:rFonts w:hint="eastAsia" w:ascii="宋体" w:hAnsi="宋体"/>
                <w:szCs w:val="21"/>
              </w:rPr>
              <w:t>先进行资格、符合性评审，再进行详细评审。只有通过资格、符合性评审的参评人才能进入详细的评审，即为</w:t>
            </w:r>
            <w:r>
              <w:rPr>
                <w:rFonts w:hint="eastAsia" w:ascii="宋体" w:hAnsi="宋体"/>
                <w:bCs/>
                <w:szCs w:val="21"/>
              </w:rPr>
              <w:t>入围参评人</w:t>
            </w:r>
            <w:r>
              <w:rPr>
                <w:rFonts w:hint="eastAsia"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vAlign w:val="center"/>
          </w:tcPr>
          <w:p>
            <w:pPr>
              <w:pStyle w:val="20"/>
              <w:numPr>
                <w:ilvl w:val="0"/>
                <w:numId w:val="3"/>
              </w:numPr>
              <w:adjustRightInd w:val="0"/>
              <w:snapToGrid w:val="0"/>
              <w:spacing w:line="276" w:lineRule="auto"/>
              <w:jc w:val="center"/>
              <w:rPr>
                <w:rFonts w:hAnsi="宋体"/>
                <w:bCs/>
                <w:szCs w:val="21"/>
              </w:rPr>
            </w:pPr>
          </w:p>
        </w:tc>
        <w:tc>
          <w:tcPr>
            <w:tcW w:w="1560" w:type="dxa"/>
            <w:vAlign w:val="center"/>
          </w:tcPr>
          <w:p>
            <w:pPr>
              <w:spacing w:line="276" w:lineRule="auto"/>
              <w:jc w:val="center"/>
              <w:rPr>
                <w:rFonts w:ascii="宋体" w:hAnsi="宋体"/>
                <w:szCs w:val="21"/>
              </w:rPr>
            </w:pPr>
            <w:r>
              <w:rPr>
                <w:rFonts w:hint="eastAsia" w:ascii="宋体" w:hAnsi="宋体"/>
                <w:bCs/>
                <w:szCs w:val="21"/>
              </w:rPr>
              <w:t>成交候选人的推荐</w:t>
            </w:r>
          </w:p>
        </w:tc>
        <w:tc>
          <w:tcPr>
            <w:tcW w:w="6913" w:type="dxa"/>
            <w:vAlign w:val="center"/>
          </w:tcPr>
          <w:p>
            <w:pPr>
              <w:spacing w:line="276" w:lineRule="auto"/>
              <w:rPr>
                <w:rFonts w:ascii="宋体" w:hAnsi="宋体"/>
                <w:bCs/>
                <w:szCs w:val="21"/>
              </w:rPr>
            </w:pPr>
            <w:r>
              <w:rPr>
                <w:rFonts w:hint="eastAsia" w:ascii="宋体" w:hAnsi="宋体"/>
                <w:bCs/>
                <w:szCs w:val="21"/>
              </w:rPr>
              <w:t>评审小组结合价格部分进行综合评估。评审小组按综合得分高低次序排出名次，并推荐综合得分排名第一的参评人为第一成交候选人，排名第二的参评人为第二成交候选人。</w:t>
            </w:r>
          </w:p>
          <w:p>
            <w:pPr>
              <w:spacing w:line="276" w:lineRule="auto"/>
              <w:rPr>
                <w:rFonts w:ascii="宋体" w:hAnsi="宋体"/>
                <w:bCs/>
                <w:szCs w:val="21"/>
              </w:rPr>
            </w:pPr>
            <w:r>
              <w:rPr>
                <w:rFonts w:hint="eastAsia" w:ascii="宋体" w:hAnsi="宋体"/>
                <w:bCs/>
                <w:szCs w:val="21"/>
              </w:rPr>
              <w:t>综合得分相同的，名次由评审小组抽签确定。法律法规有明确规定的，以法律法规规定为准。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vAlign w:val="center"/>
          </w:tcPr>
          <w:p>
            <w:pPr>
              <w:pStyle w:val="20"/>
              <w:numPr>
                <w:ilvl w:val="0"/>
                <w:numId w:val="3"/>
              </w:numPr>
              <w:adjustRightInd w:val="0"/>
              <w:snapToGrid w:val="0"/>
              <w:spacing w:line="276" w:lineRule="auto"/>
              <w:jc w:val="center"/>
              <w:rPr>
                <w:rFonts w:hAnsi="宋体"/>
                <w:bCs/>
                <w:szCs w:val="21"/>
              </w:rPr>
            </w:pPr>
          </w:p>
        </w:tc>
        <w:tc>
          <w:tcPr>
            <w:tcW w:w="1560" w:type="dxa"/>
            <w:vAlign w:val="center"/>
          </w:tcPr>
          <w:p>
            <w:pPr>
              <w:spacing w:line="276" w:lineRule="auto"/>
              <w:jc w:val="center"/>
              <w:rPr>
                <w:rFonts w:ascii="宋体" w:hAnsi="宋体"/>
                <w:szCs w:val="21"/>
              </w:rPr>
            </w:pPr>
            <w:r>
              <w:rPr>
                <w:rFonts w:hint="eastAsia" w:ascii="宋体" w:hAnsi="宋体"/>
                <w:szCs w:val="21"/>
              </w:rPr>
              <w:t>其他</w:t>
            </w:r>
          </w:p>
        </w:tc>
        <w:tc>
          <w:tcPr>
            <w:tcW w:w="6913" w:type="dxa"/>
            <w:vAlign w:val="center"/>
          </w:tcPr>
          <w:p>
            <w:pPr>
              <w:tabs>
                <w:tab w:val="left" w:pos="0"/>
              </w:tabs>
              <w:snapToGrid w:val="0"/>
              <w:spacing w:line="276" w:lineRule="auto"/>
              <w:rPr>
                <w:rFonts w:ascii="宋体" w:hAnsi="宋体"/>
                <w:bCs/>
                <w:szCs w:val="21"/>
              </w:rPr>
            </w:pPr>
            <w:r>
              <w:rPr>
                <w:rFonts w:hint="eastAsia" w:ascii="宋体" w:hAnsi="宋体"/>
                <w:bCs/>
                <w:szCs w:val="21"/>
              </w:rPr>
              <w:t>本项目不接受备选参评方案，不接受有任何选择或具有附加条件的报价，参评文件的报价只允许唯一方案报价。</w:t>
            </w:r>
          </w:p>
        </w:tc>
      </w:tr>
    </w:tbl>
    <w:p>
      <w:pPr>
        <w:spacing w:line="360" w:lineRule="auto"/>
        <w:ind w:firstLine="422" w:firstLineChars="200"/>
        <w:rPr>
          <w:rFonts w:ascii="宋体" w:hAnsi="宋体"/>
          <w:szCs w:val="21"/>
        </w:rPr>
      </w:pPr>
      <w:r>
        <w:rPr>
          <w:rFonts w:hint="eastAsia" w:ascii="宋体" w:hAnsi="宋体"/>
          <w:b/>
          <w:szCs w:val="21"/>
        </w:rPr>
        <w:t>参评人必须认真阅读参评须知的内容，以免造成参评失败。</w:t>
      </w:r>
    </w:p>
    <w:p>
      <w:pPr>
        <w:widowControl/>
        <w:spacing w:line="360" w:lineRule="auto"/>
        <w:ind w:firstLine="480" w:firstLineChars="200"/>
        <w:jc w:val="left"/>
        <w:rPr>
          <w:rFonts w:ascii="宋体" w:hAnsi="宋体" w:cs="宋体"/>
          <w:kern w:val="0"/>
          <w:sz w:val="24"/>
        </w:rPr>
      </w:pPr>
    </w:p>
    <w:p>
      <w:pPr>
        <w:pStyle w:val="4"/>
        <w:numPr>
          <w:ilvl w:val="0"/>
          <w:numId w:val="0"/>
        </w:numPr>
        <w:ind w:left="854" w:firstLine="643"/>
        <w:rPr>
          <w:rFonts w:ascii="宋体" w:hAnsi="宋体"/>
          <w:sz w:val="32"/>
          <w:szCs w:val="32"/>
        </w:rPr>
      </w:pPr>
      <w:r>
        <w:rPr>
          <w:rFonts w:ascii="宋体" w:hAnsi="宋体"/>
          <w:sz w:val="32"/>
          <w:szCs w:val="32"/>
        </w:rPr>
        <w:br w:type="page"/>
      </w:r>
      <w:bookmarkStart w:id="6" w:name="_Toc119527894"/>
      <w:r>
        <w:rPr>
          <w:rFonts w:hint="eastAsia"/>
        </w:rPr>
        <w:t>第三章  采购需求</w:t>
      </w:r>
      <w:bookmarkEnd w:id="6"/>
    </w:p>
    <w:p>
      <w:pPr>
        <w:pStyle w:val="7"/>
      </w:pPr>
    </w:p>
    <w:p>
      <w:pPr>
        <w:pStyle w:val="5"/>
        <w:numPr>
          <w:ilvl w:val="0"/>
          <w:numId w:val="4"/>
        </w:numPr>
      </w:pPr>
      <w:bookmarkStart w:id="7" w:name="_Toc119527895"/>
      <w:r>
        <w:rPr>
          <w:rFonts w:hint="eastAsia"/>
        </w:rPr>
        <w:t>基本要求</w:t>
      </w:r>
      <w:bookmarkEnd w:id="7"/>
    </w:p>
    <w:p>
      <w:pPr>
        <w:numPr>
          <w:ilvl w:val="0"/>
          <w:numId w:val="5"/>
        </w:numPr>
        <w:adjustRightInd w:val="0"/>
        <w:snapToGrid w:val="0"/>
        <w:spacing w:line="360" w:lineRule="auto"/>
        <w:rPr>
          <w:rFonts w:ascii="宋体" w:hAnsi="宋体" w:cs="宋体"/>
          <w:color w:val="FF0000"/>
          <w:kern w:val="28"/>
          <w:szCs w:val="21"/>
        </w:rPr>
      </w:pPr>
      <w:r>
        <w:rPr>
          <w:rFonts w:hint="eastAsia" w:ascii="宋体" w:hAnsi="宋体" w:cs="宋体"/>
          <w:color w:val="FF0000"/>
          <w:kern w:val="28"/>
          <w:szCs w:val="21"/>
        </w:rPr>
        <w:t>标有“★”的条款为必须完全满足的项目，任何</w:t>
      </w:r>
      <w:r>
        <w:rPr>
          <w:rFonts w:hint="eastAsia" w:ascii="宋体" w:hAnsi="宋体" w:cs="宋体"/>
          <w:color w:val="FF0000"/>
          <w:szCs w:val="21"/>
        </w:rPr>
        <w:t>未响应或负偏离</w:t>
      </w:r>
      <w:r>
        <w:rPr>
          <w:rFonts w:hint="eastAsia" w:ascii="宋体" w:hAnsi="宋体" w:cs="宋体"/>
          <w:color w:val="FF0000"/>
          <w:kern w:val="28"/>
          <w:szCs w:val="21"/>
        </w:rPr>
        <w:t>将导致无效响应。</w:t>
      </w:r>
    </w:p>
    <w:p>
      <w:pPr>
        <w:numPr>
          <w:ilvl w:val="0"/>
          <w:numId w:val="5"/>
        </w:numPr>
        <w:adjustRightInd w:val="0"/>
        <w:snapToGrid w:val="0"/>
        <w:spacing w:line="360" w:lineRule="auto"/>
        <w:rPr>
          <w:rFonts w:ascii="宋体" w:hAnsi="宋体" w:cs="宋体"/>
          <w:color w:val="FF0000"/>
          <w:kern w:val="28"/>
          <w:szCs w:val="21"/>
        </w:rPr>
      </w:pPr>
      <w:r>
        <w:rPr>
          <w:rFonts w:hint="eastAsia" w:ascii="宋体" w:hAnsi="宋体" w:cs="宋体"/>
          <w:color w:val="FF0000"/>
          <w:kern w:val="28"/>
          <w:szCs w:val="21"/>
        </w:rPr>
        <w:t>标有“▲”的条款和为重要项目，任何</w:t>
      </w:r>
      <w:r>
        <w:rPr>
          <w:rFonts w:hint="eastAsia" w:ascii="宋体" w:hAnsi="宋体" w:cs="宋体"/>
          <w:color w:val="FF0000"/>
          <w:szCs w:val="21"/>
        </w:rPr>
        <w:t>未响应或负偏离</w:t>
      </w:r>
      <w:r>
        <w:rPr>
          <w:rFonts w:hint="eastAsia" w:ascii="宋体" w:hAnsi="宋体" w:cs="宋体"/>
          <w:color w:val="FF0000"/>
          <w:kern w:val="28"/>
          <w:szCs w:val="21"/>
        </w:rPr>
        <w:t>将被严重扣分。</w:t>
      </w:r>
    </w:p>
    <w:p>
      <w:pPr>
        <w:numPr>
          <w:ilvl w:val="0"/>
          <w:numId w:val="5"/>
        </w:numPr>
        <w:adjustRightInd w:val="0"/>
        <w:snapToGrid w:val="0"/>
        <w:spacing w:line="360" w:lineRule="auto"/>
        <w:rPr>
          <w:rFonts w:ascii="宋体" w:hAnsi="宋体" w:cs="宋体"/>
          <w:color w:val="FF0000"/>
          <w:kern w:val="28"/>
          <w:szCs w:val="21"/>
        </w:rPr>
      </w:pPr>
      <w:r>
        <w:rPr>
          <w:rFonts w:hint="eastAsia" w:ascii="宋体" w:hAnsi="宋体" w:cs="宋体"/>
          <w:color w:val="FF0000"/>
          <w:kern w:val="28"/>
          <w:szCs w:val="21"/>
        </w:rPr>
        <w:t>参评人必须承诺提供厂商原装、全新的、符合国家及用户提出的有关质量标准的设备。</w:t>
      </w:r>
    </w:p>
    <w:p>
      <w:pPr>
        <w:numPr>
          <w:ilvl w:val="0"/>
          <w:numId w:val="5"/>
        </w:numPr>
        <w:adjustRightInd w:val="0"/>
        <w:snapToGrid w:val="0"/>
        <w:spacing w:line="360" w:lineRule="auto"/>
        <w:rPr>
          <w:rFonts w:ascii="宋体" w:hAnsi="宋体" w:cs="宋体"/>
          <w:color w:val="FF0000"/>
          <w:kern w:val="28"/>
          <w:szCs w:val="21"/>
        </w:rPr>
      </w:pPr>
      <w:r>
        <w:rPr>
          <w:rFonts w:hint="eastAsia" w:ascii="宋体" w:hAnsi="宋体" w:cs="宋体"/>
          <w:color w:val="FF0000"/>
          <w:kern w:val="28"/>
          <w:szCs w:val="21"/>
        </w:rPr>
        <w:t>参评人在响应建议中必须列出具体数值</w:t>
      </w:r>
      <w:r>
        <w:rPr>
          <w:rFonts w:hint="eastAsia" w:ascii="宋体" w:hAnsi="宋体"/>
          <w:color w:val="FF0000"/>
          <w:kern w:val="28"/>
          <w:szCs w:val="21"/>
        </w:rPr>
        <w:t>或具体承诺</w:t>
      </w:r>
      <w:r>
        <w:rPr>
          <w:rFonts w:ascii="宋体" w:hAnsi="宋体"/>
          <w:color w:val="FF0000"/>
          <w:kern w:val="28"/>
          <w:szCs w:val="21"/>
        </w:rPr>
        <w:t>。如果</w:t>
      </w:r>
      <w:r>
        <w:rPr>
          <w:rFonts w:hint="eastAsia" w:ascii="宋体" w:hAnsi="宋体" w:cs="宋体"/>
          <w:color w:val="FF0000"/>
          <w:kern w:val="28"/>
          <w:szCs w:val="21"/>
        </w:rPr>
        <w:t>参评</w:t>
      </w:r>
      <w:r>
        <w:rPr>
          <w:rFonts w:hint="eastAsia" w:ascii="宋体" w:hAnsi="宋体"/>
          <w:color w:val="FF0000"/>
          <w:kern w:val="28"/>
          <w:szCs w:val="21"/>
        </w:rPr>
        <w:t>人</w:t>
      </w:r>
      <w:r>
        <w:rPr>
          <w:rFonts w:ascii="宋体" w:hAnsi="宋体"/>
          <w:color w:val="FF0000"/>
          <w:kern w:val="28"/>
          <w:szCs w:val="21"/>
        </w:rPr>
        <w:t>只注明“</w:t>
      </w:r>
      <w:r>
        <w:rPr>
          <w:rFonts w:hint="eastAsia" w:ascii="宋体" w:hAnsi="宋体"/>
          <w:color w:val="FF0000"/>
          <w:kern w:val="28"/>
          <w:szCs w:val="21"/>
        </w:rPr>
        <w:t>正偏离</w:t>
      </w:r>
      <w:r>
        <w:rPr>
          <w:rFonts w:ascii="宋体" w:hAnsi="宋体"/>
          <w:color w:val="FF0000"/>
          <w:kern w:val="28"/>
          <w:szCs w:val="21"/>
        </w:rPr>
        <w:t>”或“</w:t>
      </w:r>
      <w:r>
        <w:rPr>
          <w:rFonts w:hint="eastAsia" w:ascii="宋体" w:hAnsi="宋体"/>
          <w:color w:val="FF0000"/>
          <w:kern w:val="28"/>
          <w:szCs w:val="21"/>
        </w:rPr>
        <w:t>无偏离</w:t>
      </w:r>
      <w:r>
        <w:rPr>
          <w:rFonts w:ascii="宋体" w:hAnsi="宋体"/>
          <w:color w:val="FF0000"/>
          <w:kern w:val="28"/>
          <w:szCs w:val="21"/>
        </w:rPr>
        <w:t>”，将被视为“</w:t>
      </w:r>
      <w:r>
        <w:rPr>
          <w:rFonts w:hint="eastAsia" w:ascii="宋体" w:hAnsi="宋体"/>
          <w:color w:val="FF0000"/>
          <w:kern w:val="28"/>
          <w:szCs w:val="21"/>
        </w:rPr>
        <w:t>负偏离</w:t>
      </w:r>
      <w:r>
        <w:rPr>
          <w:rFonts w:ascii="宋体" w:hAnsi="宋体"/>
          <w:color w:val="FF0000"/>
          <w:kern w:val="28"/>
          <w:szCs w:val="21"/>
        </w:rPr>
        <w:t>”</w:t>
      </w:r>
      <w:r>
        <w:rPr>
          <w:rFonts w:hint="eastAsia" w:ascii="宋体" w:hAnsi="宋体"/>
          <w:color w:val="FF0000"/>
          <w:kern w:val="28"/>
          <w:szCs w:val="21"/>
        </w:rPr>
        <w:t>，</w:t>
      </w:r>
      <w:r>
        <w:rPr>
          <w:rFonts w:ascii="宋体" w:hAnsi="宋体"/>
          <w:color w:val="FF0000"/>
          <w:kern w:val="28"/>
          <w:szCs w:val="21"/>
        </w:rPr>
        <w:t>从而可能导致严重影响</w:t>
      </w:r>
      <w:r>
        <w:rPr>
          <w:rFonts w:hint="eastAsia" w:ascii="宋体" w:hAnsi="宋体"/>
          <w:color w:val="FF0000"/>
          <w:kern w:val="28"/>
          <w:szCs w:val="21"/>
        </w:rPr>
        <w:t>评审</w:t>
      </w:r>
      <w:r>
        <w:rPr>
          <w:rFonts w:ascii="宋体" w:hAnsi="宋体"/>
          <w:color w:val="FF0000"/>
          <w:kern w:val="28"/>
          <w:szCs w:val="21"/>
        </w:rPr>
        <w:t>结果</w:t>
      </w:r>
      <w:r>
        <w:rPr>
          <w:rFonts w:hint="eastAsia" w:ascii="宋体" w:hAnsi="宋体" w:cs="宋体"/>
          <w:color w:val="FF0000"/>
          <w:kern w:val="28"/>
          <w:szCs w:val="21"/>
        </w:rPr>
        <w:t>。</w:t>
      </w:r>
    </w:p>
    <w:p>
      <w:pPr>
        <w:numPr>
          <w:ilvl w:val="0"/>
          <w:numId w:val="5"/>
        </w:numPr>
        <w:adjustRightInd w:val="0"/>
        <w:snapToGrid w:val="0"/>
        <w:spacing w:line="360" w:lineRule="auto"/>
        <w:rPr>
          <w:rFonts w:ascii="宋体" w:hAnsi="宋体" w:cs="宋体"/>
          <w:color w:val="FF0000"/>
          <w:kern w:val="28"/>
          <w:szCs w:val="21"/>
        </w:rPr>
      </w:pPr>
      <w:r>
        <w:rPr>
          <w:rFonts w:hint="eastAsia" w:ascii="宋体" w:hAnsi="宋体" w:cs="宋体"/>
          <w:color w:val="FF0000"/>
          <w:kern w:val="28"/>
          <w:szCs w:val="21"/>
        </w:rPr>
        <w:t>参评人在参评文件中报价的设备应当给出具体的型号。</w:t>
      </w:r>
    </w:p>
    <w:p>
      <w:pPr>
        <w:numPr>
          <w:ilvl w:val="0"/>
          <w:numId w:val="5"/>
        </w:numPr>
        <w:adjustRightInd w:val="0"/>
        <w:snapToGrid w:val="0"/>
        <w:spacing w:line="360" w:lineRule="auto"/>
        <w:rPr>
          <w:rFonts w:ascii="宋体" w:hAnsi="宋体" w:cs="宋体"/>
          <w:color w:val="FF0000"/>
          <w:kern w:val="28"/>
          <w:szCs w:val="21"/>
        </w:rPr>
      </w:pPr>
      <w:r>
        <w:rPr>
          <w:rFonts w:hint="eastAsia" w:ascii="宋体" w:hAnsi="宋体" w:cs="宋体"/>
          <w:color w:val="FF0000"/>
          <w:kern w:val="28"/>
          <w:szCs w:val="21"/>
        </w:rPr>
        <w:t>参评人</w:t>
      </w:r>
      <w:r>
        <w:rPr>
          <w:rFonts w:hint="eastAsia" w:ascii="宋体" w:hAnsi="宋体" w:cs="宋体"/>
          <w:color w:val="FF0000"/>
          <w:szCs w:val="21"/>
        </w:rPr>
        <w:t>所</w:t>
      </w:r>
      <w:r>
        <w:rPr>
          <w:rFonts w:hint="eastAsia" w:ascii="宋体" w:hAnsi="宋体" w:cs="宋体"/>
          <w:color w:val="FF0000"/>
          <w:kern w:val="28"/>
          <w:szCs w:val="21"/>
        </w:rPr>
        <w:t>报价的产品</w:t>
      </w:r>
      <w:r>
        <w:rPr>
          <w:rFonts w:hint="eastAsia" w:ascii="宋体" w:hAnsi="宋体" w:cs="宋体"/>
          <w:color w:val="FF0000"/>
          <w:szCs w:val="21"/>
        </w:rPr>
        <w:t>除遴选文件中明确规定要求提供官网截图或相应检测报告等证明材料以外，所有技术参数描述均以</w:t>
      </w:r>
      <w:r>
        <w:rPr>
          <w:rFonts w:hint="eastAsia" w:ascii="宋体" w:hAnsi="宋体" w:cs="宋体"/>
          <w:color w:val="FF0000"/>
          <w:kern w:val="28"/>
          <w:szCs w:val="21"/>
        </w:rPr>
        <w:t>参评</w:t>
      </w:r>
      <w:r>
        <w:rPr>
          <w:rFonts w:hint="eastAsia" w:ascii="宋体" w:hAnsi="宋体" w:cs="宋体"/>
          <w:color w:val="FF0000"/>
          <w:szCs w:val="21"/>
        </w:rPr>
        <w:t>文件为准（</w:t>
      </w:r>
      <w:r>
        <w:rPr>
          <w:rFonts w:hint="eastAsia" w:ascii="宋体" w:hAnsi="宋体" w:cs="宋体"/>
          <w:color w:val="FF0000"/>
          <w:kern w:val="28"/>
          <w:szCs w:val="21"/>
        </w:rPr>
        <w:t>参评</w:t>
      </w:r>
      <w:r>
        <w:rPr>
          <w:rFonts w:hint="eastAsia" w:ascii="宋体" w:hAnsi="宋体" w:cs="宋体"/>
          <w:color w:val="FF0000"/>
          <w:szCs w:val="21"/>
        </w:rPr>
        <w:t>文件内厂家提供的技术参数描述与</w:t>
      </w:r>
      <w:r>
        <w:rPr>
          <w:rFonts w:hint="eastAsia" w:ascii="宋体" w:hAnsi="宋体" w:cs="宋体"/>
          <w:color w:val="FF0000"/>
          <w:kern w:val="28"/>
          <w:szCs w:val="21"/>
        </w:rPr>
        <w:t>参评人</w:t>
      </w:r>
      <w:r>
        <w:rPr>
          <w:rFonts w:hint="eastAsia" w:ascii="宋体" w:hAnsi="宋体" w:cs="宋体"/>
          <w:color w:val="FF0000"/>
          <w:szCs w:val="21"/>
        </w:rPr>
        <w:t>响应技术参数描述不一致时，以厂家提供的技术参数描述为准）。</w:t>
      </w:r>
      <w:r>
        <w:rPr>
          <w:rFonts w:hint="eastAsia" w:ascii="宋体" w:hAnsi="宋体" w:cs="宋体"/>
          <w:color w:val="FF0000"/>
          <w:kern w:val="28"/>
          <w:szCs w:val="21"/>
        </w:rPr>
        <w:t>参评人</w:t>
      </w:r>
      <w:r>
        <w:rPr>
          <w:rFonts w:hint="eastAsia" w:ascii="宋体" w:hAnsi="宋体" w:cs="宋体"/>
          <w:color w:val="FF0000"/>
          <w:szCs w:val="21"/>
        </w:rPr>
        <w:t>须对所投报价产品技术参数的真实性承担法律责任</w:t>
      </w:r>
      <w:r>
        <w:rPr>
          <w:rFonts w:hint="eastAsia" w:ascii="宋体" w:hAnsi="宋体" w:cs="宋体"/>
          <w:color w:val="FF0000"/>
          <w:kern w:val="28"/>
          <w:szCs w:val="21"/>
        </w:rPr>
        <w:t>。</w:t>
      </w:r>
    </w:p>
    <w:p>
      <w:pPr>
        <w:numPr>
          <w:ilvl w:val="0"/>
          <w:numId w:val="5"/>
        </w:numPr>
        <w:adjustRightInd w:val="0"/>
        <w:snapToGrid w:val="0"/>
        <w:spacing w:line="360" w:lineRule="auto"/>
        <w:rPr>
          <w:rFonts w:ascii="宋体" w:hAnsi="宋体" w:cs="宋体"/>
          <w:color w:val="FF0000"/>
          <w:kern w:val="28"/>
          <w:szCs w:val="21"/>
        </w:rPr>
      </w:pPr>
      <w:r>
        <w:rPr>
          <w:rFonts w:hint="eastAsia" w:ascii="宋体" w:hAnsi="宋体" w:cs="宋体"/>
          <w:color w:val="FF0000"/>
          <w:szCs w:val="21"/>
        </w:rPr>
        <w:t>凡列入《中华人民共和国实施强制性产品认证的产品目录》的产品在验收时必须出具CCC认证证书复印件，并以在产品外部加施认证标志作为验收依据之一</w:t>
      </w:r>
      <w:r>
        <w:rPr>
          <w:rFonts w:hint="eastAsia" w:ascii="宋体" w:hAnsi="宋体" w:cs="宋体"/>
          <w:color w:val="FF0000"/>
          <w:kern w:val="28"/>
          <w:szCs w:val="21"/>
        </w:rPr>
        <w:t>。</w:t>
      </w:r>
    </w:p>
    <w:p>
      <w:pPr>
        <w:numPr>
          <w:ilvl w:val="0"/>
          <w:numId w:val="5"/>
        </w:numPr>
        <w:adjustRightInd w:val="0"/>
        <w:snapToGrid w:val="0"/>
        <w:spacing w:line="360" w:lineRule="auto"/>
        <w:rPr>
          <w:rFonts w:ascii="宋体" w:hAnsi="宋体" w:cs="宋体"/>
          <w:color w:val="FF0000"/>
          <w:szCs w:val="21"/>
        </w:rPr>
      </w:pPr>
      <w:r>
        <w:rPr>
          <w:rFonts w:hint="eastAsia" w:ascii="宋体" w:hAnsi="宋体" w:cs="宋体"/>
          <w:color w:val="FF0000"/>
          <w:szCs w:val="21"/>
        </w:rPr>
        <w:t>涉及到软件产品的，必须采购和使用正版软件，项目中涉及计算机办公产品的，必须预装正版操作系统软件。</w:t>
      </w:r>
    </w:p>
    <w:p>
      <w:pPr>
        <w:numPr>
          <w:ilvl w:val="0"/>
          <w:numId w:val="5"/>
        </w:numPr>
        <w:adjustRightInd w:val="0"/>
        <w:snapToGrid w:val="0"/>
        <w:spacing w:line="360" w:lineRule="auto"/>
        <w:rPr>
          <w:rFonts w:ascii="宋体" w:hAnsi="宋体" w:cs="宋体"/>
          <w:color w:val="FF0000"/>
          <w:szCs w:val="21"/>
        </w:rPr>
      </w:pPr>
      <w:r>
        <w:rPr>
          <w:rFonts w:hint="eastAsia" w:ascii="宋体" w:hAnsi="宋体" w:cs="宋体"/>
          <w:color w:val="FF0000"/>
          <w:kern w:val="28"/>
          <w:szCs w:val="21"/>
        </w:rPr>
        <w:t>参评</w:t>
      </w:r>
      <w:r>
        <w:rPr>
          <w:rFonts w:hint="eastAsia" w:ascii="宋体" w:hAnsi="宋体" w:cs="宋体"/>
          <w:color w:val="FF0000"/>
          <w:szCs w:val="21"/>
        </w:rPr>
        <w:t>人没有在</w:t>
      </w:r>
      <w:r>
        <w:rPr>
          <w:rFonts w:hint="eastAsia" w:ascii="宋体" w:hAnsi="宋体" w:cs="宋体"/>
          <w:color w:val="FF0000"/>
          <w:kern w:val="28"/>
          <w:szCs w:val="21"/>
        </w:rPr>
        <w:t>参评</w:t>
      </w:r>
      <w:r>
        <w:rPr>
          <w:rFonts w:hint="eastAsia" w:ascii="宋体" w:hAnsi="宋体" w:cs="宋体"/>
          <w:color w:val="FF0000"/>
          <w:szCs w:val="21"/>
        </w:rPr>
        <w:t>文件中注明偏离（文字说明或在响应表注明）的参数、配置、条款视为被</w:t>
      </w:r>
      <w:r>
        <w:rPr>
          <w:rFonts w:hint="eastAsia" w:ascii="宋体" w:hAnsi="宋体" w:cs="宋体"/>
          <w:color w:val="FF0000"/>
          <w:kern w:val="28"/>
          <w:szCs w:val="21"/>
        </w:rPr>
        <w:t>参评</w:t>
      </w:r>
      <w:r>
        <w:rPr>
          <w:rFonts w:hint="eastAsia" w:ascii="宋体" w:hAnsi="宋体" w:cs="宋体"/>
          <w:color w:val="FF0000"/>
          <w:szCs w:val="21"/>
        </w:rPr>
        <w:t>人完全接受。</w:t>
      </w:r>
    </w:p>
    <w:p>
      <w:pPr>
        <w:numPr>
          <w:ilvl w:val="0"/>
          <w:numId w:val="5"/>
        </w:numPr>
        <w:adjustRightInd w:val="0"/>
        <w:snapToGrid w:val="0"/>
        <w:spacing w:line="360" w:lineRule="auto"/>
        <w:rPr>
          <w:rFonts w:ascii="宋体" w:hAnsi="宋体" w:cs="宋体"/>
          <w:color w:val="FF0000"/>
          <w:szCs w:val="21"/>
        </w:rPr>
      </w:pPr>
      <w:r>
        <w:rPr>
          <w:rFonts w:hint="eastAsia" w:ascii="宋体" w:hAnsi="宋体" w:cs="宋体"/>
          <w:color w:val="FF0000"/>
          <w:kern w:val="28"/>
          <w:szCs w:val="21"/>
        </w:rPr>
        <w:t>参评</w:t>
      </w:r>
      <w:r>
        <w:rPr>
          <w:rFonts w:hint="eastAsia" w:ascii="宋体" w:hAnsi="宋体" w:cs="宋体"/>
          <w:color w:val="FF0000"/>
          <w:szCs w:val="21"/>
        </w:rPr>
        <w:t>人应保证，采购人在中华人民共和国使用该货物、服务或货物、服务的任何一部分时，免受第三方提出的侵犯其专利权、商标权、著作权或其它知识产权的起诉。</w:t>
      </w:r>
    </w:p>
    <w:p>
      <w:pPr>
        <w:pStyle w:val="5"/>
        <w:numPr>
          <w:ilvl w:val="0"/>
          <w:numId w:val="4"/>
        </w:numPr>
        <w:rPr>
          <w:rFonts w:ascii="宋体" w:hAnsi="宋体" w:cs="宋体"/>
          <w:color w:val="FF0000"/>
          <w:szCs w:val="21"/>
        </w:rPr>
      </w:pPr>
      <w:bookmarkStart w:id="8" w:name="_Toc119527896"/>
      <w:r>
        <w:rPr>
          <w:rFonts w:hint="eastAsia"/>
        </w:rPr>
        <w:t>参评报价说明</w:t>
      </w:r>
      <w:bookmarkEnd w:id="8"/>
    </w:p>
    <w:p>
      <w:pPr>
        <w:spacing w:line="360" w:lineRule="auto"/>
        <w:ind w:firstLine="420" w:firstLineChars="200"/>
        <w:rPr>
          <w:rFonts w:ascii="宋体" w:hAnsi="宋体"/>
          <w:bCs/>
          <w:color w:val="FF0000"/>
          <w:szCs w:val="21"/>
        </w:rPr>
      </w:pPr>
      <w:r>
        <w:rPr>
          <w:rFonts w:hint="eastAsia" w:ascii="宋体" w:hAnsi="宋体"/>
          <w:bCs/>
          <w:color w:val="FF0000"/>
          <w:szCs w:val="21"/>
        </w:rPr>
        <w:t>（1）本项目按投标下浮率进行报价，所有需采购的内容均采用同一个下浮率。</w:t>
      </w:r>
    </w:p>
    <w:p>
      <w:pPr>
        <w:spacing w:line="360" w:lineRule="auto"/>
        <w:ind w:firstLine="420" w:firstLineChars="200"/>
        <w:rPr>
          <w:rFonts w:ascii="宋体" w:hAnsi="宋体" w:cs="Arial"/>
          <w:color w:val="FF0000"/>
          <w:szCs w:val="21"/>
        </w:rPr>
      </w:pPr>
      <w:r>
        <w:rPr>
          <w:rFonts w:hint="eastAsia" w:ascii="宋体" w:hAnsi="宋体" w:cs="宋体"/>
          <w:color w:val="FF0000"/>
          <w:kern w:val="0"/>
          <w:szCs w:val="21"/>
        </w:rPr>
        <w:t>★</w:t>
      </w:r>
      <w:r>
        <w:rPr>
          <w:rFonts w:hint="eastAsia" w:ascii="宋体" w:hAnsi="宋体"/>
          <w:bCs/>
          <w:color w:val="FF0000"/>
          <w:szCs w:val="21"/>
        </w:rPr>
        <w:t>（2）投标报价（投标下浮率）包含</w:t>
      </w:r>
      <w:r>
        <w:rPr>
          <w:rFonts w:hint="eastAsia" w:ascii="宋体" w:hAnsi="宋体" w:cs="宋体"/>
          <w:color w:val="FF0000"/>
          <w:szCs w:val="21"/>
          <w:lang w:val="zh-CN"/>
        </w:rPr>
        <w:t>全部设计、安装、随机零配件、标配工具、运输保险、调试、培训、质保期服务、各项税费及合同实施过程中不可预见费用等</w:t>
      </w:r>
      <w:r>
        <w:rPr>
          <w:rFonts w:hint="eastAsia" w:ascii="宋体" w:hAnsi="宋体" w:cs="Arial"/>
          <w:color w:val="FF0000"/>
          <w:szCs w:val="21"/>
        </w:rPr>
        <w:t>。</w:t>
      </w:r>
    </w:p>
    <w:p>
      <w:pPr>
        <w:spacing w:line="360" w:lineRule="auto"/>
        <w:ind w:firstLine="420" w:firstLineChars="200"/>
        <w:rPr>
          <w:rFonts w:ascii="宋体" w:hAnsi="宋体"/>
          <w:bCs/>
          <w:color w:val="FF0000"/>
          <w:szCs w:val="21"/>
        </w:rPr>
      </w:pPr>
      <w:r>
        <w:rPr>
          <w:rFonts w:hint="eastAsia" w:ascii="宋体" w:hAnsi="宋体" w:cs="宋体"/>
          <w:color w:val="FF0000"/>
          <w:kern w:val="0"/>
          <w:szCs w:val="21"/>
        </w:rPr>
        <w:t>★</w:t>
      </w:r>
      <w:r>
        <w:rPr>
          <w:rFonts w:hint="eastAsia" w:ascii="宋体" w:hAnsi="宋体"/>
          <w:bCs/>
          <w:color w:val="FF0000"/>
          <w:szCs w:val="21"/>
        </w:rPr>
        <w:t>（3）投标下浮率为固定唯一数值，且报价范围在0.00%-100.00%(含)，否则视为投标无效。</w:t>
      </w:r>
    </w:p>
    <w:p>
      <w:pPr>
        <w:tabs>
          <w:tab w:val="left" w:pos="709"/>
        </w:tabs>
        <w:spacing w:line="360" w:lineRule="auto"/>
        <w:ind w:firstLine="420" w:firstLineChars="200"/>
        <w:rPr>
          <w:rFonts w:ascii="宋体" w:hAnsi="宋体"/>
          <w:bCs/>
          <w:color w:val="FF0000"/>
          <w:szCs w:val="21"/>
        </w:rPr>
      </w:pPr>
      <w:r>
        <w:rPr>
          <w:rFonts w:hint="eastAsia" w:ascii="宋体" w:hAnsi="宋体"/>
          <w:bCs/>
          <w:color w:val="FF0000"/>
          <w:szCs w:val="21"/>
        </w:rPr>
        <w:t>例如：</w:t>
      </w:r>
      <w:r>
        <w:rPr>
          <w:rFonts w:hint="eastAsia" w:ascii="宋体" w:hAnsi="宋体" w:cs="宋体"/>
          <w:color w:val="FF0000"/>
          <w:szCs w:val="21"/>
          <w:lang w:val="zh-CN"/>
        </w:rPr>
        <w:t>光纤跳线金额限价</w:t>
      </w:r>
      <w:r>
        <w:rPr>
          <w:rFonts w:hint="eastAsia" w:ascii="宋体" w:hAnsi="宋体"/>
          <w:bCs/>
          <w:color w:val="FF0000"/>
          <w:szCs w:val="21"/>
        </w:rPr>
        <w:t>为100.00元，投标拟优惠20.00元，实际结算</w:t>
      </w:r>
      <w:r>
        <w:rPr>
          <w:rFonts w:hint="eastAsia" w:ascii="宋体" w:hAnsi="宋体" w:cs="宋体"/>
          <w:color w:val="FF0000"/>
          <w:szCs w:val="21"/>
          <w:lang w:val="zh-CN"/>
        </w:rPr>
        <w:t>金额</w:t>
      </w:r>
      <w:r>
        <w:rPr>
          <w:rFonts w:hint="eastAsia" w:ascii="宋体" w:hAnsi="宋体"/>
          <w:bCs/>
          <w:color w:val="FF0000"/>
          <w:szCs w:val="21"/>
        </w:rPr>
        <w:t>为80.00元，那么投标下浮率则为：20.00/100.00*100%=20.00%。</w:t>
      </w:r>
    </w:p>
    <w:p>
      <w:pPr>
        <w:tabs>
          <w:tab w:val="left" w:pos="709"/>
        </w:tabs>
        <w:spacing w:line="360" w:lineRule="auto"/>
        <w:ind w:firstLine="420" w:firstLineChars="200"/>
        <w:rPr>
          <w:rFonts w:ascii="宋体" w:hAnsi="宋体" w:cs="宋体"/>
          <w:color w:val="FF0000"/>
          <w:szCs w:val="21"/>
          <w:lang w:val="zh-CN"/>
        </w:rPr>
      </w:pPr>
      <w:r>
        <w:rPr>
          <w:rFonts w:hint="eastAsia" w:ascii="宋体" w:hAnsi="宋体"/>
          <w:bCs/>
          <w:color w:val="FF0000"/>
          <w:szCs w:val="21"/>
        </w:rPr>
        <w:t>（4）本项目《采购清单》设备数量以实际采购需求为准，</w:t>
      </w:r>
      <w:r>
        <w:rPr>
          <w:rFonts w:hint="eastAsia" w:ascii="宋体" w:hAnsi="宋体"/>
          <w:bCs/>
          <w:color w:val="FF0000"/>
        </w:rPr>
        <w:t>采购人不承诺、不保证在服务期限内的具体数量，</w:t>
      </w:r>
      <w:r>
        <w:rPr>
          <w:rFonts w:hint="eastAsia" w:ascii="宋体" w:hAnsi="宋体"/>
          <w:color w:val="FF0000"/>
          <w:szCs w:val="21"/>
        </w:rPr>
        <w:t>参选人应充分考虑经营风险。</w:t>
      </w:r>
    </w:p>
    <w:p>
      <w:pPr>
        <w:pStyle w:val="5"/>
        <w:numPr>
          <w:ilvl w:val="0"/>
          <w:numId w:val="4"/>
        </w:numPr>
        <w:rPr>
          <w:rFonts w:ascii="宋体" w:hAnsi="宋体" w:cs="宋体"/>
          <w:color w:val="FF0000"/>
          <w:szCs w:val="21"/>
        </w:rPr>
      </w:pPr>
      <w:bookmarkStart w:id="9" w:name="_Toc119527897"/>
      <w:r>
        <w:rPr>
          <w:rFonts w:hint="eastAsia"/>
        </w:rPr>
        <w:t>服务要求</w:t>
      </w:r>
      <w:bookmarkEnd w:id="9"/>
    </w:p>
    <w:p>
      <w:pPr>
        <w:pStyle w:val="6"/>
        <w:numPr>
          <w:ilvl w:val="0"/>
          <w:numId w:val="0"/>
        </w:numPr>
        <w:ind w:left="720" w:hanging="720"/>
        <w:rPr>
          <w:color w:val="FF0000"/>
        </w:rPr>
      </w:pPr>
      <w:bookmarkStart w:id="10" w:name="_Toc119527898"/>
      <w:r>
        <w:rPr>
          <w:rFonts w:hint="eastAsia"/>
        </w:rPr>
        <w:t>3.1</w:t>
      </w:r>
      <w:r>
        <w:rPr>
          <w:rFonts w:hint="eastAsia"/>
          <w:lang w:eastAsia="zh-Hans"/>
        </w:rPr>
        <w:t>项目概况</w:t>
      </w:r>
      <w:bookmarkEnd w:id="10"/>
    </w:p>
    <w:p>
      <w:pPr>
        <w:spacing w:line="360" w:lineRule="auto"/>
        <w:ind w:firstLine="420" w:firstLineChars="200"/>
        <w:rPr>
          <w:rFonts w:ascii="宋体" w:hAnsi="宋体" w:cs="宋体"/>
          <w:szCs w:val="21"/>
        </w:rPr>
      </w:pPr>
      <w:r>
        <w:rPr>
          <w:rFonts w:hint="eastAsia" w:ascii="宋体" w:hAnsi="宋体" w:cs="宋体"/>
          <w:szCs w:val="21"/>
        </w:rPr>
        <w:t xml:space="preserve">   </w:t>
      </w:r>
      <w:r>
        <w:rPr>
          <w:rFonts w:hint="eastAsia" w:ascii="宋体" w:hAnsi="宋体" w:cs="宋体"/>
          <w:szCs w:val="21"/>
          <w:lang w:eastAsia="zh-Hans"/>
        </w:rPr>
        <w:t>目前</w:t>
      </w:r>
      <w:r>
        <w:rPr>
          <w:rFonts w:hint="eastAsia" w:ascii="宋体" w:hAnsi="宋体" w:cs="宋体"/>
          <w:szCs w:val="21"/>
        </w:rPr>
        <w:t>总队</w:t>
      </w:r>
      <w:r>
        <w:rPr>
          <w:rFonts w:hint="eastAsia" w:ascii="宋体" w:hAnsi="宋体" w:cs="宋体"/>
          <w:szCs w:val="21"/>
          <w:lang w:eastAsia="zh-Hans"/>
        </w:rPr>
        <w:t>的广东消防通、</w:t>
      </w:r>
      <w:r>
        <w:rPr>
          <w:rFonts w:hint="eastAsia" w:ascii="宋体" w:hAnsi="宋体" w:cs="宋体"/>
          <w:szCs w:val="21"/>
        </w:rPr>
        <w:t>智慧队务系统、</w:t>
      </w:r>
      <w:r>
        <w:rPr>
          <w:rFonts w:hint="eastAsia" w:ascii="宋体" w:hAnsi="宋体" w:cs="宋体"/>
          <w:szCs w:val="21"/>
          <w:lang w:eastAsia="zh-Hans"/>
        </w:rPr>
        <w:t>人才智库系统、智慧政工系统、总队互联网网站、年度目标任务考核6个系统正试运行阶段，根据</w:t>
      </w:r>
      <w:r>
        <w:rPr>
          <w:rFonts w:hint="eastAsia" w:ascii="宋体" w:hAnsi="宋体" w:cs="宋体"/>
          <w:szCs w:val="21"/>
        </w:rPr>
        <w:t>《中华人民共和国</w:t>
      </w:r>
      <w:r>
        <w:rPr>
          <w:rFonts w:hint="eastAsia" w:ascii="宋体" w:hAnsi="宋体" w:cs="宋体"/>
          <w:szCs w:val="21"/>
          <w:lang w:eastAsia="zh-Hans"/>
        </w:rPr>
        <w:t>网络安全法</w:t>
      </w:r>
      <w:r>
        <w:rPr>
          <w:rFonts w:hint="eastAsia" w:ascii="宋体" w:hAnsi="宋体" w:cs="宋体"/>
          <w:szCs w:val="21"/>
        </w:rPr>
        <w:t>》</w:t>
      </w:r>
      <w:r>
        <w:rPr>
          <w:rFonts w:hint="eastAsia" w:ascii="宋体" w:hAnsi="宋体" w:cs="宋体"/>
          <w:szCs w:val="21"/>
          <w:lang w:eastAsia="zh-Hans"/>
        </w:rPr>
        <w:t>及总队的</w:t>
      </w:r>
      <w:r>
        <w:rPr>
          <w:rFonts w:hint="eastAsia" w:ascii="宋体" w:hAnsi="宋体" w:cs="宋体"/>
          <w:szCs w:val="21"/>
        </w:rPr>
        <w:t>现状。拟遴选供应商主要承担</w:t>
      </w:r>
      <w:r>
        <w:rPr>
          <w:rFonts w:hint="eastAsia" w:ascii="宋体" w:hAnsi="宋体" w:cs="宋体"/>
          <w:szCs w:val="21"/>
          <w:lang w:eastAsia="zh-Hans"/>
        </w:rPr>
        <w:t>这6个系统的网络安全等级测评服务</w:t>
      </w:r>
      <w:r>
        <w:rPr>
          <w:rFonts w:hint="eastAsia" w:ascii="宋体" w:hAnsi="宋体" w:cs="宋体"/>
          <w:szCs w:val="21"/>
        </w:rPr>
        <w:t>，采购人按</w:t>
      </w:r>
      <w:r>
        <w:rPr>
          <w:rFonts w:hint="eastAsia" w:ascii="宋体" w:hAnsi="宋体" w:cs="宋体"/>
          <w:szCs w:val="21"/>
          <w:lang w:eastAsia="zh-Hans"/>
        </w:rPr>
        <w:t>阶段</w:t>
      </w:r>
      <w:r>
        <w:rPr>
          <w:rFonts w:hint="eastAsia" w:ascii="宋体" w:hAnsi="宋体" w:cs="宋体"/>
          <w:szCs w:val="21"/>
        </w:rPr>
        <w:t>支付费用，总预算不超过48万。</w:t>
      </w:r>
    </w:p>
    <w:p>
      <w:pPr>
        <w:pStyle w:val="6"/>
        <w:numPr>
          <w:ilvl w:val="0"/>
          <w:numId w:val="0"/>
        </w:numPr>
        <w:ind w:left="720" w:hanging="720"/>
      </w:pPr>
      <w:bookmarkStart w:id="11" w:name="_Toc119527899"/>
      <w:r>
        <w:rPr>
          <w:rFonts w:hint="eastAsia"/>
        </w:rPr>
        <w:t>3.2服务内容</w:t>
      </w:r>
      <w:bookmarkEnd w:id="11"/>
    </w:p>
    <w:p>
      <w:pPr>
        <w:spacing w:line="360" w:lineRule="auto"/>
        <w:ind w:firstLine="420" w:firstLineChars="200"/>
        <w:rPr>
          <w:rFonts w:ascii="宋体" w:hAnsi="宋体" w:cs="宋体"/>
          <w:szCs w:val="21"/>
          <w:lang w:eastAsia="zh-Hans"/>
        </w:rPr>
      </w:pPr>
      <w:r>
        <w:rPr>
          <w:rFonts w:hint="eastAsia" w:ascii="宋体" w:hAnsi="宋体" w:cs="宋体"/>
          <w:szCs w:val="21"/>
          <w:lang w:eastAsia="zh-Hans"/>
        </w:rPr>
        <w:t>供应商需按照国家网络安全等级保护相关政策文件要求，为所负责测评的应用系统提供等级保护测评服务，并对相关系统进行定级备案和等级保护测评工作，编制《信息系统安全等级保护测评报告》，协助用户确保系统达到国家等级保护三级要求，并符合广东省消防救援总队信息安全制度与规范的要求。等级保护测评的主要服务内容包括：</w:t>
      </w:r>
    </w:p>
    <w:p>
      <w:pPr>
        <w:spacing w:line="360" w:lineRule="auto"/>
        <w:ind w:firstLine="420" w:firstLineChars="200"/>
        <w:rPr>
          <w:rFonts w:ascii="宋体" w:hAnsi="宋体" w:cs="宋体"/>
          <w:szCs w:val="21"/>
          <w:lang w:eastAsia="zh-Hans"/>
        </w:rPr>
      </w:pPr>
      <w:r>
        <w:rPr>
          <w:rFonts w:hint="eastAsia" w:ascii="宋体" w:hAnsi="宋体" w:cs="宋体"/>
          <w:szCs w:val="21"/>
          <w:lang w:eastAsia="zh-Hans"/>
        </w:rPr>
        <w:t>第一步：协助完成系统定级备案工作；</w:t>
      </w:r>
    </w:p>
    <w:p>
      <w:pPr>
        <w:spacing w:line="360" w:lineRule="auto"/>
        <w:ind w:firstLine="420" w:firstLineChars="200"/>
        <w:rPr>
          <w:rFonts w:ascii="宋体" w:hAnsi="宋体" w:cs="宋体"/>
          <w:szCs w:val="21"/>
          <w:lang w:eastAsia="zh-Hans"/>
        </w:rPr>
      </w:pPr>
      <w:r>
        <w:rPr>
          <w:rFonts w:hint="eastAsia" w:ascii="宋体" w:hAnsi="宋体" w:cs="宋体"/>
          <w:szCs w:val="21"/>
          <w:lang w:eastAsia="zh-Hans"/>
        </w:rPr>
        <w:t>第二步：对信息系统进行测试评估、分析差距、输出差距测评报告和安全整改建议；</w:t>
      </w:r>
    </w:p>
    <w:p>
      <w:pPr>
        <w:spacing w:line="360" w:lineRule="auto"/>
        <w:ind w:firstLine="420" w:firstLineChars="200"/>
        <w:rPr>
          <w:rFonts w:ascii="宋体" w:hAnsi="宋体" w:cs="宋体"/>
          <w:szCs w:val="21"/>
          <w:lang w:eastAsia="zh-Hans"/>
        </w:rPr>
      </w:pPr>
      <w:r>
        <w:rPr>
          <w:rFonts w:hint="eastAsia" w:ascii="宋体" w:hAnsi="宋体" w:cs="宋体"/>
          <w:szCs w:val="21"/>
          <w:lang w:eastAsia="zh-Hans"/>
        </w:rPr>
        <w:t>第三步：系统承建单位根据差距测评报告与安全整改建议实施安全整改；</w:t>
      </w:r>
    </w:p>
    <w:p>
      <w:pPr>
        <w:spacing w:line="360" w:lineRule="auto"/>
        <w:ind w:firstLine="420" w:firstLineChars="200"/>
      </w:pPr>
      <w:r>
        <w:rPr>
          <w:rFonts w:hint="eastAsia" w:ascii="宋体" w:hAnsi="宋体" w:cs="宋体"/>
          <w:szCs w:val="21"/>
          <w:lang w:eastAsia="zh-Hans"/>
        </w:rPr>
        <w:t>第四步：再次对公共信息化系统进行测试评估、输出2.0测评报告，并协助通过公安机关的备案与检查。</w:t>
      </w:r>
    </w:p>
    <w:p>
      <w:pPr>
        <w:pStyle w:val="6"/>
        <w:numPr>
          <w:ilvl w:val="0"/>
          <w:numId w:val="0"/>
        </w:numPr>
        <w:ind w:left="720" w:hanging="720"/>
      </w:pPr>
      <w:bookmarkStart w:id="12" w:name="_Toc119527900"/>
      <w:r>
        <w:rPr>
          <w:rFonts w:hint="eastAsia"/>
        </w:rPr>
        <w:t>3.3测评成果要求</w:t>
      </w:r>
      <w:bookmarkEnd w:id="12"/>
    </w:p>
    <w:p>
      <w:pPr>
        <w:spacing w:line="360" w:lineRule="auto"/>
        <w:ind w:firstLine="420" w:firstLineChars="200"/>
        <w:rPr>
          <w:rFonts w:ascii="宋体" w:hAnsi="宋体" w:cs="宋体"/>
          <w:szCs w:val="21"/>
          <w:lang w:eastAsia="zh-Hans"/>
        </w:rPr>
      </w:pPr>
      <w:r>
        <w:rPr>
          <w:rFonts w:hint="eastAsia" w:ascii="宋体" w:hAnsi="宋体" w:cs="宋体"/>
          <w:szCs w:val="21"/>
          <w:lang w:eastAsia="zh-Hans"/>
        </w:rPr>
        <w:t>中选人所提供的项目交付物包括：  《信息系统等级保护备案证》、  《信息系统等保整改建议方案》、  《信息系统网络安全等级测评报告》</w:t>
      </w:r>
    </w:p>
    <w:p>
      <w:pPr>
        <w:pStyle w:val="6"/>
        <w:numPr>
          <w:ilvl w:val="0"/>
          <w:numId w:val="0"/>
        </w:numPr>
        <w:ind w:left="720" w:hanging="720"/>
      </w:pPr>
      <w:bookmarkStart w:id="13" w:name="_Toc119527901"/>
      <w:r>
        <w:rPr>
          <w:rFonts w:hint="eastAsia"/>
        </w:rPr>
        <w:t>3.4技术要求</w:t>
      </w:r>
      <w:bookmarkEnd w:id="13"/>
    </w:p>
    <w:p>
      <w:pPr>
        <w:spacing w:line="360" w:lineRule="auto"/>
        <w:ind w:firstLine="420" w:firstLineChars="200"/>
        <w:rPr>
          <w:rFonts w:ascii="宋体" w:hAnsi="宋体" w:cs="宋体"/>
          <w:szCs w:val="21"/>
          <w:lang w:eastAsia="zh-Hans"/>
        </w:rPr>
      </w:pPr>
      <w:r>
        <w:rPr>
          <w:rFonts w:hint="eastAsia" w:ascii="宋体" w:hAnsi="宋体" w:cs="宋体"/>
          <w:szCs w:val="21"/>
          <w:lang w:eastAsia="zh-Hans"/>
        </w:rPr>
        <w:t>地点：供应商实施上门服务</w:t>
      </w:r>
      <w:r>
        <w:rPr>
          <w:rFonts w:ascii="宋体" w:hAnsi="宋体" w:cs="宋体"/>
          <w:szCs w:val="21"/>
          <w:lang w:eastAsia="zh-Hans"/>
        </w:rPr>
        <w:t>，</w:t>
      </w:r>
      <w:r>
        <w:rPr>
          <w:rFonts w:hint="eastAsia" w:ascii="宋体" w:hAnsi="宋体" w:cs="宋体"/>
          <w:szCs w:val="21"/>
          <w:lang w:eastAsia="zh-Hans"/>
        </w:rPr>
        <w:t>地点为采购人所在地</w:t>
      </w:r>
      <w:r>
        <w:rPr>
          <w:rFonts w:ascii="宋体" w:hAnsi="宋体" w:cs="宋体"/>
          <w:szCs w:val="21"/>
          <w:lang w:eastAsia="zh-Hans"/>
        </w:rPr>
        <w:t>。</w:t>
      </w:r>
    </w:p>
    <w:p>
      <w:pPr>
        <w:spacing w:line="360" w:lineRule="auto"/>
        <w:ind w:firstLine="420" w:firstLineChars="200"/>
        <w:rPr>
          <w:rFonts w:ascii="宋体" w:hAnsi="宋体" w:cs="宋体"/>
          <w:szCs w:val="21"/>
          <w:lang w:eastAsia="zh-Hans"/>
        </w:rPr>
      </w:pPr>
      <w:r>
        <w:rPr>
          <w:rFonts w:hint="eastAsia" w:ascii="宋体" w:hAnsi="宋体" w:cs="宋体"/>
          <w:szCs w:val="21"/>
          <w:lang w:eastAsia="zh-Hans"/>
        </w:rPr>
        <w:t>响应时效：由现场服务和远程服务</w:t>
      </w:r>
      <w:r>
        <w:rPr>
          <w:rFonts w:ascii="宋体" w:hAnsi="宋体" w:cs="宋体"/>
          <w:szCs w:val="21"/>
          <w:lang w:eastAsia="zh-Hans"/>
        </w:rPr>
        <w:t>2</w:t>
      </w:r>
      <w:r>
        <w:rPr>
          <w:rFonts w:hint="eastAsia" w:ascii="宋体" w:hAnsi="宋体" w:cs="宋体"/>
          <w:szCs w:val="21"/>
          <w:lang w:eastAsia="zh-Hans"/>
        </w:rPr>
        <w:t>种方式，由此产生的一切费用均由报价供应商承担。在服务期内，项目经理应根据项目需要到指定现场处理问题或交流情况（在接到采购人通知之时起，2小时内到位）。</w:t>
      </w:r>
    </w:p>
    <w:p>
      <w:pPr>
        <w:pStyle w:val="6"/>
        <w:numPr>
          <w:ilvl w:val="0"/>
          <w:numId w:val="0"/>
        </w:numPr>
        <w:ind w:left="720" w:hanging="720"/>
      </w:pPr>
      <w:bookmarkStart w:id="14" w:name="_Toc119527902"/>
      <w:r>
        <w:rPr>
          <w:rFonts w:hint="eastAsia"/>
        </w:rPr>
        <w:t>四、付款方式</w:t>
      </w:r>
      <w:bookmarkEnd w:id="14"/>
    </w:p>
    <w:p>
      <w:pPr>
        <w:spacing w:line="360" w:lineRule="auto"/>
        <w:ind w:firstLine="420" w:firstLineChars="200"/>
        <w:rPr>
          <w:rFonts w:ascii="宋体" w:hAnsi="宋体" w:cs="宋体"/>
          <w:szCs w:val="21"/>
          <w:lang w:eastAsia="zh-Hans"/>
        </w:rPr>
      </w:pPr>
      <w:r>
        <w:rPr>
          <w:rFonts w:hint="eastAsia" w:ascii="宋体" w:hAnsi="宋体" w:cs="宋体"/>
          <w:szCs w:val="21"/>
          <w:lang w:eastAsia="zh-Hans"/>
        </w:rPr>
        <w:t>1 .首期款：合同签订生效后，</w:t>
      </w:r>
      <w:r>
        <w:rPr>
          <w:rFonts w:hint="eastAsia" w:ascii="宋体" w:hAnsi="宋体" w:cs="宋体"/>
          <w:szCs w:val="21"/>
        </w:rPr>
        <w:t>中选人</w:t>
      </w:r>
      <w:r>
        <w:rPr>
          <w:rFonts w:hint="eastAsia" w:ascii="宋体" w:hAnsi="宋体" w:cs="宋体"/>
          <w:szCs w:val="21"/>
          <w:lang w:eastAsia="zh-Hans"/>
        </w:rPr>
        <w:t>向</w:t>
      </w:r>
      <w:r>
        <w:rPr>
          <w:rFonts w:hint="eastAsia" w:ascii="宋体" w:hAnsi="宋体" w:cs="宋体"/>
          <w:szCs w:val="21"/>
        </w:rPr>
        <w:t>采购人</w:t>
      </w:r>
      <w:r>
        <w:rPr>
          <w:rFonts w:hint="eastAsia" w:ascii="宋体" w:hAnsi="宋体" w:cs="宋体"/>
          <w:szCs w:val="21"/>
          <w:lang w:eastAsia="zh-Hans"/>
        </w:rPr>
        <w:t>开具等额有效的增值税发票后15个工作日内，</w:t>
      </w:r>
      <w:r>
        <w:rPr>
          <w:rFonts w:hint="eastAsia" w:ascii="宋体" w:hAnsi="宋体" w:cs="宋体"/>
          <w:szCs w:val="21"/>
        </w:rPr>
        <w:t>采购人</w:t>
      </w:r>
      <w:r>
        <w:rPr>
          <w:rFonts w:hint="eastAsia" w:ascii="宋体" w:hAnsi="宋体" w:cs="宋体"/>
          <w:szCs w:val="21"/>
          <w:lang w:eastAsia="zh-Hans"/>
        </w:rPr>
        <w:t>向</w:t>
      </w:r>
      <w:r>
        <w:rPr>
          <w:rFonts w:hint="eastAsia" w:ascii="宋体" w:hAnsi="宋体" w:cs="宋体"/>
          <w:szCs w:val="21"/>
        </w:rPr>
        <w:t>中选人</w:t>
      </w:r>
      <w:r>
        <w:rPr>
          <w:rFonts w:hint="eastAsia" w:ascii="宋体" w:hAnsi="宋体" w:cs="宋体"/>
          <w:szCs w:val="21"/>
          <w:lang w:eastAsia="zh-Hans"/>
        </w:rPr>
        <w:t>支付本合同价款的50%；尾款：本项目经</w:t>
      </w:r>
      <w:r>
        <w:rPr>
          <w:rFonts w:hint="eastAsia" w:ascii="宋体" w:hAnsi="宋体" w:cs="宋体"/>
          <w:szCs w:val="21"/>
        </w:rPr>
        <w:t>采购人</w:t>
      </w:r>
      <w:r>
        <w:rPr>
          <w:rFonts w:hint="eastAsia" w:ascii="宋体" w:hAnsi="宋体" w:cs="宋体"/>
          <w:szCs w:val="21"/>
          <w:lang w:eastAsia="zh-Hans"/>
        </w:rPr>
        <w:t>验收通过后，</w:t>
      </w:r>
      <w:r>
        <w:rPr>
          <w:rFonts w:hint="eastAsia" w:ascii="宋体" w:hAnsi="宋体" w:cs="宋体"/>
          <w:szCs w:val="21"/>
        </w:rPr>
        <w:t>中选人</w:t>
      </w:r>
      <w:r>
        <w:rPr>
          <w:rFonts w:hint="eastAsia" w:ascii="宋体" w:hAnsi="宋体" w:cs="宋体"/>
          <w:szCs w:val="21"/>
          <w:lang w:eastAsia="zh-Hans"/>
        </w:rPr>
        <w:t>向</w:t>
      </w:r>
      <w:r>
        <w:rPr>
          <w:rFonts w:hint="eastAsia" w:ascii="宋体" w:hAnsi="宋体" w:cs="宋体"/>
          <w:szCs w:val="21"/>
        </w:rPr>
        <w:t>采购人</w:t>
      </w:r>
      <w:r>
        <w:rPr>
          <w:rFonts w:hint="eastAsia" w:ascii="宋体" w:hAnsi="宋体" w:cs="宋体"/>
          <w:szCs w:val="21"/>
          <w:lang w:eastAsia="zh-Hans"/>
        </w:rPr>
        <w:t>开具等额有效的增值税发票后15个工作日内，</w:t>
      </w:r>
      <w:r>
        <w:rPr>
          <w:rFonts w:hint="eastAsia" w:ascii="宋体" w:hAnsi="宋体" w:cs="宋体"/>
          <w:szCs w:val="21"/>
        </w:rPr>
        <w:t>采购人</w:t>
      </w:r>
      <w:r>
        <w:rPr>
          <w:rFonts w:hint="eastAsia" w:ascii="宋体" w:hAnsi="宋体" w:cs="宋体"/>
          <w:szCs w:val="21"/>
          <w:lang w:eastAsia="zh-Hans"/>
        </w:rPr>
        <w:t>向</w:t>
      </w:r>
      <w:r>
        <w:rPr>
          <w:rFonts w:hint="eastAsia" w:ascii="宋体" w:hAnsi="宋体" w:cs="宋体"/>
          <w:szCs w:val="21"/>
        </w:rPr>
        <w:t>中选人</w:t>
      </w:r>
      <w:r>
        <w:rPr>
          <w:rFonts w:hint="eastAsia" w:ascii="宋体" w:hAnsi="宋体" w:cs="宋体"/>
          <w:szCs w:val="21"/>
          <w:lang w:eastAsia="zh-Hans"/>
        </w:rPr>
        <w:t>支付本合同价款的50%。</w:t>
      </w:r>
    </w:p>
    <w:p>
      <w:pPr>
        <w:spacing w:line="600" w:lineRule="exact"/>
        <w:ind w:firstLine="420" w:firstLineChars="200"/>
        <w:rPr>
          <w:rFonts w:ascii="宋体" w:hAnsi="宋体" w:cs="宋体"/>
          <w:szCs w:val="21"/>
        </w:rPr>
      </w:pPr>
      <w:r>
        <w:rPr>
          <w:rFonts w:hint="eastAsia" w:ascii="宋体" w:hAnsi="宋体" w:cs="宋体"/>
          <w:szCs w:val="21"/>
        </w:rPr>
        <w:t>2.中选人在向采购人申请支付合同价款时需同时提供应付金额等额的增值税发票，因中选人未提供发票或提供的发票不符合规定的，采购人有权拒绝支付款项且不视为违约。</w:t>
      </w:r>
    </w:p>
    <w:p>
      <w:pPr>
        <w:pStyle w:val="2"/>
        <w:spacing w:line="360" w:lineRule="auto"/>
        <w:ind w:firstLine="420" w:firstLineChars="200"/>
      </w:pPr>
      <w:r>
        <w:rPr>
          <w:rFonts w:hint="eastAsia" w:ascii="宋体" w:hAnsi="宋体" w:cs="宋体"/>
          <w:szCs w:val="21"/>
        </w:rPr>
        <w:t>3.因采购人使用财政资金付款，需执行财政国库集中支付制度及单位内部资金支付管理审批等有关规定。中选人同意如因财政支付审查、财政支付管理流程、预算下达及单位内部支付审批流程等非采购人主观原因导致合同价款实际到达中选人账户时间延迟的，采购人不承担延迟付款的违约责任，中选人不得以此为由迟延履行或不履行合同义务。</w:t>
      </w:r>
    </w:p>
    <w:p>
      <w:pPr>
        <w:pStyle w:val="2"/>
      </w:pPr>
    </w:p>
    <w:p>
      <w:pPr>
        <w:spacing w:line="360" w:lineRule="auto"/>
        <w:ind w:firstLine="420" w:firstLineChars="200"/>
        <w:rPr>
          <w:rFonts w:ascii="宋体"/>
          <w:bCs/>
          <w:szCs w:val="21"/>
        </w:rPr>
      </w:pPr>
    </w:p>
    <w:p>
      <w:pPr>
        <w:tabs>
          <w:tab w:val="left" w:pos="5535"/>
        </w:tabs>
        <w:spacing w:line="360" w:lineRule="auto"/>
        <w:ind w:left="403"/>
        <w:rPr>
          <w:rFonts w:ascii="宋体"/>
          <w:szCs w:val="21"/>
        </w:rPr>
      </w:pPr>
    </w:p>
    <w:p>
      <w:pPr>
        <w:pStyle w:val="4"/>
        <w:numPr>
          <w:ilvl w:val="0"/>
          <w:numId w:val="0"/>
        </w:numPr>
        <w:ind w:left="854" w:firstLine="643"/>
        <w:rPr>
          <w:rFonts w:ascii="宋体" w:hAnsi="宋体"/>
          <w:sz w:val="32"/>
          <w:szCs w:val="32"/>
        </w:rPr>
      </w:pPr>
      <w:r>
        <w:rPr>
          <w:rFonts w:ascii="宋体" w:hAnsi="宋体"/>
          <w:sz w:val="32"/>
          <w:szCs w:val="32"/>
        </w:rPr>
        <w:br w:type="page"/>
      </w:r>
      <w:bookmarkStart w:id="15" w:name="_Toc119527903"/>
      <w:r>
        <w:rPr>
          <w:rFonts w:hint="eastAsia"/>
        </w:rPr>
        <w:t>第四章  评审办法</w:t>
      </w:r>
      <w:bookmarkEnd w:id="15"/>
    </w:p>
    <w:p>
      <w:pPr>
        <w:pStyle w:val="2"/>
      </w:pPr>
    </w:p>
    <w:p>
      <w:pPr>
        <w:widowControl/>
        <w:spacing w:line="360" w:lineRule="auto"/>
        <w:ind w:firstLine="422" w:firstLineChars="200"/>
        <w:jc w:val="left"/>
        <w:rPr>
          <w:rFonts w:ascii="宋体" w:hAnsi="宋体" w:cs="宋体"/>
          <w:b/>
          <w:bCs/>
          <w:kern w:val="0"/>
          <w:szCs w:val="21"/>
        </w:rPr>
      </w:pPr>
      <w:r>
        <w:rPr>
          <w:rFonts w:hint="eastAsia" w:ascii="宋体" w:hAnsi="宋体" w:cs="宋体"/>
          <w:b/>
          <w:bCs/>
          <w:kern w:val="0"/>
          <w:szCs w:val="21"/>
        </w:rPr>
        <w:t>一、评审与定评</w:t>
      </w:r>
    </w:p>
    <w:p>
      <w:pPr>
        <w:widowControl/>
        <w:numPr>
          <w:ilvl w:val="0"/>
          <w:numId w:val="6"/>
        </w:numPr>
        <w:tabs>
          <w:tab w:val="left" w:pos="720"/>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当通过资格、符合性审查的</w:t>
      </w:r>
      <w:r>
        <w:rPr>
          <w:rFonts w:hint="eastAsia" w:ascii="宋体" w:hAnsi="宋体" w:cs="宋体"/>
          <w:kern w:val="28"/>
          <w:szCs w:val="21"/>
        </w:rPr>
        <w:t>参评</w:t>
      </w:r>
      <w:r>
        <w:rPr>
          <w:rFonts w:hint="eastAsia" w:ascii="宋体" w:hAnsi="宋体" w:cs="宋体"/>
          <w:kern w:val="0"/>
          <w:szCs w:val="21"/>
        </w:rPr>
        <w:t>人不少于三家时，按照评审程序的规定和依据评分标准、计算方法，各评委单独封闭对每个</w:t>
      </w:r>
      <w:r>
        <w:rPr>
          <w:rFonts w:hint="eastAsia" w:ascii="宋体" w:hAnsi="宋体" w:cs="宋体"/>
          <w:kern w:val="28"/>
          <w:szCs w:val="21"/>
        </w:rPr>
        <w:t>参评</w:t>
      </w:r>
      <w:r>
        <w:rPr>
          <w:rFonts w:hint="eastAsia" w:ascii="宋体" w:hAnsi="宋体" w:cs="宋体"/>
          <w:kern w:val="0"/>
          <w:szCs w:val="21"/>
        </w:rPr>
        <w:t>人进行评审和比较。</w:t>
      </w:r>
    </w:p>
    <w:p>
      <w:pPr>
        <w:widowControl/>
        <w:numPr>
          <w:ilvl w:val="0"/>
          <w:numId w:val="6"/>
        </w:numPr>
        <w:tabs>
          <w:tab w:val="left" w:pos="720"/>
        </w:tabs>
        <w:snapToGri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成交人资格的确定，由评审小组推荐，并由采购人确认。</w:t>
      </w:r>
    </w:p>
    <w:p>
      <w:pPr>
        <w:widowControl/>
        <w:numPr>
          <w:ilvl w:val="0"/>
          <w:numId w:val="6"/>
        </w:numPr>
        <w:tabs>
          <w:tab w:val="left" w:pos="720"/>
        </w:tabs>
        <w:snapToGri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比较与评价。评审小组</w:t>
      </w:r>
      <w:r>
        <w:rPr>
          <w:rFonts w:hint="eastAsia" w:ascii="宋体" w:hAnsi="宋体"/>
          <w:color w:val="000000"/>
          <w:szCs w:val="21"/>
        </w:rPr>
        <w:t>按遴选文件中规定的评审方法和标准，对资格审查和符合性审查合格的</w:t>
      </w:r>
      <w:r>
        <w:rPr>
          <w:rFonts w:hint="eastAsia" w:ascii="宋体" w:hAnsi="宋体" w:cs="宋体"/>
          <w:color w:val="000000"/>
          <w:kern w:val="28"/>
          <w:szCs w:val="21"/>
        </w:rPr>
        <w:t>参评</w:t>
      </w:r>
      <w:r>
        <w:rPr>
          <w:rFonts w:hint="eastAsia" w:ascii="宋体" w:hAnsi="宋体"/>
          <w:color w:val="000000"/>
          <w:szCs w:val="21"/>
        </w:rPr>
        <w:t>文件进行商务和技术评估，综合比较与评价。资格及符合性、价格、技术、商务部分分值分配如下</w:t>
      </w:r>
      <w:r>
        <w:rPr>
          <w:rFonts w:hint="eastAsia" w:ascii="宋体" w:hAnsi="宋体" w:cs="宋体"/>
          <w:color w:val="000000"/>
          <w:kern w:val="0"/>
          <w:szCs w:val="21"/>
        </w:rPr>
        <w:t>：</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2"/>
        <w:gridCol w:w="1660"/>
        <w:gridCol w:w="1660"/>
        <w:gridCol w:w="1585"/>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82" w:type="dxa"/>
            <w:shd w:val="clear" w:color="auto" w:fill="EAEAEA"/>
            <w:vAlign w:val="center"/>
          </w:tcPr>
          <w:p>
            <w:pPr>
              <w:autoSpaceDE w:val="0"/>
              <w:autoSpaceDN w:val="0"/>
              <w:adjustRightInd w:val="0"/>
              <w:jc w:val="center"/>
              <w:rPr>
                <w:rFonts w:ascii="宋体" w:hAnsi="宋体" w:cs="宋体"/>
                <w:b/>
                <w:color w:val="000000"/>
                <w:kern w:val="0"/>
                <w:szCs w:val="21"/>
              </w:rPr>
            </w:pPr>
            <w:r>
              <w:rPr>
                <w:rFonts w:hint="eastAsia" w:ascii="宋体" w:hAnsi="宋体" w:cs="宋体"/>
                <w:b/>
                <w:color w:val="000000"/>
                <w:kern w:val="0"/>
                <w:szCs w:val="21"/>
              </w:rPr>
              <w:t>评分项目</w:t>
            </w:r>
          </w:p>
        </w:tc>
        <w:tc>
          <w:tcPr>
            <w:tcW w:w="1660" w:type="dxa"/>
            <w:shd w:val="clear" w:color="auto" w:fill="EAEAEA"/>
            <w:vAlign w:val="center"/>
          </w:tcPr>
          <w:p>
            <w:pPr>
              <w:autoSpaceDE w:val="0"/>
              <w:autoSpaceDN w:val="0"/>
              <w:adjustRightInd w:val="0"/>
              <w:jc w:val="center"/>
              <w:rPr>
                <w:rFonts w:ascii="宋体" w:hAnsi="宋体" w:cs="宋体"/>
                <w:b/>
                <w:color w:val="000000"/>
                <w:kern w:val="0"/>
                <w:szCs w:val="21"/>
              </w:rPr>
            </w:pPr>
            <w:r>
              <w:rPr>
                <w:rFonts w:hint="eastAsia" w:ascii="宋体" w:hAnsi="宋体" w:cs="宋体"/>
                <w:b/>
                <w:color w:val="000000"/>
                <w:kern w:val="0"/>
                <w:szCs w:val="21"/>
              </w:rPr>
              <w:t>价格评分</w:t>
            </w:r>
          </w:p>
        </w:tc>
        <w:tc>
          <w:tcPr>
            <w:tcW w:w="1660" w:type="dxa"/>
            <w:shd w:val="clear" w:color="auto" w:fill="EAEAEA"/>
            <w:vAlign w:val="center"/>
          </w:tcPr>
          <w:p>
            <w:pPr>
              <w:autoSpaceDE w:val="0"/>
              <w:autoSpaceDN w:val="0"/>
              <w:adjustRightInd w:val="0"/>
              <w:jc w:val="center"/>
              <w:rPr>
                <w:rFonts w:ascii="宋体" w:hAnsi="宋体" w:cs="宋体"/>
                <w:b/>
                <w:color w:val="000000"/>
                <w:kern w:val="0"/>
                <w:szCs w:val="21"/>
              </w:rPr>
            </w:pPr>
            <w:r>
              <w:rPr>
                <w:rFonts w:hint="eastAsia" w:ascii="宋体" w:hAnsi="宋体" w:cs="宋体"/>
                <w:b/>
                <w:color w:val="000000"/>
                <w:kern w:val="0"/>
                <w:szCs w:val="21"/>
              </w:rPr>
              <w:t>技术评分</w:t>
            </w:r>
          </w:p>
        </w:tc>
        <w:tc>
          <w:tcPr>
            <w:tcW w:w="1585" w:type="dxa"/>
            <w:shd w:val="clear" w:color="auto" w:fill="EAEAEA"/>
            <w:vAlign w:val="center"/>
          </w:tcPr>
          <w:p>
            <w:pPr>
              <w:autoSpaceDE w:val="0"/>
              <w:autoSpaceDN w:val="0"/>
              <w:adjustRightInd w:val="0"/>
              <w:ind w:left="1" w:leftChars="-51" w:hanging="108" w:hangingChars="51"/>
              <w:jc w:val="center"/>
              <w:rPr>
                <w:rFonts w:ascii="宋体" w:hAnsi="宋体" w:cs="宋体"/>
                <w:b/>
                <w:color w:val="000000"/>
                <w:kern w:val="0"/>
                <w:szCs w:val="21"/>
              </w:rPr>
            </w:pPr>
            <w:r>
              <w:rPr>
                <w:rFonts w:hint="eastAsia" w:ascii="宋体" w:hAnsi="宋体" w:cs="宋体"/>
                <w:b/>
                <w:color w:val="000000"/>
                <w:kern w:val="0"/>
                <w:szCs w:val="21"/>
              </w:rPr>
              <w:t>商务评分</w:t>
            </w:r>
          </w:p>
        </w:tc>
        <w:tc>
          <w:tcPr>
            <w:tcW w:w="1359" w:type="dxa"/>
            <w:shd w:val="clear" w:color="auto" w:fill="EAEAEA"/>
            <w:vAlign w:val="center"/>
          </w:tcPr>
          <w:p>
            <w:pPr>
              <w:autoSpaceDE w:val="0"/>
              <w:autoSpaceDN w:val="0"/>
              <w:adjustRightInd w:val="0"/>
              <w:ind w:left="1" w:leftChars="-51" w:hanging="108" w:hangingChars="51"/>
              <w:jc w:val="center"/>
              <w:rPr>
                <w:rFonts w:ascii="宋体" w:hAnsi="宋体" w:cs="宋体"/>
                <w:b/>
                <w:color w:val="000000"/>
                <w:kern w:val="0"/>
                <w:szCs w:val="21"/>
              </w:rPr>
            </w:pPr>
            <w:r>
              <w:rPr>
                <w:rFonts w:hint="eastAsia" w:ascii="宋体" w:hAnsi="宋体" w:cs="宋体"/>
                <w:b/>
                <w:color w:val="000000"/>
                <w:kern w:val="0"/>
                <w:szCs w:val="21"/>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82" w:type="dxa"/>
            <w:vAlign w:val="center"/>
          </w:tcPr>
          <w:p>
            <w:pPr>
              <w:autoSpaceDE w:val="0"/>
              <w:autoSpaceDN w:val="0"/>
              <w:adjustRightInd w:val="0"/>
              <w:jc w:val="center"/>
              <w:rPr>
                <w:rFonts w:ascii="宋体" w:hAnsi="宋体" w:cs="宋体"/>
                <w:color w:val="000000"/>
                <w:kern w:val="0"/>
                <w:szCs w:val="21"/>
              </w:rPr>
            </w:pPr>
            <w:r>
              <w:rPr>
                <w:rFonts w:hint="eastAsia" w:ascii="宋体" w:hAnsi="宋体" w:cs="宋体"/>
                <w:color w:val="000000"/>
                <w:kern w:val="0"/>
                <w:szCs w:val="21"/>
              </w:rPr>
              <w:t>分值</w:t>
            </w:r>
          </w:p>
        </w:tc>
        <w:tc>
          <w:tcPr>
            <w:tcW w:w="1660" w:type="dxa"/>
            <w:vAlign w:val="center"/>
          </w:tcPr>
          <w:p>
            <w:pPr>
              <w:autoSpaceDE w:val="0"/>
              <w:autoSpaceDN w:val="0"/>
              <w:adjustRightInd w:val="0"/>
              <w:jc w:val="center"/>
              <w:rPr>
                <w:rFonts w:ascii="宋体" w:hAns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0分</w:t>
            </w:r>
          </w:p>
        </w:tc>
        <w:tc>
          <w:tcPr>
            <w:tcW w:w="1660" w:type="dxa"/>
            <w:vAlign w:val="center"/>
          </w:tcPr>
          <w:p>
            <w:pPr>
              <w:autoSpaceDE w:val="0"/>
              <w:autoSpaceDN w:val="0"/>
              <w:adjustRightInd w:val="0"/>
              <w:jc w:val="center"/>
              <w:rPr>
                <w:rFonts w:ascii="宋体" w:hAnsi="宋体" w:cs="宋体"/>
                <w:color w:val="000000"/>
                <w:kern w:val="0"/>
                <w:szCs w:val="21"/>
              </w:rPr>
            </w:pPr>
            <w:r>
              <w:rPr>
                <w:rFonts w:hint="eastAsia" w:ascii="宋体" w:hAnsi="宋体" w:cs="宋体"/>
                <w:color w:val="000000"/>
                <w:kern w:val="0"/>
                <w:szCs w:val="21"/>
              </w:rPr>
              <w:t>5</w:t>
            </w:r>
            <w:r>
              <w:rPr>
                <w:rFonts w:ascii="宋体" w:hAnsi="宋体" w:cs="宋体"/>
                <w:color w:val="000000"/>
                <w:kern w:val="0"/>
                <w:szCs w:val="21"/>
              </w:rPr>
              <w:t>0</w:t>
            </w:r>
            <w:r>
              <w:rPr>
                <w:rFonts w:hint="eastAsia" w:ascii="宋体" w:hAnsi="宋体" w:cs="宋体"/>
                <w:color w:val="000000"/>
                <w:kern w:val="0"/>
                <w:szCs w:val="21"/>
              </w:rPr>
              <w:t>分</w:t>
            </w:r>
          </w:p>
        </w:tc>
        <w:tc>
          <w:tcPr>
            <w:tcW w:w="1585" w:type="dxa"/>
            <w:vAlign w:val="center"/>
          </w:tcPr>
          <w:p>
            <w:pPr>
              <w:autoSpaceDE w:val="0"/>
              <w:autoSpaceDN w:val="0"/>
              <w:adjustRightInd w:val="0"/>
              <w:jc w:val="center"/>
              <w:rPr>
                <w:rFonts w:ascii="宋体" w:hAnsi="宋体" w:cs="宋体"/>
                <w:color w:val="000000"/>
                <w:kern w:val="0"/>
                <w:szCs w:val="21"/>
              </w:rPr>
            </w:pPr>
            <w:r>
              <w:rPr>
                <w:rFonts w:ascii="宋体" w:hAnsi="宋体" w:cs="宋体"/>
                <w:color w:val="000000"/>
                <w:kern w:val="0"/>
                <w:szCs w:val="21"/>
              </w:rPr>
              <w:t>40</w:t>
            </w:r>
            <w:r>
              <w:rPr>
                <w:rFonts w:hint="eastAsia" w:ascii="宋体" w:hAnsi="宋体" w:cs="宋体"/>
                <w:color w:val="000000"/>
                <w:kern w:val="0"/>
                <w:szCs w:val="21"/>
              </w:rPr>
              <w:t>分</w:t>
            </w:r>
          </w:p>
        </w:tc>
        <w:tc>
          <w:tcPr>
            <w:tcW w:w="1359" w:type="dxa"/>
            <w:vAlign w:val="center"/>
          </w:tcPr>
          <w:p>
            <w:pPr>
              <w:autoSpaceDE w:val="0"/>
              <w:autoSpaceDN w:val="0"/>
              <w:adjustRightInd w:val="0"/>
              <w:ind w:leftChars="-51" w:hanging="107" w:hangingChars="51"/>
              <w:jc w:val="center"/>
              <w:rPr>
                <w:rFonts w:ascii="宋体" w:hAnsi="宋体" w:cs="宋体"/>
                <w:color w:val="000000"/>
                <w:kern w:val="0"/>
                <w:szCs w:val="21"/>
              </w:rPr>
            </w:pPr>
            <w:r>
              <w:rPr>
                <w:rFonts w:hint="eastAsia" w:ascii="宋体" w:hAnsi="宋体" w:cs="宋体"/>
                <w:color w:val="000000"/>
                <w:kern w:val="0"/>
                <w:szCs w:val="21"/>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82" w:type="dxa"/>
            <w:vAlign w:val="center"/>
          </w:tcPr>
          <w:p>
            <w:pPr>
              <w:autoSpaceDE w:val="0"/>
              <w:autoSpaceDN w:val="0"/>
              <w:adjustRightInd w:val="0"/>
              <w:jc w:val="center"/>
              <w:rPr>
                <w:rFonts w:ascii="宋体" w:hAnsi="宋体" w:cs="宋体"/>
                <w:color w:val="000000"/>
                <w:kern w:val="0"/>
                <w:szCs w:val="21"/>
              </w:rPr>
            </w:pPr>
            <w:r>
              <w:rPr>
                <w:rFonts w:hint="eastAsia" w:ascii="宋体" w:hAnsi="宋体" w:cs="宋体"/>
                <w:color w:val="000000"/>
                <w:kern w:val="0"/>
                <w:szCs w:val="21"/>
              </w:rPr>
              <w:t>权重</w:t>
            </w:r>
          </w:p>
        </w:tc>
        <w:tc>
          <w:tcPr>
            <w:tcW w:w="1660" w:type="dxa"/>
            <w:vAlign w:val="center"/>
          </w:tcPr>
          <w:p>
            <w:pPr>
              <w:autoSpaceDE w:val="0"/>
              <w:autoSpaceDN w:val="0"/>
              <w:adjustRightInd w:val="0"/>
              <w:jc w:val="center"/>
              <w:rPr>
                <w:rFonts w:ascii="宋体" w:hAns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0%</w:t>
            </w:r>
          </w:p>
        </w:tc>
        <w:tc>
          <w:tcPr>
            <w:tcW w:w="1660" w:type="dxa"/>
            <w:vAlign w:val="center"/>
          </w:tcPr>
          <w:p>
            <w:pPr>
              <w:autoSpaceDE w:val="0"/>
              <w:autoSpaceDN w:val="0"/>
              <w:adjustRightInd w:val="0"/>
              <w:jc w:val="center"/>
              <w:rPr>
                <w:rFonts w:ascii="宋体" w:hAnsi="宋体" w:cs="宋体"/>
                <w:color w:val="000000"/>
                <w:kern w:val="0"/>
                <w:szCs w:val="21"/>
              </w:rPr>
            </w:pPr>
            <w:r>
              <w:rPr>
                <w:rFonts w:hint="eastAsia" w:ascii="宋体" w:hAnsi="宋体" w:cs="宋体"/>
                <w:color w:val="000000"/>
                <w:kern w:val="0"/>
                <w:szCs w:val="21"/>
              </w:rPr>
              <w:t>5</w:t>
            </w:r>
            <w:r>
              <w:rPr>
                <w:rFonts w:ascii="宋体" w:hAnsi="宋体" w:cs="宋体"/>
                <w:color w:val="000000"/>
                <w:kern w:val="0"/>
                <w:szCs w:val="21"/>
              </w:rPr>
              <w:t>0</w:t>
            </w:r>
            <w:r>
              <w:rPr>
                <w:rFonts w:hint="eastAsia" w:ascii="宋体" w:hAnsi="宋体" w:cs="宋体"/>
                <w:color w:val="000000"/>
                <w:kern w:val="0"/>
                <w:szCs w:val="21"/>
              </w:rPr>
              <w:t>%</w:t>
            </w:r>
          </w:p>
        </w:tc>
        <w:tc>
          <w:tcPr>
            <w:tcW w:w="1585" w:type="dxa"/>
            <w:vAlign w:val="center"/>
          </w:tcPr>
          <w:p>
            <w:pPr>
              <w:autoSpaceDE w:val="0"/>
              <w:autoSpaceDN w:val="0"/>
              <w:adjustRightInd w:val="0"/>
              <w:jc w:val="center"/>
              <w:rPr>
                <w:rFonts w:ascii="宋体" w:hAnsi="宋体" w:cs="宋体"/>
                <w:color w:val="000000"/>
                <w:kern w:val="0"/>
                <w:szCs w:val="21"/>
              </w:rPr>
            </w:pPr>
            <w:r>
              <w:rPr>
                <w:rFonts w:hint="eastAsia" w:ascii="宋体" w:hAnsi="宋体" w:cs="宋体"/>
                <w:color w:val="000000"/>
                <w:kern w:val="0"/>
                <w:szCs w:val="21"/>
              </w:rPr>
              <w:t>4</w:t>
            </w:r>
            <w:r>
              <w:rPr>
                <w:rFonts w:ascii="宋体" w:hAnsi="宋体" w:cs="宋体"/>
                <w:color w:val="000000"/>
                <w:kern w:val="0"/>
                <w:szCs w:val="21"/>
              </w:rPr>
              <w:t>0</w:t>
            </w:r>
            <w:r>
              <w:rPr>
                <w:rFonts w:hint="eastAsia" w:ascii="宋体" w:hAnsi="宋体" w:cs="宋体"/>
                <w:color w:val="000000"/>
                <w:kern w:val="0"/>
                <w:szCs w:val="21"/>
              </w:rPr>
              <w:t>%</w:t>
            </w:r>
          </w:p>
        </w:tc>
        <w:tc>
          <w:tcPr>
            <w:tcW w:w="1359" w:type="dxa"/>
            <w:vAlign w:val="center"/>
          </w:tcPr>
          <w:p>
            <w:pPr>
              <w:autoSpaceDE w:val="0"/>
              <w:autoSpaceDN w:val="0"/>
              <w:adjustRightInd w:val="0"/>
              <w:jc w:val="center"/>
              <w:rPr>
                <w:rFonts w:ascii="宋体" w:hAnsi="宋体" w:cs="宋体"/>
                <w:color w:val="000000"/>
                <w:kern w:val="0"/>
                <w:szCs w:val="21"/>
              </w:rPr>
            </w:pPr>
            <w:bookmarkStart w:id="16" w:name="_Toc225564544"/>
            <w:bookmarkStart w:id="17" w:name="_Toc215655096"/>
            <w:r>
              <w:rPr>
                <w:rFonts w:hint="eastAsia" w:ascii="宋体" w:hAnsi="宋体" w:cs="宋体"/>
                <w:color w:val="000000"/>
                <w:kern w:val="0"/>
                <w:szCs w:val="21"/>
              </w:rPr>
              <w:t>100</w:t>
            </w:r>
            <w:bookmarkEnd w:id="16"/>
            <w:bookmarkEnd w:id="17"/>
            <w:r>
              <w:rPr>
                <w:rFonts w:hint="eastAsia" w:ascii="宋体" w:hAnsi="宋体" w:cs="宋体"/>
                <w:color w:val="000000"/>
                <w:kern w:val="0"/>
                <w:szCs w:val="21"/>
              </w:rPr>
              <w:t>%</w:t>
            </w:r>
          </w:p>
        </w:tc>
      </w:tr>
    </w:tbl>
    <w:p>
      <w:pPr>
        <w:widowControl/>
        <w:numPr>
          <w:ilvl w:val="0"/>
          <w:numId w:val="6"/>
        </w:numPr>
        <w:tabs>
          <w:tab w:val="left" w:pos="720"/>
        </w:tabs>
        <w:snapToGri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价格评分</w:t>
      </w:r>
    </w:p>
    <w:p>
      <w:pPr>
        <w:widowControl/>
        <w:numPr>
          <w:ilvl w:val="0"/>
          <w:numId w:val="7"/>
        </w:numPr>
        <w:tabs>
          <w:tab w:val="left" w:pos="720"/>
        </w:tabs>
        <w:snapToGrid w:val="0"/>
        <w:spacing w:line="360" w:lineRule="auto"/>
        <w:jc w:val="left"/>
        <w:rPr>
          <w:rFonts w:ascii="宋体" w:hAnsi="宋体" w:cs="宋体"/>
          <w:kern w:val="0"/>
          <w:szCs w:val="21"/>
        </w:rPr>
      </w:pPr>
      <w:r>
        <w:rPr>
          <w:rFonts w:hint="eastAsia" w:ascii="宋体" w:hAnsi="宋体" w:cs="宋体"/>
          <w:kern w:val="0"/>
          <w:szCs w:val="21"/>
        </w:rPr>
        <w:t>由评审小组对所有参评文件的价格部分的响应进行审核和分析。</w:t>
      </w:r>
    </w:p>
    <w:p>
      <w:pPr>
        <w:widowControl/>
        <w:numPr>
          <w:ilvl w:val="0"/>
          <w:numId w:val="7"/>
        </w:numPr>
        <w:tabs>
          <w:tab w:val="left" w:pos="720"/>
        </w:tabs>
        <w:snapToGrid w:val="0"/>
        <w:spacing w:line="360" w:lineRule="auto"/>
        <w:jc w:val="left"/>
        <w:rPr>
          <w:rFonts w:ascii="宋体" w:hAnsi="宋体" w:cs="宋体"/>
          <w:kern w:val="0"/>
          <w:szCs w:val="21"/>
        </w:rPr>
      </w:pPr>
      <w:r>
        <w:rPr>
          <w:rFonts w:hint="eastAsia" w:ascii="宋体" w:hAnsi="宋体" w:cs="宋体"/>
          <w:kern w:val="0"/>
          <w:szCs w:val="21"/>
        </w:rPr>
        <w:t>基准价格分：以有效参评人中报价最低的参评报价为基准价，定其基准价格分为满分。</w:t>
      </w:r>
    </w:p>
    <w:p>
      <w:pPr>
        <w:widowControl/>
        <w:numPr>
          <w:ilvl w:val="0"/>
          <w:numId w:val="7"/>
        </w:numPr>
        <w:tabs>
          <w:tab w:val="left" w:pos="720"/>
        </w:tabs>
        <w:snapToGrid w:val="0"/>
        <w:spacing w:line="360" w:lineRule="auto"/>
        <w:jc w:val="left"/>
        <w:rPr>
          <w:rFonts w:ascii="宋体" w:hAnsi="宋体" w:cs="宋体"/>
          <w:kern w:val="0"/>
          <w:szCs w:val="21"/>
        </w:rPr>
      </w:pPr>
      <w:r>
        <w:rPr>
          <w:rFonts w:hint="eastAsia" w:ascii="宋体" w:hAnsi="宋体" w:cs="宋体"/>
          <w:kern w:val="0"/>
          <w:szCs w:val="21"/>
        </w:rPr>
        <w:t>参评人的价格得分=评审基准价÷参评报价×价格分值（精确到小数点后两位）。由此算出每个参评人的“价格得分”。</w:t>
      </w:r>
    </w:p>
    <w:p>
      <w:pPr>
        <w:widowControl/>
        <w:numPr>
          <w:ilvl w:val="0"/>
          <w:numId w:val="7"/>
        </w:numPr>
        <w:tabs>
          <w:tab w:val="left" w:pos="720"/>
        </w:tabs>
        <w:snapToGrid w:val="0"/>
        <w:spacing w:line="360" w:lineRule="auto"/>
        <w:jc w:val="left"/>
        <w:rPr>
          <w:rFonts w:ascii="宋体" w:hAnsi="宋体" w:cs="宋体"/>
          <w:kern w:val="0"/>
          <w:szCs w:val="21"/>
        </w:rPr>
      </w:pPr>
      <w:r>
        <w:rPr>
          <w:rFonts w:hint="eastAsia" w:ascii="宋体" w:hAnsi="宋体" w:cs="宋体"/>
          <w:kern w:val="0"/>
          <w:szCs w:val="21"/>
        </w:rPr>
        <w:t>评委检查每个参评人的价格评分计算情况，确认“价格得分”。</w:t>
      </w:r>
    </w:p>
    <w:p>
      <w:pPr>
        <w:widowControl/>
        <w:numPr>
          <w:ilvl w:val="0"/>
          <w:numId w:val="6"/>
        </w:numPr>
        <w:tabs>
          <w:tab w:val="left" w:pos="720"/>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技术评分</w:t>
      </w:r>
    </w:p>
    <w:p>
      <w:pPr>
        <w:widowControl/>
        <w:numPr>
          <w:ilvl w:val="0"/>
          <w:numId w:val="8"/>
        </w:numPr>
        <w:tabs>
          <w:tab w:val="left" w:pos="720"/>
        </w:tabs>
        <w:snapToGrid w:val="0"/>
        <w:spacing w:line="360" w:lineRule="auto"/>
        <w:jc w:val="left"/>
        <w:rPr>
          <w:rFonts w:ascii="宋体" w:hAnsi="宋体" w:cs="宋体"/>
          <w:kern w:val="0"/>
          <w:szCs w:val="21"/>
        </w:rPr>
      </w:pPr>
      <w:r>
        <w:rPr>
          <w:rFonts w:hint="eastAsia" w:ascii="宋体" w:hAnsi="宋体" w:cs="宋体"/>
          <w:kern w:val="0"/>
          <w:szCs w:val="21"/>
        </w:rPr>
        <w:t>由评审小组对所有</w:t>
      </w:r>
      <w:r>
        <w:rPr>
          <w:rFonts w:hint="eastAsia" w:ascii="宋体" w:hAnsi="宋体" w:cs="宋体"/>
          <w:kern w:val="28"/>
          <w:szCs w:val="21"/>
        </w:rPr>
        <w:t>参评</w:t>
      </w:r>
      <w:r>
        <w:rPr>
          <w:rFonts w:hint="eastAsia" w:ascii="宋体" w:hAnsi="宋体" w:cs="宋体"/>
          <w:kern w:val="0"/>
          <w:szCs w:val="21"/>
        </w:rPr>
        <w:t>文件的技术部分的响应进行审核和分析；</w:t>
      </w:r>
    </w:p>
    <w:p>
      <w:pPr>
        <w:widowControl/>
        <w:numPr>
          <w:ilvl w:val="0"/>
          <w:numId w:val="8"/>
        </w:numPr>
        <w:tabs>
          <w:tab w:val="left" w:pos="720"/>
        </w:tabs>
        <w:snapToGrid w:val="0"/>
        <w:spacing w:line="360" w:lineRule="auto"/>
        <w:jc w:val="left"/>
        <w:rPr>
          <w:rFonts w:ascii="宋体" w:hAnsi="宋体" w:cs="宋体"/>
          <w:kern w:val="0"/>
          <w:szCs w:val="21"/>
        </w:rPr>
      </w:pPr>
      <w:r>
        <w:rPr>
          <w:rFonts w:hint="eastAsia" w:ascii="宋体" w:hAnsi="宋体" w:cs="宋体"/>
          <w:kern w:val="0"/>
          <w:szCs w:val="21"/>
        </w:rPr>
        <w:t>评委独立进行评分，填写“技术评分表”；</w:t>
      </w:r>
    </w:p>
    <w:p>
      <w:pPr>
        <w:widowControl/>
        <w:numPr>
          <w:ilvl w:val="0"/>
          <w:numId w:val="8"/>
        </w:numPr>
        <w:tabs>
          <w:tab w:val="left" w:pos="720"/>
        </w:tabs>
        <w:snapToGrid w:val="0"/>
        <w:spacing w:line="360" w:lineRule="auto"/>
        <w:jc w:val="left"/>
        <w:rPr>
          <w:rFonts w:ascii="宋体" w:hAnsi="宋体" w:cs="宋体"/>
          <w:kern w:val="0"/>
          <w:szCs w:val="21"/>
        </w:rPr>
      </w:pPr>
      <w:r>
        <w:rPr>
          <w:rFonts w:hint="eastAsia" w:ascii="宋体" w:hAnsi="宋体" w:cs="宋体"/>
          <w:kern w:val="0"/>
          <w:szCs w:val="21"/>
        </w:rPr>
        <w:t>评分标准：按“技术评分表”中的分值进行评分；</w:t>
      </w:r>
    </w:p>
    <w:p>
      <w:pPr>
        <w:widowControl/>
        <w:numPr>
          <w:ilvl w:val="0"/>
          <w:numId w:val="8"/>
        </w:numPr>
        <w:tabs>
          <w:tab w:val="left" w:pos="720"/>
        </w:tabs>
        <w:snapToGrid w:val="0"/>
        <w:spacing w:line="360" w:lineRule="auto"/>
        <w:jc w:val="left"/>
        <w:rPr>
          <w:rFonts w:ascii="宋体" w:hAnsi="宋体" w:cs="宋体"/>
          <w:kern w:val="0"/>
          <w:szCs w:val="21"/>
        </w:rPr>
      </w:pPr>
      <w:r>
        <w:rPr>
          <w:rFonts w:hint="eastAsia" w:ascii="宋体" w:hAnsi="宋体" w:cs="宋体"/>
          <w:kern w:val="0"/>
          <w:szCs w:val="21"/>
        </w:rPr>
        <w:t>将每一个评委的评分汇集，取算术平均值（精确到小数点后两位）为该</w:t>
      </w:r>
      <w:r>
        <w:rPr>
          <w:rFonts w:hint="eastAsia" w:ascii="宋体" w:hAnsi="宋体" w:cs="宋体"/>
          <w:kern w:val="28"/>
          <w:szCs w:val="21"/>
        </w:rPr>
        <w:t>参评</w:t>
      </w:r>
      <w:r>
        <w:rPr>
          <w:rFonts w:hint="eastAsia" w:ascii="宋体" w:hAnsi="宋体" w:cs="宋体"/>
          <w:kern w:val="0"/>
          <w:szCs w:val="21"/>
        </w:rPr>
        <w:t>人的技术得分。</w:t>
      </w:r>
    </w:p>
    <w:p>
      <w:pPr>
        <w:widowControl/>
        <w:numPr>
          <w:ilvl w:val="0"/>
          <w:numId w:val="6"/>
        </w:numPr>
        <w:tabs>
          <w:tab w:val="left" w:pos="720"/>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商务评分</w:t>
      </w:r>
    </w:p>
    <w:p>
      <w:pPr>
        <w:widowControl/>
        <w:numPr>
          <w:ilvl w:val="0"/>
          <w:numId w:val="9"/>
        </w:numPr>
        <w:tabs>
          <w:tab w:val="left" w:pos="720"/>
        </w:tabs>
        <w:snapToGrid w:val="0"/>
        <w:spacing w:line="360" w:lineRule="auto"/>
        <w:jc w:val="left"/>
        <w:rPr>
          <w:rFonts w:ascii="宋体" w:hAnsi="宋体" w:cs="宋体"/>
          <w:kern w:val="0"/>
          <w:szCs w:val="21"/>
        </w:rPr>
      </w:pPr>
      <w:r>
        <w:rPr>
          <w:rFonts w:hint="eastAsia" w:ascii="宋体" w:hAnsi="宋体" w:cs="宋体"/>
          <w:kern w:val="0"/>
          <w:szCs w:val="21"/>
        </w:rPr>
        <w:t>由评审小组对所有参评文件的商务部分的响应进行审核和分析；</w:t>
      </w:r>
    </w:p>
    <w:p>
      <w:pPr>
        <w:widowControl/>
        <w:numPr>
          <w:ilvl w:val="0"/>
          <w:numId w:val="9"/>
        </w:numPr>
        <w:tabs>
          <w:tab w:val="left" w:pos="720"/>
        </w:tabs>
        <w:snapToGrid w:val="0"/>
        <w:spacing w:line="360" w:lineRule="auto"/>
        <w:jc w:val="left"/>
        <w:rPr>
          <w:rFonts w:ascii="宋体" w:hAnsi="宋体" w:cs="宋体"/>
          <w:kern w:val="0"/>
          <w:szCs w:val="21"/>
        </w:rPr>
      </w:pPr>
      <w:r>
        <w:rPr>
          <w:rFonts w:hint="eastAsia" w:ascii="宋体" w:hAnsi="宋体" w:cs="宋体"/>
          <w:kern w:val="0"/>
          <w:szCs w:val="21"/>
        </w:rPr>
        <w:t>评委独立进行评分，填写“商务评分表”；</w:t>
      </w:r>
    </w:p>
    <w:p>
      <w:pPr>
        <w:widowControl/>
        <w:numPr>
          <w:ilvl w:val="0"/>
          <w:numId w:val="9"/>
        </w:numPr>
        <w:tabs>
          <w:tab w:val="left" w:pos="720"/>
        </w:tabs>
        <w:snapToGrid w:val="0"/>
        <w:spacing w:line="360" w:lineRule="auto"/>
        <w:jc w:val="left"/>
        <w:rPr>
          <w:rFonts w:ascii="宋体" w:hAnsi="宋体" w:cs="宋体"/>
          <w:kern w:val="0"/>
          <w:szCs w:val="21"/>
        </w:rPr>
      </w:pPr>
      <w:r>
        <w:rPr>
          <w:rFonts w:hint="eastAsia" w:ascii="宋体" w:hAnsi="宋体" w:cs="宋体"/>
          <w:kern w:val="0"/>
          <w:szCs w:val="21"/>
        </w:rPr>
        <w:t>评分标准：按“商务评分表”中的分值进行评分；</w:t>
      </w:r>
    </w:p>
    <w:p>
      <w:pPr>
        <w:widowControl/>
        <w:numPr>
          <w:ilvl w:val="0"/>
          <w:numId w:val="9"/>
        </w:numPr>
        <w:tabs>
          <w:tab w:val="left" w:pos="720"/>
        </w:tabs>
        <w:snapToGrid w:val="0"/>
        <w:spacing w:line="360" w:lineRule="auto"/>
        <w:jc w:val="left"/>
        <w:rPr>
          <w:rFonts w:ascii="宋体" w:hAnsi="宋体" w:cs="宋体"/>
          <w:kern w:val="0"/>
          <w:szCs w:val="21"/>
        </w:rPr>
      </w:pPr>
      <w:r>
        <w:rPr>
          <w:rFonts w:hint="eastAsia" w:ascii="宋体" w:hAnsi="宋体" w:cs="宋体"/>
          <w:kern w:val="0"/>
          <w:szCs w:val="21"/>
        </w:rPr>
        <w:t>将每一个评委的评分汇集，取算术平均值（精确到小数点后两位）为该参评人的商务得分。</w:t>
      </w:r>
    </w:p>
    <w:p>
      <w:pPr>
        <w:widowControl/>
        <w:spacing w:line="360" w:lineRule="auto"/>
        <w:ind w:firstLine="422" w:firstLineChars="200"/>
        <w:jc w:val="left"/>
        <w:rPr>
          <w:rFonts w:ascii="宋体" w:hAnsi="宋体" w:cs="宋体"/>
          <w:kern w:val="0"/>
          <w:szCs w:val="21"/>
        </w:rPr>
      </w:pPr>
      <w:r>
        <w:rPr>
          <w:rFonts w:hint="eastAsia" w:ascii="宋体" w:hAnsi="宋体" w:cs="宋体"/>
          <w:b/>
          <w:bCs/>
          <w:kern w:val="0"/>
          <w:szCs w:val="21"/>
        </w:rPr>
        <w:t>二、</w:t>
      </w:r>
      <w:bookmarkStart w:id="18" w:name="_Toc484827211"/>
      <w:r>
        <w:rPr>
          <w:rFonts w:hint="eastAsia" w:ascii="宋体" w:hAnsi="宋体" w:cs="宋体"/>
          <w:b/>
          <w:bCs/>
          <w:kern w:val="0"/>
          <w:szCs w:val="21"/>
        </w:rPr>
        <w:t>综合得分的计算</w:t>
      </w:r>
      <w:bookmarkEnd w:id="18"/>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本项目的评审方法采用综合评分法，综合评分法评审步骤：先进行资格、符合性审查，再进行价格、技术及商务的详细评审。只有通过资格、符合性审查的</w:t>
      </w:r>
      <w:r>
        <w:rPr>
          <w:rFonts w:hint="eastAsia" w:ascii="宋体" w:hAnsi="宋体" w:cs="宋体"/>
          <w:kern w:val="28"/>
          <w:szCs w:val="21"/>
        </w:rPr>
        <w:t>参评</w:t>
      </w:r>
      <w:r>
        <w:rPr>
          <w:rFonts w:hint="eastAsia" w:ascii="宋体" w:hAnsi="宋体" w:cs="宋体"/>
          <w:kern w:val="0"/>
          <w:szCs w:val="21"/>
        </w:rPr>
        <w:t>人才能进入详细的评审。</w:t>
      </w:r>
    </w:p>
    <w:p>
      <w:pPr>
        <w:adjustRightInd w:val="0"/>
        <w:snapToGrid w:val="0"/>
        <w:spacing w:line="360" w:lineRule="auto"/>
        <w:ind w:firstLine="420" w:firstLineChars="200"/>
        <w:rPr>
          <w:rFonts w:ascii="宋体" w:hAnsi="宋体" w:cs="Arial"/>
          <w:szCs w:val="21"/>
        </w:rPr>
      </w:pPr>
      <w:r>
        <w:rPr>
          <w:rFonts w:hint="eastAsia" w:ascii="宋体" w:hAnsi="宋体" w:cs="Arial"/>
          <w:color w:val="000000"/>
          <w:szCs w:val="21"/>
        </w:rPr>
        <w:t>综合得分（精确到小数点后两位）=</w:t>
      </w:r>
      <w:bookmarkStart w:id="19" w:name="ScoreFormula"/>
      <w:r>
        <w:rPr>
          <w:rFonts w:hint="eastAsia" w:ascii="宋体" w:hAnsi="宋体" w:cs="Arial"/>
          <w:color w:val="000000"/>
          <w:szCs w:val="21"/>
        </w:rPr>
        <w:t>价格得分+技术得分+商务得分</w:t>
      </w:r>
      <w:bookmarkEnd w:id="19"/>
      <w:r>
        <w:rPr>
          <w:rFonts w:hint="eastAsia" w:ascii="宋体" w:hAnsi="宋体" w:cs="Arial"/>
          <w:color w:val="000000"/>
          <w:szCs w:val="21"/>
        </w:rPr>
        <w:t>。</w:t>
      </w:r>
      <w:r>
        <w:rPr>
          <w:rFonts w:hint="eastAsia" w:ascii="宋体" w:hAnsi="宋体"/>
          <w:bCs/>
          <w:szCs w:val="21"/>
        </w:rPr>
        <w:t>综合得分相同的，名次按技术评分由高到低顺序排列；综合得分相同且技术评分相同的，名次按商务评分由高到低顺序排列；综合得分相同、技术评分和商务评分均相同的，名次由评审价由低到高顺序排列。综合得分相同、技术评分、商务评分和评审价均相同的评审小组抽签确定。法律法规有明确规定的，以法律法规规定为准。</w:t>
      </w:r>
    </w:p>
    <w:p>
      <w:pPr>
        <w:widowControl/>
        <w:spacing w:line="360" w:lineRule="auto"/>
        <w:ind w:firstLine="422" w:firstLineChars="200"/>
        <w:jc w:val="left"/>
        <w:rPr>
          <w:rFonts w:ascii="宋体" w:hAnsi="宋体" w:cs="宋体"/>
          <w:b/>
          <w:bCs/>
          <w:kern w:val="0"/>
          <w:szCs w:val="21"/>
        </w:rPr>
      </w:pPr>
      <w:r>
        <w:rPr>
          <w:rFonts w:hint="eastAsia" w:ascii="宋体" w:hAnsi="宋体" w:cs="宋体"/>
          <w:b/>
          <w:bCs/>
          <w:kern w:val="0"/>
          <w:szCs w:val="21"/>
        </w:rPr>
        <w:t>三、确定成交人</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采购人将根据评审结果，确定成交人，同时向成交人发出书面《成交通知书》。</w:t>
      </w:r>
    </w:p>
    <w:p>
      <w:pPr>
        <w:adjustRightInd w:val="0"/>
        <w:snapToGrid w:val="0"/>
        <w:spacing w:line="360" w:lineRule="auto"/>
        <w:ind w:firstLine="422" w:firstLineChars="200"/>
        <w:rPr>
          <w:rFonts w:ascii="宋体" w:hAnsi="宋体" w:cs="Arial"/>
          <w:b/>
          <w:szCs w:val="21"/>
        </w:rPr>
      </w:pPr>
      <w:r>
        <w:rPr>
          <w:rFonts w:hint="eastAsia" w:ascii="宋体" w:hAnsi="宋体" w:cs="Arial"/>
          <w:b/>
          <w:szCs w:val="21"/>
        </w:rPr>
        <w:t>注：本评审办法入围</w:t>
      </w:r>
      <w:r>
        <w:rPr>
          <w:rFonts w:hint="eastAsia" w:ascii="宋体" w:hAnsi="宋体" w:cs="宋体"/>
          <w:b/>
          <w:kern w:val="28"/>
          <w:szCs w:val="21"/>
        </w:rPr>
        <w:t>参评</w:t>
      </w:r>
      <w:r>
        <w:rPr>
          <w:rFonts w:hint="eastAsia" w:ascii="宋体" w:hAnsi="宋体" w:cs="Arial"/>
          <w:b/>
          <w:szCs w:val="21"/>
        </w:rPr>
        <w:t>人指所有通过资格、符合性审查的</w:t>
      </w:r>
      <w:r>
        <w:rPr>
          <w:rFonts w:hint="eastAsia" w:ascii="宋体" w:hAnsi="宋体" w:cs="宋体"/>
          <w:b/>
          <w:kern w:val="28"/>
          <w:szCs w:val="21"/>
        </w:rPr>
        <w:t>参评</w:t>
      </w:r>
      <w:r>
        <w:rPr>
          <w:rFonts w:hint="eastAsia" w:ascii="宋体" w:hAnsi="宋体" w:cs="Arial"/>
          <w:b/>
          <w:szCs w:val="21"/>
        </w:rPr>
        <w:t>人。</w:t>
      </w:r>
    </w:p>
    <w:p>
      <w:pPr>
        <w:spacing w:line="400" w:lineRule="exact"/>
        <w:jc w:val="center"/>
        <w:rPr>
          <w:rFonts w:ascii="宋体" w:hAnsi="宋体"/>
          <w:b/>
          <w:bCs/>
          <w:sz w:val="28"/>
        </w:rPr>
      </w:pPr>
      <w:r>
        <w:rPr>
          <w:rFonts w:ascii="宋体" w:hAnsi="宋体" w:cs="宋体"/>
          <w:kern w:val="0"/>
          <w:sz w:val="24"/>
        </w:rPr>
        <w:br w:type="page"/>
      </w:r>
      <w:r>
        <w:rPr>
          <w:rFonts w:ascii="宋体" w:hAnsi="宋体"/>
          <w:b/>
          <w:bCs/>
          <w:sz w:val="28"/>
        </w:rPr>
        <w:t>资格性审查</w:t>
      </w:r>
      <w:r>
        <w:rPr>
          <w:rFonts w:hint="eastAsia" w:ascii="宋体" w:hAnsi="宋体"/>
          <w:b/>
          <w:bCs/>
          <w:sz w:val="28"/>
        </w:rPr>
        <w:t>表</w:t>
      </w:r>
    </w:p>
    <w:p>
      <w:pPr>
        <w:pStyle w:val="2"/>
      </w:pPr>
    </w:p>
    <w:p>
      <w:pPr>
        <w:spacing w:line="400" w:lineRule="exact"/>
        <w:rPr>
          <w:rFonts w:ascii="宋体" w:hAnsi="宋体" w:cs="宋体"/>
          <w:b/>
          <w:bCs/>
          <w:sz w:val="22"/>
          <w:szCs w:val="22"/>
        </w:rPr>
      </w:pPr>
      <w:r>
        <w:rPr>
          <w:rFonts w:hint="eastAsia" w:ascii="宋体" w:hAnsi="宋体" w:cs="宋体"/>
          <w:b/>
          <w:bCs/>
          <w:sz w:val="22"/>
          <w:szCs w:val="22"/>
        </w:rPr>
        <w:t>项目名称：</w:t>
      </w:r>
      <w:r>
        <w:rPr>
          <w:rFonts w:ascii="宋体" w:hAnsi="宋体" w:cs="宋体"/>
          <w:b/>
          <w:bCs/>
          <w:sz w:val="22"/>
          <w:szCs w:val="22"/>
        </w:rPr>
        <w:t>广东省消防救援总队信息安全等级保护测评服务（2022年）</w:t>
      </w:r>
    </w:p>
    <w:tbl>
      <w:tblPr>
        <w:tblStyle w:val="32"/>
        <w:tblW w:w="9854" w:type="dxa"/>
        <w:tblInd w:w="-921" w:type="dxa"/>
        <w:tblLayout w:type="fixed"/>
        <w:tblCellMar>
          <w:top w:w="0" w:type="dxa"/>
          <w:left w:w="0" w:type="dxa"/>
          <w:bottom w:w="0" w:type="dxa"/>
          <w:right w:w="0" w:type="dxa"/>
        </w:tblCellMar>
      </w:tblPr>
      <w:tblGrid>
        <w:gridCol w:w="4094"/>
        <w:gridCol w:w="960"/>
        <w:gridCol w:w="960"/>
        <w:gridCol w:w="960"/>
        <w:gridCol w:w="960"/>
        <w:gridCol w:w="960"/>
        <w:gridCol w:w="960"/>
      </w:tblGrid>
      <w:tr>
        <w:tblPrEx>
          <w:tblCellMar>
            <w:top w:w="0" w:type="dxa"/>
            <w:left w:w="0" w:type="dxa"/>
            <w:bottom w:w="0" w:type="dxa"/>
            <w:right w:w="0" w:type="dxa"/>
          </w:tblCellMar>
        </w:tblPrEx>
        <w:trPr>
          <w:trHeight w:val="146" w:hRule="atLeast"/>
          <w:tblHeader/>
        </w:trPr>
        <w:tc>
          <w:tcPr>
            <w:tcW w:w="4094" w:type="dxa"/>
            <w:tcBorders>
              <w:top w:val="single" w:color="111111" w:sz="6" w:space="0"/>
              <w:left w:val="single" w:color="111111" w:sz="6" w:space="0"/>
              <w:bottom w:val="single" w:color="111111" w:sz="6" w:space="0"/>
              <w:right w:val="single" w:color="111111" w:sz="6" w:space="0"/>
            </w:tcBorders>
            <w:shd w:val="clear" w:color="auto" w:fill="D7D7D7"/>
            <w:vAlign w:val="center"/>
          </w:tcPr>
          <w:p>
            <w:pPr>
              <w:pStyle w:val="93"/>
              <w:spacing w:before="133" w:line="276" w:lineRule="auto"/>
              <w:ind w:right="2"/>
              <w:jc w:val="center"/>
              <w:rPr>
                <w:rFonts w:ascii="宋体" w:hAnsi="宋体" w:cs="宋体"/>
                <w:szCs w:val="21"/>
              </w:rPr>
            </w:pPr>
            <w:r>
              <w:rPr>
                <w:rFonts w:ascii="宋体" w:hAnsi="宋体" w:cs="宋体"/>
                <w:szCs w:val="21"/>
              </w:rPr>
              <w:t>要求</w:t>
            </w:r>
          </w:p>
        </w:tc>
        <w:tc>
          <w:tcPr>
            <w:tcW w:w="960" w:type="dxa"/>
            <w:tcBorders>
              <w:top w:val="single" w:color="111111" w:sz="6" w:space="0"/>
              <w:left w:val="single" w:color="111111" w:sz="6" w:space="0"/>
              <w:bottom w:val="single" w:color="111111" w:sz="6" w:space="0"/>
              <w:right w:val="single" w:color="111111" w:sz="6" w:space="0"/>
            </w:tcBorders>
            <w:shd w:val="clear" w:color="auto" w:fill="D7D7D7"/>
            <w:vAlign w:val="center"/>
          </w:tcPr>
          <w:p>
            <w:pPr>
              <w:pStyle w:val="93"/>
              <w:spacing w:before="133" w:line="276" w:lineRule="auto"/>
              <w:ind w:right="2"/>
              <w:jc w:val="center"/>
              <w:rPr>
                <w:rFonts w:ascii="宋体" w:hAnsi="宋体" w:cs="宋体"/>
                <w:szCs w:val="21"/>
              </w:rPr>
            </w:pPr>
            <w:r>
              <w:rPr>
                <w:rFonts w:ascii="宋体" w:hAnsi="宋体" w:cs="宋体"/>
                <w:szCs w:val="21"/>
              </w:rPr>
              <w:t>供应商 1</w:t>
            </w:r>
          </w:p>
        </w:tc>
        <w:tc>
          <w:tcPr>
            <w:tcW w:w="960" w:type="dxa"/>
            <w:tcBorders>
              <w:top w:val="single" w:color="111111" w:sz="6" w:space="0"/>
              <w:left w:val="single" w:color="111111" w:sz="6" w:space="0"/>
              <w:bottom w:val="single" w:color="111111" w:sz="6" w:space="0"/>
              <w:right w:val="single" w:color="111111" w:sz="6" w:space="0"/>
            </w:tcBorders>
            <w:shd w:val="clear" w:color="auto" w:fill="D7D7D7"/>
            <w:vAlign w:val="center"/>
          </w:tcPr>
          <w:p>
            <w:pPr>
              <w:pStyle w:val="93"/>
              <w:spacing w:before="133" w:line="276" w:lineRule="auto"/>
              <w:ind w:right="2"/>
              <w:jc w:val="center"/>
              <w:rPr>
                <w:rFonts w:ascii="宋体" w:hAnsi="宋体" w:cs="宋体"/>
                <w:szCs w:val="21"/>
              </w:rPr>
            </w:pPr>
            <w:r>
              <w:rPr>
                <w:rFonts w:ascii="宋体" w:hAnsi="宋体" w:cs="宋体"/>
                <w:szCs w:val="21"/>
              </w:rPr>
              <w:t>供应商 2</w:t>
            </w:r>
          </w:p>
        </w:tc>
        <w:tc>
          <w:tcPr>
            <w:tcW w:w="960" w:type="dxa"/>
            <w:tcBorders>
              <w:top w:val="single" w:color="111111" w:sz="6" w:space="0"/>
              <w:left w:val="single" w:color="111111" w:sz="6" w:space="0"/>
              <w:bottom w:val="single" w:color="111111" w:sz="6" w:space="0"/>
              <w:right w:val="single" w:color="111111" w:sz="6" w:space="0"/>
            </w:tcBorders>
            <w:shd w:val="clear" w:color="auto" w:fill="D7D7D7"/>
            <w:vAlign w:val="center"/>
          </w:tcPr>
          <w:p>
            <w:pPr>
              <w:pStyle w:val="93"/>
              <w:spacing w:before="133" w:line="276" w:lineRule="auto"/>
              <w:ind w:right="2"/>
              <w:jc w:val="center"/>
              <w:rPr>
                <w:rFonts w:ascii="宋体" w:hAnsi="宋体" w:cs="宋体"/>
                <w:szCs w:val="21"/>
              </w:rPr>
            </w:pPr>
            <w:r>
              <w:rPr>
                <w:rFonts w:ascii="宋体" w:hAnsi="宋体" w:cs="宋体"/>
                <w:szCs w:val="21"/>
              </w:rPr>
              <w:t>供应商 3</w:t>
            </w:r>
          </w:p>
        </w:tc>
        <w:tc>
          <w:tcPr>
            <w:tcW w:w="960" w:type="dxa"/>
            <w:tcBorders>
              <w:top w:val="single" w:color="111111" w:sz="6" w:space="0"/>
              <w:left w:val="single" w:color="111111" w:sz="6" w:space="0"/>
              <w:bottom w:val="single" w:color="111111" w:sz="6" w:space="0"/>
              <w:right w:val="single" w:color="111111" w:sz="6" w:space="0"/>
            </w:tcBorders>
            <w:shd w:val="clear" w:color="auto" w:fill="D7D7D7"/>
          </w:tcPr>
          <w:p>
            <w:pPr>
              <w:pStyle w:val="93"/>
              <w:spacing w:before="133" w:line="276" w:lineRule="auto"/>
              <w:ind w:right="2"/>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shd w:val="clear" w:color="auto" w:fill="D7D7D7"/>
            <w:vAlign w:val="center"/>
          </w:tcPr>
          <w:p>
            <w:pPr>
              <w:pStyle w:val="93"/>
              <w:spacing w:before="133" w:line="276" w:lineRule="auto"/>
              <w:ind w:right="2"/>
              <w:jc w:val="center"/>
              <w:rPr>
                <w:rFonts w:ascii="宋体" w:hAnsi="宋体" w:cs="宋体"/>
                <w:szCs w:val="21"/>
              </w:rPr>
            </w:pPr>
            <w:r>
              <w:rPr>
                <w:rFonts w:hint="eastAsia" w:ascii="宋体" w:hAnsi="宋体" w:cs="宋体"/>
                <w:szCs w:val="21"/>
              </w:rPr>
              <w:t>供应商4</w:t>
            </w:r>
          </w:p>
        </w:tc>
        <w:tc>
          <w:tcPr>
            <w:tcW w:w="960" w:type="dxa"/>
            <w:tcBorders>
              <w:top w:val="single" w:color="111111" w:sz="6" w:space="0"/>
              <w:left w:val="single" w:color="111111" w:sz="6" w:space="0"/>
              <w:bottom w:val="single" w:color="111111" w:sz="6" w:space="0"/>
              <w:right w:val="single" w:color="111111" w:sz="6" w:space="0"/>
            </w:tcBorders>
            <w:shd w:val="clear" w:color="auto" w:fill="D7D7D7"/>
            <w:vAlign w:val="center"/>
          </w:tcPr>
          <w:p>
            <w:pPr>
              <w:pStyle w:val="93"/>
              <w:spacing w:before="133" w:line="276" w:lineRule="auto"/>
              <w:ind w:right="2"/>
              <w:jc w:val="center"/>
              <w:rPr>
                <w:rFonts w:ascii="宋体" w:hAnsi="宋体" w:cs="宋体"/>
                <w:szCs w:val="21"/>
              </w:rPr>
            </w:pPr>
            <w:r>
              <w:rPr>
                <w:rFonts w:hint="eastAsia" w:ascii="宋体" w:hAnsi="宋体" w:cs="宋体"/>
                <w:szCs w:val="21"/>
              </w:rPr>
              <w:t>供应商5</w:t>
            </w:r>
          </w:p>
        </w:tc>
      </w:tr>
      <w:tr>
        <w:tblPrEx>
          <w:tblCellMar>
            <w:top w:w="0" w:type="dxa"/>
            <w:left w:w="0" w:type="dxa"/>
            <w:bottom w:w="0" w:type="dxa"/>
            <w:right w:w="0" w:type="dxa"/>
          </w:tblCellMar>
        </w:tblPrEx>
        <w:trPr>
          <w:trHeight w:val="146" w:hRule="atLeast"/>
        </w:trPr>
        <w:tc>
          <w:tcPr>
            <w:tcW w:w="4094" w:type="dxa"/>
            <w:tcBorders>
              <w:top w:val="single" w:color="111111" w:sz="6" w:space="0"/>
              <w:left w:val="single" w:color="111111" w:sz="6" w:space="0"/>
              <w:bottom w:val="single" w:color="111111" w:sz="6" w:space="0"/>
              <w:right w:val="single" w:color="111111" w:sz="6" w:space="0"/>
            </w:tcBorders>
            <w:vAlign w:val="center"/>
          </w:tcPr>
          <w:p>
            <w:pPr>
              <w:pStyle w:val="93"/>
              <w:spacing w:before="122" w:line="276" w:lineRule="auto"/>
              <w:ind w:left="142" w:right="37" w:firstLine="31"/>
              <w:rPr>
                <w:rFonts w:ascii="宋体" w:hAnsi="宋体" w:cs="宋体"/>
                <w:szCs w:val="21"/>
              </w:rPr>
            </w:pPr>
            <w:r>
              <w:rPr>
                <w:rFonts w:ascii="Arial" w:hAnsi="Arial" w:eastAsia="Arial" w:cs="Arial"/>
                <w:szCs w:val="21"/>
              </w:rPr>
              <w:t>1.</w:t>
            </w:r>
            <w:r>
              <w:rPr>
                <w:rFonts w:hint="eastAsia" w:ascii="宋体" w:hAnsi="宋体" w:cs="宋体"/>
                <w:szCs w:val="21"/>
              </w:rPr>
              <w:t>参评</w:t>
            </w:r>
            <w:r>
              <w:rPr>
                <w:rFonts w:ascii="宋体" w:hAnsi="宋体" w:cs="宋体"/>
                <w:szCs w:val="21"/>
              </w:rPr>
              <w:t>人应具备《中华人民共和国政府采</w:t>
            </w:r>
            <w:r>
              <w:rPr>
                <w:rFonts w:ascii="宋体" w:hAnsi="宋体" w:cs="宋体"/>
                <w:w w:val="99"/>
                <w:szCs w:val="21"/>
              </w:rPr>
              <w:t xml:space="preserve"> </w:t>
            </w:r>
            <w:r>
              <w:rPr>
                <w:rFonts w:ascii="宋体" w:hAnsi="宋体" w:cs="宋体"/>
                <w:spacing w:val="-4"/>
                <w:szCs w:val="21"/>
              </w:rPr>
              <w:t>购法》第二十二条规定的条件，提供下列材料：</w:t>
            </w:r>
            <w:r>
              <w:rPr>
                <w:rFonts w:ascii="宋体" w:hAnsi="宋体" w:cs="宋体"/>
                <w:w w:val="99"/>
                <w:szCs w:val="21"/>
              </w:rPr>
              <w:t xml:space="preserve"> </w:t>
            </w:r>
            <w:r>
              <w:rPr>
                <w:rFonts w:ascii="宋体" w:hAnsi="宋体" w:cs="宋体"/>
                <w:szCs w:val="21"/>
              </w:rPr>
              <w:t>具有独立承担民事责任的能力：是在中华人民</w:t>
            </w:r>
            <w:r>
              <w:rPr>
                <w:rFonts w:ascii="宋体" w:hAnsi="宋体" w:cs="宋体"/>
                <w:w w:val="99"/>
                <w:szCs w:val="21"/>
              </w:rPr>
              <w:t xml:space="preserve"> </w:t>
            </w:r>
            <w:r>
              <w:rPr>
                <w:rFonts w:ascii="宋体" w:hAnsi="宋体" w:cs="宋体"/>
                <w:szCs w:val="21"/>
              </w:rPr>
              <w:t>共和国境内注册的法人或其他组织或自然人，</w:t>
            </w:r>
            <w:r>
              <w:rPr>
                <w:rFonts w:ascii="宋体" w:hAnsi="宋体" w:cs="宋体"/>
                <w:w w:val="99"/>
                <w:szCs w:val="21"/>
              </w:rPr>
              <w:t xml:space="preserve"> </w:t>
            </w:r>
            <w:r>
              <w:rPr>
                <w:rFonts w:ascii="宋体" w:hAnsi="宋体" w:cs="宋体"/>
                <w:szCs w:val="21"/>
              </w:rPr>
              <w:t>投标时提交有效的营业执照（或事业法人登记</w:t>
            </w:r>
            <w:r>
              <w:rPr>
                <w:rFonts w:ascii="宋体" w:hAnsi="宋体" w:cs="宋体"/>
                <w:w w:val="99"/>
                <w:szCs w:val="21"/>
              </w:rPr>
              <w:t xml:space="preserve"> </w:t>
            </w:r>
            <w:r>
              <w:rPr>
                <w:rFonts w:ascii="宋体" w:hAnsi="宋体" w:cs="宋体"/>
                <w:szCs w:val="21"/>
              </w:rPr>
              <w:t>证或社会团体登记证或民办非企业单位登记证</w:t>
            </w:r>
            <w:r>
              <w:rPr>
                <w:rFonts w:ascii="宋体" w:hAnsi="宋体" w:cs="宋体"/>
                <w:w w:val="99"/>
                <w:szCs w:val="21"/>
              </w:rPr>
              <w:t xml:space="preserve"> </w:t>
            </w:r>
            <w:r>
              <w:rPr>
                <w:rFonts w:ascii="宋体" w:hAnsi="宋体" w:cs="宋体"/>
                <w:szCs w:val="21"/>
              </w:rPr>
              <w:t>或身份证等相关证明）副本复印件。（如国家</w:t>
            </w:r>
            <w:r>
              <w:rPr>
                <w:rFonts w:ascii="宋体" w:hAnsi="宋体" w:cs="宋体"/>
                <w:w w:val="99"/>
                <w:szCs w:val="21"/>
              </w:rPr>
              <w:t xml:space="preserve"> </w:t>
            </w:r>
            <w:r>
              <w:rPr>
                <w:rFonts w:ascii="宋体" w:hAnsi="宋体" w:cs="宋体"/>
                <w:szCs w:val="21"/>
              </w:rPr>
              <w:t>另有规定的，则从其规定。如供应商为分支机构，须取得具有法人资格的总公司（总所）出</w:t>
            </w:r>
            <w:r>
              <w:rPr>
                <w:rFonts w:ascii="宋体" w:hAnsi="宋体" w:cs="宋体"/>
                <w:w w:val="99"/>
                <w:szCs w:val="21"/>
              </w:rPr>
              <w:t xml:space="preserve"> </w:t>
            </w:r>
            <w:r>
              <w:rPr>
                <w:rFonts w:ascii="宋体" w:hAnsi="宋体" w:cs="宋体"/>
                <w:spacing w:val="-4"/>
                <w:szCs w:val="21"/>
              </w:rPr>
              <w:t>具给分支机构的授权书，并提供总公司（总所）</w:t>
            </w:r>
            <w:r>
              <w:rPr>
                <w:rFonts w:ascii="宋体" w:hAnsi="宋体" w:cs="宋体"/>
                <w:w w:val="99"/>
                <w:szCs w:val="21"/>
              </w:rPr>
              <w:t xml:space="preserve"> </w:t>
            </w:r>
            <w:r>
              <w:rPr>
                <w:rFonts w:ascii="宋体" w:hAnsi="宋体" w:cs="宋体"/>
                <w:spacing w:val="-4"/>
                <w:szCs w:val="21"/>
              </w:rPr>
              <w:t>和分支机构的营业执照（执业许可证）复印件；</w:t>
            </w:r>
            <w:r>
              <w:rPr>
                <w:rFonts w:ascii="宋体" w:hAnsi="宋体" w:cs="宋体"/>
                <w:w w:val="99"/>
                <w:szCs w:val="21"/>
              </w:rPr>
              <w:t xml:space="preserve"> </w:t>
            </w:r>
            <w:r>
              <w:rPr>
                <w:rFonts w:ascii="宋体" w:hAnsi="宋体" w:cs="宋体"/>
                <w:szCs w:val="21"/>
              </w:rPr>
              <w:t>已由总公司（总所）授权的，总公司（总所）</w:t>
            </w:r>
            <w:r>
              <w:rPr>
                <w:rFonts w:ascii="宋体" w:hAnsi="宋体" w:cs="宋体"/>
                <w:w w:val="99"/>
                <w:szCs w:val="21"/>
              </w:rPr>
              <w:t xml:space="preserve"> </w:t>
            </w:r>
            <w:r>
              <w:rPr>
                <w:rFonts w:ascii="宋体" w:hAnsi="宋体" w:cs="宋体"/>
                <w:szCs w:val="21"/>
              </w:rPr>
              <w:t>取得的相关资质证书对分支机构有效，法律法</w:t>
            </w:r>
            <w:r>
              <w:rPr>
                <w:rFonts w:ascii="宋体" w:hAnsi="宋体" w:cs="宋体"/>
                <w:w w:val="99"/>
                <w:szCs w:val="21"/>
              </w:rPr>
              <w:t xml:space="preserve"> </w:t>
            </w:r>
            <w:r>
              <w:rPr>
                <w:rFonts w:ascii="宋体" w:hAnsi="宋体" w:cs="宋体"/>
                <w:szCs w:val="21"/>
              </w:rPr>
              <w:t>规或者行业另有规定的除外）</w:t>
            </w: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2"/>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3"/>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tcPr>
          <w:p>
            <w:pPr>
              <w:pStyle w:val="93"/>
              <w:spacing w:line="276" w:lineRule="auto"/>
              <w:ind w:right="3"/>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3"/>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3"/>
              <w:jc w:val="center"/>
              <w:rPr>
                <w:rFonts w:ascii="宋体" w:hAnsi="宋体" w:cs="宋体"/>
                <w:szCs w:val="21"/>
              </w:rPr>
            </w:pPr>
          </w:p>
        </w:tc>
      </w:tr>
      <w:tr>
        <w:tblPrEx>
          <w:tblCellMar>
            <w:top w:w="0" w:type="dxa"/>
            <w:left w:w="0" w:type="dxa"/>
            <w:bottom w:w="0" w:type="dxa"/>
            <w:right w:w="0" w:type="dxa"/>
          </w:tblCellMar>
        </w:tblPrEx>
        <w:trPr>
          <w:trHeight w:val="146" w:hRule="atLeast"/>
        </w:trPr>
        <w:tc>
          <w:tcPr>
            <w:tcW w:w="4094" w:type="dxa"/>
            <w:tcBorders>
              <w:top w:val="single" w:color="111111" w:sz="6" w:space="0"/>
              <w:left w:val="single" w:color="111111" w:sz="6" w:space="0"/>
              <w:bottom w:val="single" w:color="111111" w:sz="6" w:space="0"/>
              <w:right w:val="single" w:color="111111" w:sz="6" w:space="0"/>
            </w:tcBorders>
          </w:tcPr>
          <w:p>
            <w:pPr>
              <w:pStyle w:val="93"/>
              <w:spacing w:before="122" w:line="276" w:lineRule="auto"/>
              <w:ind w:left="142" w:right="37" w:firstLine="31"/>
              <w:rPr>
                <w:rFonts w:ascii="宋体" w:hAnsi="宋体" w:cs="宋体"/>
                <w:spacing w:val="-4"/>
                <w:szCs w:val="21"/>
              </w:rPr>
            </w:pPr>
            <w:r>
              <w:rPr>
                <w:rFonts w:ascii="宋体" w:hAnsi="宋体" w:cs="宋体"/>
                <w:spacing w:val="-4"/>
                <w:szCs w:val="21"/>
              </w:rPr>
              <w:t>2.具有良好的商业信誉和健全的财务会计制 度：提供 2020 年度或 2021 年度财务状况报告 或基本开户行出具的资信证明，或最近一期财 务报表（适用在上一年度或本财务年度成立的 法人或其他组织），或人民银行出具的个人信 用报告（适用于自然人）。</w:t>
            </w: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r>
      <w:tr>
        <w:tblPrEx>
          <w:tblCellMar>
            <w:top w:w="0" w:type="dxa"/>
            <w:left w:w="0" w:type="dxa"/>
            <w:bottom w:w="0" w:type="dxa"/>
            <w:right w:w="0" w:type="dxa"/>
          </w:tblCellMar>
        </w:tblPrEx>
        <w:trPr>
          <w:trHeight w:val="146" w:hRule="atLeast"/>
        </w:trPr>
        <w:tc>
          <w:tcPr>
            <w:tcW w:w="4094" w:type="dxa"/>
            <w:tcBorders>
              <w:top w:val="single" w:color="111111" w:sz="6" w:space="0"/>
              <w:left w:val="single" w:color="111111" w:sz="6" w:space="0"/>
              <w:bottom w:val="single" w:color="111111" w:sz="6" w:space="0"/>
              <w:right w:val="single" w:color="111111" w:sz="6" w:space="0"/>
            </w:tcBorders>
          </w:tcPr>
          <w:p>
            <w:pPr>
              <w:pStyle w:val="93"/>
              <w:spacing w:before="122" w:line="276" w:lineRule="auto"/>
              <w:ind w:left="142" w:right="37" w:firstLine="31"/>
              <w:rPr>
                <w:rFonts w:ascii="宋体" w:hAnsi="宋体" w:cs="宋体"/>
                <w:spacing w:val="-4"/>
                <w:szCs w:val="21"/>
              </w:rPr>
            </w:pPr>
            <w:r>
              <w:rPr>
                <w:rFonts w:ascii="宋体" w:hAnsi="宋体" w:cs="宋体"/>
                <w:spacing w:val="-4"/>
                <w:szCs w:val="21"/>
              </w:rPr>
              <w:t>3.有依法缴纳税收和社会保障资金的良好记 录：提供投标截止日前 6 个月内任意 1 个月依 法缴纳税收和社会保障资金的相关材料。如依 法免税或不需要缴纳社会保障资金的，提供相 应证明材料。</w:t>
            </w: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r>
      <w:tr>
        <w:tblPrEx>
          <w:tblCellMar>
            <w:top w:w="0" w:type="dxa"/>
            <w:left w:w="0" w:type="dxa"/>
            <w:bottom w:w="0" w:type="dxa"/>
            <w:right w:w="0" w:type="dxa"/>
          </w:tblCellMar>
        </w:tblPrEx>
        <w:trPr>
          <w:trHeight w:val="146" w:hRule="atLeast"/>
        </w:trPr>
        <w:tc>
          <w:tcPr>
            <w:tcW w:w="4094" w:type="dxa"/>
            <w:tcBorders>
              <w:top w:val="single" w:color="111111" w:sz="6" w:space="0"/>
              <w:left w:val="single" w:color="111111" w:sz="6" w:space="0"/>
              <w:bottom w:val="single" w:color="111111" w:sz="6" w:space="0"/>
              <w:right w:val="single" w:color="111111" w:sz="6" w:space="0"/>
            </w:tcBorders>
          </w:tcPr>
          <w:p>
            <w:pPr>
              <w:pStyle w:val="93"/>
              <w:spacing w:before="122" w:line="276" w:lineRule="auto"/>
              <w:ind w:left="142" w:right="37" w:firstLine="31"/>
              <w:rPr>
                <w:rFonts w:ascii="宋体" w:hAnsi="宋体" w:cs="宋体"/>
                <w:spacing w:val="-4"/>
                <w:szCs w:val="21"/>
              </w:rPr>
            </w:pPr>
            <w:r>
              <w:rPr>
                <w:rFonts w:ascii="宋体" w:hAnsi="宋体" w:cs="宋体"/>
                <w:spacing w:val="-4"/>
                <w:szCs w:val="21"/>
              </w:rPr>
              <w:t>4.具有履行合同所必须的设备和专业技术能 力：按</w:t>
            </w:r>
            <w:r>
              <w:rPr>
                <w:rFonts w:hint="eastAsia" w:ascii="宋体" w:hAnsi="宋体" w:cs="宋体"/>
                <w:spacing w:val="-4"/>
                <w:szCs w:val="21"/>
              </w:rPr>
              <w:t>参评</w:t>
            </w:r>
            <w:r>
              <w:rPr>
                <w:rFonts w:ascii="宋体" w:hAnsi="宋体" w:cs="宋体"/>
                <w:spacing w:val="-4"/>
                <w:szCs w:val="21"/>
              </w:rPr>
              <w:t>文件格式填报设备及专业技术能力 情况或提供《供应商资格声明函》。</w:t>
            </w: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r>
      <w:tr>
        <w:tblPrEx>
          <w:tblCellMar>
            <w:top w:w="0" w:type="dxa"/>
            <w:left w:w="0" w:type="dxa"/>
            <w:bottom w:w="0" w:type="dxa"/>
            <w:right w:w="0" w:type="dxa"/>
          </w:tblCellMar>
        </w:tblPrEx>
        <w:trPr>
          <w:trHeight w:val="146" w:hRule="atLeast"/>
        </w:trPr>
        <w:tc>
          <w:tcPr>
            <w:tcW w:w="4094" w:type="dxa"/>
            <w:tcBorders>
              <w:top w:val="single" w:color="111111" w:sz="6" w:space="0"/>
              <w:left w:val="single" w:color="111111" w:sz="6" w:space="0"/>
              <w:bottom w:val="single" w:color="111111" w:sz="6" w:space="0"/>
              <w:right w:val="single" w:color="111111" w:sz="6" w:space="0"/>
            </w:tcBorders>
          </w:tcPr>
          <w:p>
            <w:pPr>
              <w:pStyle w:val="93"/>
              <w:spacing w:before="122" w:line="276" w:lineRule="auto"/>
              <w:ind w:left="142" w:right="37" w:firstLine="31"/>
              <w:rPr>
                <w:rFonts w:ascii="宋体" w:hAnsi="宋体" w:cs="宋体"/>
                <w:spacing w:val="-4"/>
                <w:szCs w:val="21"/>
              </w:rPr>
            </w:pPr>
            <w:r>
              <w:rPr>
                <w:rFonts w:ascii="宋体" w:hAnsi="宋体" w:cs="宋体"/>
                <w:spacing w:val="-4"/>
                <w:szCs w:val="21"/>
              </w:rPr>
              <w:t xml:space="preserve">5.参加采购活动前三年内，在经营活动中没有 重大违法记录：提供《供应商资格声明函》。 </w:t>
            </w:r>
            <w:r>
              <w:rPr>
                <w:rFonts w:hint="eastAsia" w:ascii="宋体" w:hAnsi="宋体" w:cs="宋体"/>
                <w:spacing w:val="-4"/>
                <w:szCs w:val="21"/>
              </w:rPr>
              <w:t>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r>
      <w:tr>
        <w:tblPrEx>
          <w:tblCellMar>
            <w:top w:w="0" w:type="dxa"/>
            <w:left w:w="0" w:type="dxa"/>
            <w:bottom w:w="0" w:type="dxa"/>
            <w:right w:w="0" w:type="dxa"/>
          </w:tblCellMar>
        </w:tblPrEx>
        <w:trPr>
          <w:trHeight w:val="146" w:hRule="atLeast"/>
        </w:trPr>
        <w:tc>
          <w:tcPr>
            <w:tcW w:w="4094" w:type="dxa"/>
            <w:tcBorders>
              <w:top w:val="single" w:color="111111" w:sz="6" w:space="0"/>
              <w:left w:val="single" w:color="111111" w:sz="6" w:space="0"/>
              <w:bottom w:val="single" w:color="111111" w:sz="6" w:space="0"/>
              <w:right w:val="single" w:color="111111" w:sz="6" w:space="0"/>
            </w:tcBorders>
          </w:tcPr>
          <w:p>
            <w:pPr>
              <w:pStyle w:val="93"/>
              <w:spacing w:before="122" w:line="276" w:lineRule="auto"/>
              <w:ind w:left="142" w:right="37" w:firstLine="31"/>
              <w:rPr>
                <w:rFonts w:ascii="宋体" w:hAnsi="宋体" w:cs="宋体"/>
                <w:spacing w:val="-4"/>
                <w:szCs w:val="21"/>
              </w:rPr>
            </w:pPr>
            <w:r>
              <w:rPr>
                <w:rFonts w:ascii="宋体" w:hAnsi="宋体" w:cs="宋体"/>
                <w:spacing w:val="-4"/>
                <w:szCs w:val="21"/>
              </w:rPr>
              <w:t>6.信用记录：供应商未被列入“信用中国”网站(www.creditchina.gov.cn)“记录失信被执行人或</w:t>
            </w:r>
            <w:r>
              <w:rPr>
                <w:rFonts w:hint="eastAsia" w:ascii="宋体" w:hAnsi="宋体" w:cs="宋体"/>
                <w:spacing w:val="-4"/>
                <w:szCs w:val="21"/>
              </w:rPr>
              <w:t>重大税收违法失信主体</w:t>
            </w:r>
            <w:r>
              <w:rPr>
                <w:rFonts w:ascii="宋体" w:hAnsi="宋体" w:cs="宋体"/>
                <w:spacing w:val="-4"/>
                <w:szCs w:val="21"/>
              </w:rPr>
              <w:t>或政府采购严重违法失信行为”记录名单；不处于中国政府采购网(www.ccgp.gov.cn)“政府采购严重违法失信行为信息记录”中的禁止参加政府采购活动期间。（以</w:t>
            </w:r>
            <w:r>
              <w:rPr>
                <w:rFonts w:hint="eastAsia" w:ascii="宋体" w:hAnsi="宋体" w:cs="宋体"/>
                <w:spacing w:val="-4"/>
                <w:szCs w:val="21"/>
              </w:rPr>
              <w:t>采购</w:t>
            </w:r>
            <w:r>
              <w:rPr>
                <w:rFonts w:ascii="宋体" w:hAnsi="宋体" w:cs="宋体"/>
                <w:spacing w:val="-4"/>
                <w:szCs w:val="21"/>
              </w:rPr>
              <w:t>人于投标截止时间当天在“信用中国”网站（</w:t>
            </w:r>
            <w:r>
              <w:fldChar w:fldCharType="begin"/>
            </w:r>
            <w:r>
              <w:instrText xml:space="preserve"> HYPERLINK "http://www.creditchina.gov.cn/" \h </w:instrText>
            </w:r>
            <w:r>
              <w:fldChar w:fldCharType="separate"/>
            </w:r>
            <w:r>
              <w:rPr>
                <w:rFonts w:ascii="宋体" w:hAnsi="宋体" w:cs="宋体"/>
                <w:spacing w:val="-4"/>
                <w:szCs w:val="21"/>
              </w:rPr>
              <w:t>www.creditchina.gov.cn</w:t>
            </w:r>
            <w:r>
              <w:rPr>
                <w:rFonts w:ascii="宋体" w:hAnsi="宋体" w:cs="宋体"/>
                <w:spacing w:val="-4"/>
                <w:szCs w:val="21"/>
              </w:rPr>
              <w:fldChar w:fldCharType="end"/>
            </w:r>
            <w:r>
              <w:rPr>
                <w:rFonts w:ascii="宋体" w:hAnsi="宋体" w:cs="宋体"/>
                <w:spacing w:val="-4"/>
                <w:szCs w:val="21"/>
              </w:rPr>
              <w:t>）及中国政府采购网（</w:t>
            </w:r>
            <w:r>
              <w:fldChar w:fldCharType="begin"/>
            </w:r>
            <w:r>
              <w:instrText xml:space="preserve"> HYPERLINK "http://www.ccgp.gov.cn/" \h </w:instrText>
            </w:r>
            <w:r>
              <w:fldChar w:fldCharType="separate"/>
            </w:r>
            <w:r>
              <w:rPr>
                <w:rFonts w:ascii="宋体" w:hAnsi="宋体" w:cs="宋体"/>
                <w:spacing w:val="-4"/>
                <w:szCs w:val="21"/>
              </w:rPr>
              <w:t>http://www.ccgp.gov.cn/</w:t>
            </w:r>
            <w:r>
              <w:rPr>
                <w:rFonts w:ascii="宋体" w:hAnsi="宋体" w:cs="宋体"/>
                <w:spacing w:val="-4"/>
                <w:szCs w:val="21"/>
              </w:rPr>
              <w:fldChar w:fldCharType="end"/>
            </w:r>
            <w:r>
              <w:rPr>
                <w:rFonts w:ascii="宋体" w:hAnsi="宋体" w:cs="宋体"/>
                <w:spacing w:val="-4"/>
                <w:szCs w:val="21"/>
              </w:rPr>
              <w:t>）查询结果为准，如相关失信记录已失效，供应商需提供相关证明资料）。</w:t>
            </w: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349"/>
              <w:jc w:val="center"/>
              <w:rPr>
                <w:rFonts w:ascii="宋体" w:hAnsi="宋体" w:cs="宋体"/>
                <w:szCs w:val="21"/>
              </w:rPr>
            </w:pPr>
          </w:p>
        </w:tc>
      </w:tr>
      <w:tr>
        <w:tblPrEx>
          <w:tblCellMar>
            <w:top w:w="0" w:type="dxa"/>
            <w:left w:w="0" w:type="dxa"/>
            <w:bottom w:w="0" w:type="dxa"/>
            <w:right w:w="0" w:type="dxa"/>
          </w:tblCellMar>
        </w:tblPrEx>
        <w:trPr>
          <w:trHeight w:val="146" w:hRule="atLeast"/>
        </w:trPr>
        <w:tc>
          <w:tcPr>
            <w:tcW w:w="4094" w:type="dxa"/>
            <w:tcBorders>
              <w:top w:val="single" w:color="111111" w:sz="6" w:space="0"/>
              <w:left w:val="single" w:color="111111" w:sz="6" w:space="0"/>
              <w:bottom w:val="single" w:color="111111" w:sz="6" w:space="0"/>
              <w:right w:val="single" w:color="111111" w:sz="6" w:space="0"/>
            </w:tcBorders>
          </w:tcPr>
          <w:p>
            <w:pPr>
              <w:pStyle w:val="93"/>
              <w:spacing w:before="122" w:line="276" w:lineRule="auto"/>
              <w:ind w:left="142" w:right="37" w:firstLine="31"/>
              <w:rPr>
                <w:rFonts w:ascii="宋体" w:hAnsi="宋体" w:cs="宋体"/>
                <w:spacing w:val="-4"/>
                <w:szCs w:val="21"/>
              </w:rPr>
            </w:pPr>
            <w:r>
              <w:rPr>
                <w:rFonts w:ascii="宋体" w:hAnsi="宋体" w:cs="宋体"/>
                <w:spacing w:val="-4"/>
                <w:szCs w:val="21"/>
              </w:rPr>
              <w:t>7.供应商必须符合法律、行政法规规定的其他 条件：单位负责人为同一人或者存在直接控股、 管理关系的不同供应商，不得同时参加本采购</w:t>
            </w:r>
            <w:r>
              <w:rPr>
                <w:rFonts w:hint="eastAsia" w:ascii="宋体" w:hAnsi="宋体" w:cs="宋体"/>
                <w:spacing w:val="-4"/>
                <w:szCs w:val="21"/>
              </w:rPr>
              <w:t>项目评审。为本项目提供整体设计、 规范编制或者项目管理、监理、检测等服务的 供应商，不得再参与本项目评审。（提供《供应商资格声明函》。</w:t>
            </w: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r>
      <w:tr>
        <w:tblPrEx>
          <w:tblCellMar>
            <w:top w:w="0" w:type="dxa"/>
            <w:left w:w="0" w:type="dxa"/>
            <w:bottom w:w="0" w:type="dxa"/>
            <w:right w:w="0" w:type="dxa"/>
          </w:tblCellMar>
        </w:tblPrEx>
        <w:trPr>
          <w:trHeight w:val="146" w:hRule="atLeast"/>
        </w:trPr>
        <w:tc>
          <w:tcPr>
            <w:tcW w:w="4094" w:type="dxa"/>
            <w:tcBorders>
              <w:top w:val="single" w:color="111111" w:sz="6" w:space="0"/>
              <w:left w:val="single" w:color="111111" w:sz="6" w:space="0"/>
              <w:bottom w:val="single" w:color="111111" w:sz="6" w:space="0"/>
              <w:right w:val="single" w:color="111111" w:sz="6" w:space="0"/>
            </w:tcBorders>
          </w:tcPr>
          <w:p>
            <w:pPr>
              <w:pStyle w:val="93"/>
              <w:spacing w:before="122" w:line="276" w:lineRule="auto"/>
              <w:ind w:left="142" w:right="37" w:firstLine="31"/>
              <w:rPr>
                <w:rFonts w:ascii="宋体" w:hAnsi="宋体" w:cs="宋体"/>
                <w:spacing w:val="-4"/>
                <w:szCs w:val="21"/>
              </w:rPr>
            </w:pPr>
            <w:r>
              <w:rPr>
                <w:rFonts w:ascii="宋体" w:hAnsi="宋体" w:cs="宋体"/>
                <w:spacing w:val="-4"/>
                <w:szCs w:val="21"/>
              </w:rPr>
              <w:t>8.供应商已按评审公告及评审文件的规定获取 了遴选采购文件。（提供《供应商资格声明函》）</w:t>
            </w: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r>
      <w:tr>
        <w:tblPrEx>
          <w:tblCellMar>
            <w:top w:w="0" w:type="dxa"/>
            <w:left w:w="0" w:type="dxa"/>
            <w:bottom w:w="0" w:type="dxa"/>
            <w:right w:w="0" w:type="dxa"/>
          </w:tblCellMar>
        </w:tblPrEx>
        <w:trPr>
          <w:trHeight w:val="146" w:hRule="atLeast"/>
        </w:trPr>
        <w:tc>
          <w:tcPr>
            <w:tcW w:w="4094"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firstLine="202" w:firstLineChars="100"/>
              <w:jc w:val="left"/>
              <w:rPr>
                <w:rFonts w:ascii="宋体" w:hAnsi="宋体" w:cs="宋体"/>
                <w:szCs w:val="21"/>
              </w:rPr>
            </w:pPr>
            <w:r>
              <w:rPr>
                <w:rFonts w:ascii="宋体" w:hAnsi="宋体" w:cs="宋体"/>
                <w:spacing w:val="-4"/>
                <w:szCs w:val="21"/>
              </w:rPr>
              <w:t>9.本项目不接受联合体投标。</w:t>
            </w: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r>
      <w:tr>
        <w:tblPrEx>
          <w:tblCellMar>
            <w:top w:w="0" w:type="dxa"/>
            <w:left w:w="0" w:type="dxa"/>
            <w:bottom w:w="0" w:type="dxa"/>
            <w:right w:w="0" w:type="dxa"/>
          </w:tblCellMar>
        </w:tblPrEx>
        <w:trPr>
          <w:trHeight w:val="146" w:hRule="atLeast"/>
        </w:trPr>
        <w:tc>
          <w:tcPr>
            <w:tcW w:w="4094"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r>
              <w:rPr>
                <w:rFonts w:ascii="宋体" w:hAnsi="宋体" w:cs="宋体"/>
                <w:szCs w:val="21"/>
              </w:rPr>
              <w:t>不通过原因</w:t>
            </w: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r>
      <w:tr>
        <w:tblPrEx>
          <w:tblCellMar>
            <w:top w:w="0" w:type="dxa"/>
            <w:left w:w="0" w:type="dxa"/>
            <w:bottom w:w="0" w:type="dxa"/>
            <w:right w:w="0" w:type="dxa"/>
          </w:tblCellMar>
        </w:tblPrEx>
        <w:trPr>
          <w:trHeight w:val="146" w:hRule="atLeast"/>
        </w:trPr>
        <w:tc>
          <w:tcPr>
            <w:tcW w:w="4094"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r>
              <w:rPr>
                <w:rFonts w:ascii="宋体" w:hAnsi="宋体" w:cs="宋体"/>
                <w:szCs w:val="21"/>
              </w:rPr>
              <w:t>结论</w:t>
            </w: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960"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r>
    </w:tbl>
    <w:p>
      <w:pPr>
        <w:spacing w:before="7"/>
        <w:jc w:val="center"/>
        <w:rPr>
          <w:b/>
          <w:bCs/>
          <w:sz w:val="24"/>
          <w:szCs w:val="22"/>
        </w:rPr>
      </w:pPr>
      <w:r>
        <w:rPr>
          <w:rFonts w:eastAsia="Times New Roman"/>
          <w:sz w:val="29"/>
          <w:szCs w:val="29"/>
        </w:rPr>
        <w:br w:type="page"/>
      </w:r>
      <w:r>
        <w:rPr>
          <w:b/>
          <w:bCs/>
          <w:sz w:val="32"/>
          <w:szCs w:val="28"/>
        </w:rPr>
        <w:t>符合性审查</w:t>
      </w:r>
      <w:r>
        <w:rPr>
          <w:rFonts w:hint="eastAsia"/>
          <w:b/>
          <w:bCs/>
          <w:sz w:val="32"/>
          <w:szCs w:val="28"/>
        </w:rPr>
        <w:t>表</w:t>
      </w:r>
    </w:p>
    <w:p>
      <w:pPr>
        <w:pStyle w:val="2"/>
      </w:pPr>
    </w:p>
    <w:p>
      <w:pPr>
        <w:pStyle w:val="2"/>
        <w:rPr>
          <w:b/>
          <w:bCs/>
          <w:sz w:val="22"/>
          <w:szCs w:val="24"/>
        </w:rPr>
      </w:pPr>
      <w:r>
        <w:rPr>
          <w:rFonts w:hint="eastAsia" w:ascii="宋体" w:hAnsi="宋体"/>
          <w:b/>
          <w:bCs/>
          <w:sz w:val="22"/>
          <w:szCs w:val="24"/>
        </w:rPr>
        <w:t>项目名称：</w:t>
      </w:r>
      <w:r>
        <w:rPr>
          <w:rFonts w:ascii="宋体" w:hAnsi="宋体"/>
          <w:b/>
          <w:bCs/>
          <w:sz w:val="22"/>
          <w:szCs w:val="24"/>
        </w:rPr>
        <w:t>广东省消防救援总队信息安全等级保护测评服务（2022年）</w:t>
      </w:r>
    </w:p>
    <w:tbl>
      <w:tblPr>
        <w:tblStyle w:val="32"/>
        <w:tblW w:w="0" w:type="auto"/>
        <w:tblInd w:w="-962" w:type="dxa"/>
        <w:tblLayout w:type="fixed"/>
        <w:tblCellMar>
          <w:top w:w="0" w:type="dxa"/>
          <w:left w:w="0" w:type="dxa"/>
          <w:bottom w:w="0" w:type="dxa"/>
          <w:right w:w="0" w:type="dxa"/>
        </w:tblCellMar>
      </w:tblPr>
      <w:tblGrid>
        <w:gridCol w:w="4282"/>
        <w:gridCol w:w="1075"/>
        <w:gridCol w:w="1075"/>
        <w:gridCol w:w="1075"/>
        <w:gridCol w:w="1075"/>
        <w:gridCol w:w="1078"/>
      </w:tblGrid>
      <w:tr>
        <w:tblPrEx>
          <w:tblCellMar>
            <w:top w:w="0" w:type="dxa"/>
            <w:left w:w="0" w:type="dxa"/>
            <w:bottom w:w="0" w:type="dxa"/>
            <w:right w:w="0" w:type="dxa"/>
          </w:tblCellMar>
        </w:tblPrEx>
        <w:trPr>
          <w:trHeight w:val="494" w:hRule="atLeast"/>
        </w:trPr>
        <w:tc>
          <w:tcPr>
            <w:tcW w:w="4282" w:type="dxa"/>
            <w:tcBorders>
              <w:top w:val="single" w:color="111111" w:sz="6" w:space="0"/>
              <w:left w:val="single" w:color="111111" w:sz="6" w:space="0"/>
              <w:bottom w:val="single" w:color="111111" w:sz="6" w:space="0"/>
              <w:right w:val="single" w:color="111111" w:sz="6" w:space="0"/>
            </w:tcBorders>
            <w:shd w:val="clear" w:color="auto" w:fill="D7D7D7"/>
            <w:vAlign w:val="center"/>
          </w:tcPr>
          <w:p>
            <w:pPr>
              <w:pStyle w:val="93"/>
              <w:spacing w:before="133" w:line="276" w:lineRule="auto"/>
              <w:ind w:right="2"/>
              <w:jc w:val="center"/>
              <w:rPr>
                <w:rFonts w:ascii="宋体" w:hAnsi="宋体" w:cs="宋体"/>
                <w:szCs w:val="21"/>
              </w:rPr>
            </w:pPr>
            <w:r>
              <w:rPr>
                <w:rFonts w:ascii="宋体" w:hAnsi="宋体" w:cs="宋体"/>
                <w:szCs w:val="21"/>
              </w:rPr>
              <w:t>要求</w:t>
            </w:r>
          </w:p>
        </w:tc>
        <w:tc>
          <w:tcPr>
            <w:tcW w:w="1075" w:type="dxa"/>
            <w:tcBorders>
              <w:top w:val="single" w:color="111111" w:sz="6" w:space="0"/>
              <w:left w:val="single" w:color="111111" w:sz="6" w:space="0"/>
              <w:bottom w:val="single" w:color="111111" w:sz="6" w:space="0"/>
              <w:right w:val="single" w:color="111111" w:sz="6" w:space="0"/>
            </w:tcBorders>
            <w:shd w:val="clear" w:color="auto" w:fill="D7D7D7"/>
            <w:vAlign w:val="center"/>
          </w:tcPr>
          <w:p>
            <w:pPr>
              <w:pStyle w:val="93"/>
              <w:spacing w:before="133" w:line="276" w:lineRule="auto"/>
              <w:ind w:right="2"/>
              <w:jc w:val="center"/>
              <w:rPr>
                <w:rFonts w:ascii="宋体" w:hAnsi="宋体" w:cs="宋体"/>
                <w:szCs w:val="21"/>
              </w:rPr>
            </w:pPr>
            <w:r>
              <w:rPr>
                <w:rFonts w:ascii="宋体" w:hAnsi="宋体" w:cs="宋体"/>
                <w:szCs w:val="21"/>
              </w:rPr>
              <w:t>供应商 1</w:t>
            </w:r>
          </w:p>
        </w:tc>
        <w:tc>
          <w:tcPr>
            <w:tcW w:w="1075" w:type="dxa"/>
            <w:tcBorders>
              <w:top w:val="single" w:color="111111" w:sz="6" w:space="0"/>
              <w:left w:val="single" w:color="111111" w:sz="6" w:space="0"/>
              <w:bottom w:val="single" w:color="111111" w:sz="6" w:space="0"/>
              <w:right w:val="single" w:color="111111" w:sz="6" w:space="0"/>
            </w:tcBorders>
            <w:shd w:val="clear" w:color="auto" w:fill="D7D7D7"/>
            <w:vAlign w:val="center"/>
          </w:tcPr>
          <w:p>
            <w:pPr>
              <w:pStyle w:val="93"/>
              <w:spacing w:before="133" w:line="276" w:lineRule="auto"/>
              <w:ind w:right="2"/>
              <w:jc w:val="center"/>
              <w:rPr>
                <w:rFonts w:ascii="宋体" w:hAnsi="宋体" w:cs="宋体"/>
                <w:szCs w:val="21"/>
              </w:rPr>
            </w:pPr>
            <w:r>
              <w:rPr>
                <w:rFonts w:ascii="宋体" w:hAnsi="宋体" w:cs="宋体"/>
                <w:szCs w:val="21"/>
              </w:rPr>
              <w:t>供应商 2</w:t>
            </w:r>
          </w:p>
        </w:tc>
        <w:tc>
          <w:tcPr>
            <w:tcW w:w="1075" w:type="dxa"/>
            <w:tcBorders>
              <w:top w:val="single" w:color="111111" w:sz="6" w:space="0"/>
              <w:left w:val="single" w:color="111111" w:sz="6" w:space="0"/>
              <w:bottom w:val="single" w:color="111111" w:sz="6" w:space="0"/>
              <w:right w:val="single" w:color="111111" w:sz="6" w:space="0"/>
            </w:tcBorders>
            <w:shd w:val="clear" w:color="auto" w:fill="D7D7D7"/>
            <w:vAlign w:val="center"/>
          </w:tcPr>
          <w:p>
            <w:pPr>
              <w:pStyle w:val="93"/>
              <w:spacing w:before="133" w:line="276" w:lineRule="auto"/>
              <w:ind w:right="2"/>
              <w:jc w:val="center"/>
              <w:rPr>
                <w:rFonts w:ascii="宋体" w:hAnsi="宋体" w:cs="宋体"/>
                <w:szCs w:val="21"/>
              </w:rPr>
            </w:pPr>
            <w:r>
              <w:rPr>
                <w:rFonts w:ascii="宋体" w:hAnsi="宋体" w:cs="宋体"/>
                <w:szCs w:val="21"/>
              </w:rPr>
              <w:t>供应商 3</w:t>
            </w:r>
          </w:p>
        </w:tc>
        <w:tc>
          <w:tcPr>
            <w:tcW w:w="1075" w:type="dxa"/>
            <w:tcBorders>
              <w:top w:val="single" w:color="111111" w:sz="6" w:space="0"/>
              <w:left w:val="single" w:color="111111" w:sz="6" w:space="0"/>
              <w:bottom w:val="single" w:color="111111" w:sz="6" w:space="0"/>
              <w:right w:val="single" w:color="111111" w:sz="6" w:space="0"/>
            </w:tcBorders>
            <w:shd w:val="clear" w:color="auto" w:fill="D7D7D7"/>
            <w:vAlign w:val="center"/>
          </w:tcPr>
          <w:p>
            <w:pPr>
              <w:pStyle w:val="93"/>
              <w:spacing w:before="133" w:line="276" w:lineRule="auto"/>
              <w:ind w:right="2"/>
              <w:jc w:val="center"/>
              <w:rPr>
                <w:rFonts w:ascii="宋体" w:hAnsi="宋体" w:cs="宋体"/>
                <w:szCs w:val="21"/>
              </w:rPr>
            </w:pPr>
            <w:r>
              <w:rPr>
                <w:rFonts w:ascii="宋体" w:hAnsi="宋体" w:cs="宋体"/>
                <w:szCs w:val="21"/>
              </w:rPr>
              <w:t xml:space="preserve">供应商 </w:t>
            </w:r>
            <w:r>
              <w:rPr>
                <w:rFonts w:hint="eastAsia" w:ascii="宋体" w:hAnsi="宋体" w:cs="宋体"/>
                <w:szCs w:val="21"/>
              </w:rPr>
              <w:t>4</w:t>
            </w:r>
          </w:p>
        </w:tc>
        <w:tc>
          <w:tcPr>
            <w:tcW w:w="1078" w:type="dxa"/>
            <w:tcBorders>
              <w:top w:val="single" w:color="111111" w:sz="6" w:space="0"/>
              <w:left w:val="single" w:color="111111" w:sz="6" w:space="0"/>
              <w:bottom w:val="single" w:color="111111" w:sz="6" w:space="0"/>
              <w:right w:val="single" w:color="111111" w:sz="6" w:space="0"/>
            </w:tcBorders>
            <w:shd w:val="clear" w:color="auto" w:fill="D7D7D7"/>
            <w:vAlign w:val="center"/>
          </w:tcPr>
          <w:p>
            <w:pPr>
              <w:pStyle w:val="93"/>
              <w:spacing w:before="133" w:line="276" w:lineRule="auto"/>
              <w:ind w:right="2"/>
              <w:jc w:val="center"/>
              <w:rPr>
                <w:rFonts w:ascii="宋体" w:hAnsi="宋体" w:cs="宋体"/>
                <w:szCs w:val="21"/>
              </w:rPr>
            </w:pPr>
            <w:r>
              <w:rPr>
                <w:rFonts w:ascii="宋体" w:hAnsi="宋体" w:cs="宋体"/>
                <w:szCs w:val="21"/>
              </w:rPr>
              <w:t xml:space="preserve">供应商 </w:t>
            </w:r>
            <w:r>
              <w:rPr>
                <w:rFonts w:hint="eastAsia" w:ascii="宋体" w:hAnsi="宋体" w:cs="宋体"/>
                <w:szCs w:val="21"/>
              </w:rPr>
              <w:t>5</w:t>
            </w:r>
          </w:p>
        </w:tc>
      </w:tr>
      <w:tr>
        <w:tblPrEx>
          <w:tblCellMar>
            <w:top w:w="0" w:type="dxa"/>
            <w:left w:w="0" w:type="dxa"/>
            <w:bottom w:w="0" w:type="dxa"/>
            <w:right w:w="0" w:type="dxa"/>
          </w:tblCellMar>
        </w:tblPrEx>
        <w:trPr>
          <w:trHeight w:val="839" w:hRule="atLeast"/>
        </w:trPr>
        <w:tc>
          <w:tcPr>
            <w:tcW w:w="4282" w:type="dxa"/>
            <w:tcBorders>
              <w:top w:val="single" w:color="111111" w:sz="6" w:space="0"/>
              <w:left w:val="single" w:color="111111" w:sz="6" w:space="0"/>
              <w:bottom w:val="single" w:color="111111" w:sz="6" w:space="0"/>
              <w:right w:val="single" w:color="111111" w:sz="6" w:space="0"/>
            </w:tcBorders>
            <w:vAlign w:val="center"/>
          </w:tcPr>
          <w:p>
            <w:pPr>
              <w:pStyle w:val="93"/>
              <w:spacing w:before="122" w:line="276" w:lineRule="auto"/>
              <w:ind w:left="142" w:right="37" w:firstLine="31"/>
              <w:rPr>
                <w:rFonts w:ascii="宋体" w:hAnsi="宋体" w:cs="宋体"/>
                <w:szCs w:val="21"/>
              </w:rPr>
            </w:pPr>
            <w:r>
              <w:rPr>
                <w:rFonts w:ascii="宋体" w:hAnsi="宋体" w:cs="宋体"/>
                <w:spacing w:val="-4"/>
                <w:szCs w:val="21"/>
              </w:rPr>
              <w:t>1.</w:t>
            </w:r>
            <w:r>
              <w:rPr>
                <w:rFonts w:hint="eastAsia" w:ascii="宋体" w:hAnsi="宋体" w:cs="宋体"/>
                <w:spacing w:val="-4"/>
                <w:szCs w:val="21"/>
              </w:rPr>
              <w:t>参评</w:t>
            </w:r>
            <w:r>
              <w:rPr>
                <w:rFonts w:ascii="宋体" w:hAnsi="宋体" w:cs="宋体"/>
                <w:spacing w:val="-4"/>
                <w:szCs w:val="21"/>
              </w:rPr>
              <w:t>函：已按规定格式编制及盖章、签署，投 标有效期满足遴选采购文件要求。</w:t>
            </w:r>
          </w:p>
        </w:tc>
        <w:tc>
          <w:tcPr>
            <w:tcW w:w="1075"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1075"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2"/>
              <w:jc w:val="center"/>
              <w:rPr>
                <w:rFonts w:ascii="宋体" w:hAnsi="宋体" w:cs="宋体"/>
                <w:szCs w:val="21"/>
              </w:rPr>
            </w:pPr>
          </w:p>
        </w:tc>
        <w:tc>
          <w:tcPr>
            <w:tcW w:w="1075"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3"/>
              <w:jc w:val="center"/>
              <w:rPr>
                <w:rFonts w:ascii="宋体" w:hAnsi="宋体" w:cs="宋体"/>
                <w:szCs w:val="21"/>
              </w:rPr>
            </w:pPr>
          </w:p>
        </w:tc>
        <w:tc>
          <w:tcPr>
            <w:tcW w:w="1075"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3"/>
              <w:jc w:val="center"/>
              <w:rPr>
                <w:rFonts w:ascii="宋体" w:hAnsi="宋体" w:cs="宋体"/>
                <w:szCs w:val="21"/>
              </w:rPr>
            </w:pPr>
          </w:p>
        </w:tc>
        <w:tc>
          <w:tcPr>
            <w:tcW w:w="1078"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3"/>
              <w:jc w:val="center"/>
              <w:rPr>
                <w:rFonts w:ascii="宋体" w:hAnsi="宋体" w:cs="宋体"/>
                <w:szCs w:val="21"/>
              </w:rPr>
            </w:pPr>
          </w:p>
        </w:tc>
      </w:tr>
      <w:tr>
        <w:tblPrEx>
          <w:tblCellMar>
            <w:top w:w="0" w:type="dxa"/>
            <w:left w:w="0" w:type="dxa"/>
            <w:bottom w:w="0" w:type="dxa"/>
            <w:right w:w="0" w:type="dxa"/>
          </w:tblCellMar>
        </w:tblPrEx>
        <w:trPr>
          <w:trHeight w:val="839" w:hRule="atLeast"/>
        </w:trPr>
        <w:tc>
          <w:tcPr>
            <w:tcW w:w="4282" w:type="dxa"/>
            <w:tcBorders>
              <w:top w:val="single" w:color="111111" w:sz="6" w:space="0"/>
              <w:left w:val="single" w:color="111111" w:sz="6" w:space="0"/>
              <w:bottom w:val="single" w:color="111111" w:sz="6" w:space="0"/>
              <w:right w:val="single" w:color="111111" w:sz="6" w:space="0"/>
            </w:tcBorders>
          </w:tcPr>
          <w:p>
            <w:pPr>
              <w:pStyle w:val="93"/>
              <w:spacing w:before="122" w:line="276" w:lineRule="auto"/>
              <w:ind w:left="142" w:right="37" w:firstLine="31"/>
              <w:rPr>
                <w:rFonts w:ascii="宋体" w:hAnsi="宋体" w:cs="宋体"/>
                <w:spacing w:val="-4"/>
                <w:szCs w:val="21"/>
              </w:rPr>
            </w:pPr>
            <w:r>
              <w:rPr>
                <w:rFonts w:hint="eastAsia" w:ascii="宋体" w:hAnsi="宋体" w:cs="宋体"/>
                <w:spacing w:val="-4"/>
                <w:szCs w:val="21"/>
              </w:rPr>
              <w:t>2.法定代表人证明书及授权委托书（如适用）：已经盖章、签署，有效期涵盖参评有效期。</w:t>
            </w:r>
          </w:p>
        </w:tc>
        <w:tc>
          <w:tcPr>
            <w:tcW w:w="1075"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1075"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1075"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1075"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1078"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r>
      <w:tr>
        <w:tblPrEx>
          <w:tblCellMar>
            <w:top w:w="0" w:type="dxa"/>
            <w:left w:w="0" w:type="dxa"/>
            <w:bottom w:w="0" w:type="dxa"/>
            <w:right w:w="0" w:type="dxa"/>
          </w:tblCellMar>
        </w:tblPrEx>
        <w:trPr>
          <w:trHeight w:val="839" w:hRule="atLeast"/>
        </w:trPr>
        <w:tc>
          <w:tcPr>
            <w:tcW w:w="4282" w:type="dxa"/>
            <w:tcBorders>
              <w:top w:val="single" w:color="111111" w:sz="6" w:space="0"/>
              <w:left w:val="single" w:color="111111" w:sz="6" w:space="0"/>
              <w:bottom w:val="single" w:color="111111" w:sz="6" w:space="0"/>
              <w:right w:val="single" w:color="111111" w:sz="6" w:space="0"/>
            </w:tcBorders>
          </w:tcPr>
          <w:p>
            <w:pPr>
              <w:pStyle w:val="93"/>
              <w:spacing w:before="122" w:line="276" w:lineRule="auto"/>
              <w:ind w:left="142" w:right="37" w:firstLine="31"/>
              <w:rPr>
                <w:rFonts w:ascii="宋体" w:hAnsi="宋体" w:cs="宋体"/>
                <w:spacing w:val="-4"/>
                <w:szCs w:val="21"/>
              </w:rPr>
            </w:pPr>
            <w:r>
              <w:rPr>
                <w:rFonts w:hint="eastAsia" w:ascii="宋体" w:hAnsi="宋体" w:cs="宋体"/>
                <w:spacing w:val="-4"/>
                <w:szCs w:val="21"/>
              </w:rPr>
              <w:t>3.参评文件内容、签署、盖章：参评文件内容完整，无重大错漏，并已按遴选采购文件要求盖章、签署。</w:t>
            </w:r>
          </w:p>
        </w:tc>
        <w:tc>
          <w:tcPr>
            <w:tcW w:w="1075"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1075"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1075"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1075"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1078"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r>
      <w:tr>
        <w:tblPrEx>
          <w:tblCellMar>
            <w:top w:w="0" w:type="dxa"/>
            <w:left w:w="0" w:type="dxa"/>
            <w:bottom w:w="0" w:type="dxa"/>
            <w:right w:w="0" w:type="dxa"/>
          </w:tblCellMar>
        </w:tblPrEx>
        <w:trPr>
          <w:trHeight w:val="839" w:hRule="atLeast"/>
        </w:trPr>
        <w:tc>
          <w:tcPr>
            <w:tcW w:w="4282" w:type="dxa"/>
            <w:tcBorders>
              <w:top w:val="single" w:color="111111" w:sz="6" w:space="0"/>
              <w:left w:val="single" w:color="111111" w:sz="6" w:space="0"/>
              <w:bottom w:val="single" w:color="111111" w:sz="6" w:space="0"/>
              <w:right w:val="single" w:color="111111" w:sz="6" w:space="0"/>
            </w:tcBorders>
          </w:tcPr>
          <w:p>
            <w:pPr>
              <w:pStyle w:val="93"/>
              <w:spacing w:before="122" w:line="276" w:lineRule="auto"/>
              <w:ind w:left="142" w:right="37" w:firstLine="31"/>
              <w:rPr>
                <w:rFonts w:ascii="宋体" w:hAnsi="宋体" w:cs="宋体"/>
                <w:spacing w:val="-4"/>
                <w:szCs w:val="21"/>
              </w:rPr>
            </w:pPr>
            <w:r>
              <w:rPr>
                <w:rFonts w:hint="eastAsia" w:ascii="宋体" w:hAnsi="宋体" w:cs="宋体"/>
                <w:spacing w:val="-4"/>
                <w:szCs w:val="21"/>
              </w:rPr>
              <w:t>4.满足遴选采购文件实质性要求：已满足遴选采购文件实质性要求（含带★号的条款和指标）。</w:t>
            </w:r>
          </w:p>
        </w:tc>
        <w:tc>
          <w:tcPr>
            <w:tcW w:w="1075"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1075"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1075"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1075"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1078"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r>
      <w:tr>
        <w:tblPrEx>
          <w:tblCellMar>
            <w:top w:w="0" w:type="dxa"/>
            <w:left w:w="0" w:type="dxa"/>
            <w:bottom w:w="0" w:type="dxa"/>
            <w:right w:w="0" w:type="dxa"/>
          </w:tblCellMar>
        </w:tblPrEx>
        <w:trPr>
          <w:trHeight w:val="1557" w:hRule="atLeast"/>
        </w:trPr>
        <w:tc>
          <w:tcPr>
            <w:tcW w:w="4282" w:type="dxa"/>
            <w:tcBorders>
              <w:top w:val="single" w:color="111111" w:sz="6" w:space="0"/>
              <w:left w:val="single" w:color="111111" w:sz="6" w:space="0"/>
              <w:bottom w:val="single" w:color="111111" w:sz="6" w:space="0"/>
              <w:right w:val="single" w:color="111111" w:sz="6" w:space="0"/>
            </w:tcBorders>
          </w:tcPr>
          <w:p>
            <w:pPr>
              <w:pStyle w:val="93"/>
              <w:spacing w:before="122" w:line="276" w:lineRule="auto"/>
              <w:ind w:left="142" w:right="37" w:firstLine="31"/>
              <w:rPr>
                <w:rFonts w:ascii="宋体" w:hAnsi="宋体" w:cs="宋体"/>
                <w:spacing w:val="-4"/>
                <w:szCs w:val="21"/>
              </w:rPr>
            </w:pPr>
            <w:r>
              <w:rPr>
                <w:rFonts w:hint="eastAsia" w:ascii="宋体" w:hAnsi="宋体" w:cs="宋体"/>
                <w:spacing w:val="-4"/>
                <w:szCs w:val="21"/>
              </w:rPr>
              <w:t>5.参评方案：如遴选采购文件不接受备选方案时，供应商提供的参评方案及报价方案固定；如遴选采购文件接受备选方案的，提交多于一个方案时已明确主选方案。</w:t>
            </w:r>
          </w:p>
        </w:tc>
        <w:tc>
          <w:tcPr>
            <w:tcW w:w="1075"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1075"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1075"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1075"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1078"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r>
      <w:tr>
        <w:tblPrEx>
          <w:tblCellMar>
            <w:top w:w="0" w:type="dxa"/>
            <w:left w:w="0" w:type="dxa"/>
            <w:bottom w:w="0" w:type="dxa"/>
            <w:right w:w="0" w:type="dxa"/>
          </w:tblCellMar>
        </w:tblPrEx>
        <w:trPr>
          <w:trHeight w:val="839" w:hRule="atLeast"/>
        </w:trPr>
        <w:tc>
          <w:tcPr>
            <w:tcW w:w="4282" w:type="dxa"/>
            <w:tcBorders>
              <w:top w:val="single" w:color="111111" w:sz="6" w:space="0"/>
              <w:left w:val="single" w:color="111111" w:sz="6" w:space="0"/>
              <w:bottom w:val="single" w:color="111111" w:sz="6" w:space="0"/>
              <w:right w:val="single" w:color="111111" w:sz="6" w:space="0"/>
            </w:tcBorders>
          </w:tcPr>
          <w:p>
            <w:pPr>
              <w:pStyle w:val="93"/>
              <w:spacing w:before="122" w:line="276" w:lineRule="auto"/>
              <w:ind w:left="142" w:right="37" w:firstLine="31"/>
              <w:rPr>
                <w:rFonts w:ascii="宋体" w:hAnsi="宋体" w:cs="宋体"/>
                <w:spacing w:val="-4"/>
                <w:szCs w:val="21"/>
              </w:rPr>
            </w:pPr>
            <w:r>
              <w:rPr>
                <w:rFonts w:hint="eastAsia" w:ascii="宋体" w:hAnsi="宋体" w:cs="宋体"/>
                <w:spacing w:val="-4"/>
                <w:szCs w:val="21"/>
              </w:rPr>
              <w:t>6.参评保证金（如适用）：已按遴选采购文件要求交纳足额参评保证金，符合遴选采购文件规定。</w:t>
            </w:r>
          </w:p>
        </w:tc>
        <w:tc>
          <w:tcPr>
            <w:tcW w:w="1075"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1075"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1075"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1075"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1078"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r>
      <w:tr>
        <w:tblPrEx>
          <w:tblCellMar>
            <w:top w:w="0" w:type="dxa"/>
            <w:left w:w="0" w:type="dxa"/>
            <w:bottom w:w="0" w:type="dxa"/>
            <w:right w:w="0" w:type="dxa"/>
          </w:tblCellMar>
        </w:tblPrEx>
        <w:trPr>
          <w:trHeight w:val="3699" w:hRule="atLeast"/>
        </w:trPr>
        <w:tc>
          <w:tcPr>
            <w:tcW w:w="4282" w:type="dxa"/>
            <w:tcBorders>
              <w:top w:val="single" w:color="111111" w:sz="6" w:space="0"/>
              <w:left w:val="single" w:color="111111" w:sz="6" w:space="0"/>
              <w:bottom w:val="single" w:color="111111" w:sz="6" w:space="0"/>
              <w:right w:val="single" w:color="111111" w:sz="6" w:space="0"/>
            </w:tcBorders>
          </w:tcPr>
          <w:p>
            <w:pPr>
              <w:pStyle w:val="93"/>
              <w:spacing w:before="122" w:line="276" w:lineRule="auto"/>
              <w:ind w:left="142" w:right="37" w:firstLine="31"/>
              <w:rPr>
                <w:rFonts w:ascii="宋体" w:hAnsi="宋体" w:cs="宋体"/>
                <w:spacing w:val="-4"/>
                <w:szCs w:val="21"/>
              </w:rPr>
            </w:pPr>
            <w:r>
              <w:rPr>
                <w:rFonts w:hint="eastAsia" w:ascii="宋体" w:hAnsi="宋体" w:cs="宋体"/>
                <w:spacing w:val="-4"/>
                <w:szCs w:val="21"/>
              </w:rPr>
              <w:t>7.参评报价：1.参评报价（含单项报价，如有要求）确定且未超过遴选采购文件中相应的预算金额或者最高限价。 2.参评报价中对参评审的的主体、关键内容无漏项、缺项。 3.如有，对评审小组按照遴选采购文件规定修正后的参评报价，供应商按规定书面确认。 4.如评审小组认为供应商的报价明显低于其他通过符合性审查供应商的报价，有可能影响项目质量或者不能诚信履约的，将要求其在评审现场合理的时间内提供书面说明，必要时提交相关证明材料。供应商能证明其报价合理性。</w:t>
            </w:r>
          </w:p>
        </w:tc>
        <w:tc>
          <w:tcPr>
            <w:tcW w:w="1075"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1075"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1075"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1075"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1078"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r>
      <w:tr>
        <w:tblPrEx>
          <w:tblCellMar>
            <w:top w:w="0" w:type="dxa"/>
            <w:left w:w="0" w:type="dxa"/>
            <w:bottom w:w="0" w:type="dxa"/>
            <w:right w:w="0" w:type="dxa"/>
          </w:tblCellMar>
        </w:tblPrEx>
        <w:trPr>
          <w:trHeight w:val="839" w:hRule="atLeast"/>
        </w:trPr>
        <w:tc>
          <w:tcPr>
            <w:tcW w:w="4282" w:type="dxa"/>
            <w:tcBorders>
              <w:top w:val="single" w:color="111111" w:sz="6" w:space="0"/>
              <w:left w:val="single" w:color="111111" w:sz="6" w:space="0"/>
              <w:bottom w:val="single" w:color="111111" w:sz="6" w:space="0"/>
              <w:right w:val="single" w:color="111111" w:sz="6" w:space="0"/>
            </w:tcBorders>
          </w:tcPr>
          <w:p>
            <w:pPr>
              <w:pStyle w:val="93"/>
              <w:spacing w:before="122" w:line="276" w:lineRule="auto"/>
              <w:ind w:left="142" w:right="37" w:firstLine="31"/>
              <w:rPr>
                <w:rFonts w:ascii="宋体" w:hAnsi="宋体" w:cs="宋体"/>
                <w:spacing w:val="-4"/>
                <w:szCs w:val="21"/>
              </w:rPr>
            </w:pPr>
            <w:r>
              <w:rPr>
                <w:rFonts w:hint="eastAsia" w:ascii="宋体" w:hAnsi="宋体" w:cs="宋体"/>
                <w:spacing w:val="-4"/>
                <w:szCs w:val="21"/>
              </w:rPr>
              <w:t>8.附加条件：参评文件未含有采购人不能接受的附加条件。</w:t>
            </w:r>
          </w:p>
        </w:tc>
        <w:tc>
          <w:tcPr>
            <w:tcW w:w="1075"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1075"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1075"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1075"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1078"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r>
      <w:tr>
        <w:tblPrEx>
          <w:tblCellMar>
            <w:top w:w="0" w:type="dxa"/>
            <w:left w:w="0" w:type="dxa"/>
            <w:bottom w:w="0" w:type="dxa"/>
            <w:right w:w="0" w:type="dxa"/>
          </w:tblCellMar>
        </w:tblPrEx>
        <w:trPr>
          <w:trHeight w:val="479" w:hRule="atLeast"/>
        </w:trPr>
        <w:tc>
          <w:tcPr>
            <w:tcW w:w="4282" w:type="dxa"/>
            <w:tcBorders>
              <w:top w:val="single" w:color="111111" w:sz="6" w:space="0"/>
              <w:left w:val="single" w:color="111111" w:sz="6" w:space="0"/>
              <w:bottom w:val="single" w:color="111111" w:sz="6" w:space="0"/>
              <w:right w:val="single" w:color="111111" w:sz="6" w:space="0"/>
            </w:tcBorders>
            <w:vAlign w:val="center"/>
          </w:tcPr>
          <w:p>
            <w:pPr>
              <w:pStyle w:val="93"/>
              <w:spacing w:before="122" w:line="276" w:lineRule="auto"/>
              <w:ind w:left="142" w:right="37" w:firstLine="31"/>
              <w:rPr>
                <w:rFonts w:ascii="宋体" w:hAnsi="宋体" w:cs="宋体"/>
                <w:spacing w:val="-4"/>
                <w:szCs w:val="21"/>
              </w:rPr>
            </w:pPr>
            <w:r>
              <w:rPr>
                <w:rFonts w:hint="eastAsia" w:ascii="宋体" w:hAnsi="宋体" w:cs="宋体"/>
                <w:spacing w:val="-4"/>
                <w:szCs w:val="21"/>
              </w:rPr>
              <w:t>9.串通参评：未出现遴选采购文件所列的视为串通参评的情形。</w:t>
            </w:r>
          </w:p>
        </w:tc>
        <w:tc>
          <w:tcPr>
            <w:tcW w:w="1075"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1075"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1075"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1075"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1078"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r>
      <w:tr>
        <w:tblPrEx>
          <w:tblCellMar>
            <w:top w:w="0" w:type="dxa"/>
            <w:left w:w="0" w:type="dxa"/>
            <w:bottom w:w="0" w:type="dxa"/>
            <w:right w:w="0" w:type="dxa"/>
          </w:tblCellMar>
        </w:tblPrEx>
        <w:trPr>
          <w:trHeight w:val="144" w:hRule="atLeast"/>
        </w:trPr>
        <w:tc>
          <w:tcPr>
            <w:tcW w:w="4282" w:type="dxa"/>
            <w:tcBorders>
              <w:top w:val="single" w:color="111111" w:sz="6" w:space="0"/>
              <w:left w:val="single" w:color="111111" w:sz="6" w:space="0"/>
              <w:bottom w:val="single" w:color="111111" w:sz="6" w:space="0"/>
              <w:right w:val="single" w:color="111111" w:sz="6" w:space="0"/>
            </w:tcBorders>
            <w:vAlign w:val="center"/>
          </w:tcPr>
          <w:p>
            <w:pPr>
              <w:pStyle w:val="93"/>
              <w:spacing w:before="122" w:line="276" w:lineRule="auto"/>
              <w:ind w:left="142" w:right="37" w:firstLine="31"/>
              <w:rPr>
                <w:rFonts w:ascii="宋体" w:hAnsi="宋体" w:cs="宋体"/>
                <w:spacing w:val="-4"/>
                <w:szCs w:val="21"/>
              </w:rPr>
            </w:pPr>
            <w:r>
              <w:rPr>
                <w:rFonts w:hint="eastAsia" w:ascii="宋体" w:hAnsi="宋体" w:cs="宋体"/>
                <w:spacing w:val="-4"/>
                <w:szCs w:val="21"/>
              </w:rPr>
              <w:t>10.无效情形：1.未发现存在遴选采购文件中规定的其它无效条款情形。 2.未发现存在法律、法规、规章规定的参评无效情形。</w:t>
            </w:r>
          </w:p>
        </w:tc>
        <w:tc>
          <w:tcPr>
            <w:tcW w:w="1075" w:type="dxa"/>
            <w:tcBorders>
              <w:top w:val="single" w:color="111111" w:sz="6" w:space="0"/>
              <w:left w:val="single" w:color="111111" w:sz="6" w:space="0"/>
              <w:bottom w:val="single" w:color="111111" w:sz="6" w:space="0"/>
              <w:right w:val="single" w:color="111111" w:sz="6" w:space="0"/>
            </w:tcBorders>
            <w:vAlign w:val="center"/>
          </w:tcPr>
          <w:p>
            <w:pPr>
              <w:jc w:val="center"/>
            </w:pPr>
          </w:p>
        </w:tc>
        <w:tc>
          <w:tcPr>
            <w:tcW w:w="1075" w:type="dxa"/>
            <w:tcBorders>
              <w:top w:val="single" w:color="111111" w:sz="6" w:space="0"/>
              <w:left w:val="single" w:color="111111" w:sz="6" w:space="0"/>
              <w:bottom w:val="single" w:color="111111" w:sz="6" w:space="0"/>
              <w:right w:val="single" w:color="111111" w:sz="6" w:space="0"/>
            </w:tcBorders>
            <w:vAlign w:val="center"/>
          </w:tcPr>
          <w:p>
            <w:pPr>
              <w:jc w:val="center"/>
            </w:pPr>
          </w:p>
        </w:tc>
        <w:tc>
          <w:tcPr>
            <w:tcW w:w="1075" w:type="dxa"/>
            <w:tcBorders>
              <w:top w:val="single" w:color="111111" w:sz="6" w:space="0"/>
              <w:left w:val="single" w:color="111111" w:sz="6" w:space="0"/>
              <w:bottom w:val="single" w:color="111111" w:sz="6" w:space="0"/>
              <w:right w:val="single" w:color="111111" w:sz="6" w:space="0"/>
            </w:tcBorders>
            <w:vAlign w:val="center"/>
          </w:tcPr>
          <w:p>
            <w:pPr>
              <w:jc w:val="center"/>
            </w:pPr>
          </w:p>
        </w:tc>
        <w:tc>
          <w:tcPr>
            <w:tcW w:w="1075" w:type="dxa"/>
            <w:tcBorders>
              <w:top w:val="single" w:color="111111" w:sz="6" w:space="0"/>
              <w:left w:val="single" w:color="111111" w:sz="6" w:space="0"/>
              <w:bottom w:val="single" w:color="111111" w:sz="6" w:space="0"/>
              <w:right w:val="single" w:color="111111" w:sz="6" w:space="0"/>
            </w:tcBorders>
            <w:vAlign w:val="center"/>
          </w:tcPr>
          <w:p>
            <w:pPr>
              <w:jc w:val="center"/>
            </w:pPr>
          </w:p>
        </w:tc>
        <w:tc>
          <w:tcPr>
            <w:tcW w:w="1078" w:type="dxa"/>
            <w:tcBorders>
              <w:top w:val="single" w:color="111111" w:sz="6" w:space="0"/>
              <w:left w:val="single" w:color="111111" w:sz="6" w:space="0"/>
              <w:bottom w:val="single" w:color="111111" w:sz="6" w:space="0"/>
              <w:right w:val="single" w:color="111111" w:sz="6" w:space="0"/>
            </w:tcBorders>
            <w:vAlign w:val="center"/>
          </w:tcPr>
          <w:p>
            <w:pPr>
              <w:jc w:val="center"/>
            </w:pPr>
          </w:p>
        </w:tc>
      </w:tr>
      <w:tr>
        <w:tblPrEx>
          <w:tblCellMar>
            <w:top w:w="0" w:type="dxa"/>
            <w:left w:w="0" w:type="dxa"/>
            <w:bottom w:w="0" w:type="dxa"/>
            <w:right w:w="0" w:type="dxa"/>
          </w:tblCellMar>
        </w:tblPrEx>
        <w:trPr>
          <w:trHeight w:val="144" w:hRule="atLeast"/>
        </w:trPr>
        <w:tc>
          <w:tcPr>
            <w:tcW w:w="4282"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r>
              <w:rPr>
                <w:rFonts w:ascii="宋体" w:hAnsi="宋体" w:cs="宋体"/>
                <w:szCs w:val="21"/>
              </w:rPr>
              <w:t>结论</w:t>
            </w:r>
          </w:p>
        </w:tc>
        <w:tc>
          <w:tcPr>
            <w:tcW w:w="1075"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1075"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1075"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1075"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c>
          <w:tcPr>
            <w:tcW w:w="1078" w:type="dxa"/>
            <w:tcBorders>
              <w:top w:val="single" w:color="111111" w:sz="6" w:space="0"/>
              <w:left w:val="single" w:color="111111" w:sz="6" w:space="0"/>
              <w:bottom w:val="single" w:color="111111" w:sz="6" w:space="0"/>
              <w:right w:val="single" w:color="111111" w:sz="6" w:space="0"/>
            </w:tcBorders>
            <w:vAlign w:val="center"/>
          </w:tcPr>
          <w:p>
            <w:pPr>
              <w:pStyle w:val="93"/>
              <w:spacing w:line="276" w:lineRule="auto"/>
              <w:ind w:right="1"/>
              <w:jc w:val="center"/>
              <w:rPr>
                <w:rFonts w:ascii="宋体" w:hAnsi="宋体" w:cs="宋体"/>
                <w:szCs w:val="21"/>
              </w:rPr>
            </w:pPr>
          </w:p>
        </w:tc>
      </w:tr>
    </w:tbl>
    <w:p/>
    <w:p>
      <w:pPr>
        <w:pStyle w:val="3"/>
        <w:rPr>
          <w:rFonts w:ascii="宋体" w:hAnsi="宋体" w:cs="宋体"/>
          <w:szCs w:val="21"/>
        </w:rPr>
      </w:pPr>
    </w:p>
    <w:p>
      <w:pPr>
        <w:spacing w:line="400" w:lineRule="exact"/>
        <w:ind w:firstLine="630" w:firstLineChars="300"/>
      </w:pPr>
      <w:r>
        <w:rPr>
          <w:rFonts w:hint="eastAsia" w:ascii="宋体" w:hAnsi="宋体"/>
          <w:szCs w:val="21"/>
        </w:rPr>
        <w:t>1、只有通过资格、符合性评审的参评人才能进入详细的评审，即为</w:t>
      </w:r>
      <w:r>
        <w:rPr>
          <w:rFonts w:hint="eastAsia" w:ascii="宋体" w:hAnsi="宋体"/>
          <w:bCs/>
          <w:szCs w:val="21"/>
        </w:rPr>
        <w:t>入围参评人</w:t>
      </w:r>
      <w:r>
        <w:rPr>
          <w:rFonts w:hint="eastAsia" w:ascii="宋体" w:hAnsi="宋体"/>
          <w:szCs w:val="21"/>
        </w:rPr>
        <w:t>；</w:t>
      </w:r>
    </w:p>
    <w:p>
      <w:pPr>
        <w:tabs>
          <w:tab w:val="left" w:pos="540"/>
        </w:tabs>
        <w:spacing w:line="400" w:lineRule="exact"/>
        <w:ind w:firstLine="630" w:firstLineChars="300"/>
        <w:rPr>
          <w:rFonts w:ascii="宋体" w:hAnsi="宋体"/>
          <w:szCs w:val="21"/>
        </w:rPr>
      </w:pPr>
      <w:r>
        <w:rPr>
          <w:rFonts w:hint="eastAsia" w:ascii="宋体" w:hAnsi="宋体"/>
          <w:szCs w:val="21"/>
        </w:rPr>
        <w:t>2、每一项目符合的打“○</w:t>
      </w:r>
      <w:r>
        <w:rPr>
          <w:rFonts w:ascii="宋体" w:hAnsi="宋体"/>
          <w:szCs w:val="21"/>
        </w:rPr>
        <w:t>”</w:t>
      </w:r>
      <w:r>
        <w:rPr>
          <w:rFonts w:hint="eastAsia" w:ascii="宋体" w:hAnsi="宋体"/>
          <w:szCs w:val="21"/>
        </w:rPr>
        <w:t>，不符合的打“×”；出现一个“×”的结论为不同意</w:t>
      </w:r>
      <w:r>
        <w:rPr>
          <w:rFonts w:ascii="宋体" w:hAnsi="宋体"/>
          <w:szCs w:val="21"/>
        </w:rPr>
        <w:t>进入下一阶段评议</w:t>
      </w:r>
      <w:r>
        <w:rPr>
          <w:rFonts w:hint="eastAsia" w:ascii="宋体" w:hAnsi="宋体"/>
          <w:szCs w:val="21"/>
        </w:rPr>
        <w:t>；</w:t>
      </w:r>
    </w:p>
    <w:p>
      <w:pPr>
        <w:tabs>
          <w:tab w:val="left" w:pos="540"/>
        </w:tabs>
        <w:spacing w:line="400" w:lineRule="exact"/>
        <w:ind w:left="420" w:leftChars="200" w:firstLine="210" w:firstLineChars="100"/>
        <w:rPr>
          <w:rFonts w:ascii="宋体" w:hAnsi="宋体"/>
          <w:szCs w:val="21"/>
        </w:rPr>
      </w:pPr>
      <w:r>
        <w:rPr>
          <w:rFonts w:hint="eastAsia" w:ascii="宋体" w:hAnsi="宋体"/>
          <w:szCs w:val="21"/>
        </w:rPr>
        <w:t>3、表中全部条件满足为通过，</w:t>
      </w:r>
      <w:r>
        <w:rPr>
          <w:rFonts w:ascii="宋体" w:hAnsi="宋体"/>
          <w:szCs w:val="21"/>
        </w:rPr>
        <w:t>同意进入下一阶段评议；</w:t>
      </w:r>
    </w:p>
    <w:p>
      <w:pPr>
        <w:tabs>
          <w:tab w:val="left" w:pos="540"/>
        </w:tabs>
        <w:spacing w:line="400" w:lineRule="exact"/>
        <w:ind w:left="420" w:leftChars="200" w:firstLine="210" w:firstLineChars="100"/>
        <w:rPr>
          <w:rFonts w:ascii="宋体" w:hAnsi="宋体"/>
          <w:szCs w:val="21"/>
        </w:rPr>
      </w:pPr>
      <w:r>
        <w:rPr>
          <w:rFonts w:hint="eastAsia" w:ascii="宋体" w:hAnsi="宋体"/>
          <w:szCs w:val="21"/>
        </w:rPr>
        <w:t>4、是否同意进入下一阶段评议一栏中应写 “通过”或“不通过”；</w:t>
      </w:r>
    </w:p>
    <w:p>
      <w:pPr>
        <w:tabs>
          <w:tab w:val="left" w:pos="540"/>
        </w:tabs>
        <w:spacing w:line="400" w:lineRule="exact"/>
        <w:ind w:left="420" w:leftChars="200" w:firstLine="210" w:firstLineChars="100"/>
        <w:rPr>
          <w:rFonts w:ascii="宋体" w:hAnsi="宋体" w:cs="宋体"/>
          <w:kern w:val="0"/>
          <w:sz w:val="24"/>
        </w:rPr>
      </w:pPr>
      <w:r>
        <w:rPr>
          <w:rFonts w:hint="eastAsia" w:ascii="宋体" w:hAnsi="宋体"/>
          <w:szCs w:val="21"/>
        </w:rPr>
        <w:t>5、结论汇总意见采取少数服从多数原则，即超过半数评委的结论为“通过”，则该</w:t>
      </w:r>
      <w:r>
        <w:rPr>
          <w:rFonts w:hint="eastAsia" w:ascii="宋体" w:hAnsi="宋体" w:cs="宋体"/>
          <w:szCs w:val="21"/>
        </w:rPr>
        <w:t>参评</w:t>
      </w:r>
      <w:r>
        <w:rPr>
          <w:rFonts w:hint="eastAsia" w:ascii="宋体" w:hAnsi="宋体"/>
          <w:szCs w:val="21"/>
        </w:rPr>
        <w:t>人通过</w:t>
      </w:r>
      <w:r>
        <w:rPr>
          <w:rFonts w:ascii="宋体" w:hAnsi="宋体"/>
          <w:szCs w:val="21"/>
        </w:rPr>
        <w:t>资格审查及符合性检查</w:t>
      </w:r>
      <w:r>
        <w:rPr>
          <w:rFonts w:hint="eastAsia" w:ascii="宋体" w:hAnsi="宋体"/>
          <w:szCs w:val="21"/>
        </w:rPr>
        <w:t>，否则不通过。</w:t>
      </w:r>
    </w:p>
    <w:p>
      <w:pPr>
        <w:pStyle w:val="104"/>
        <w:ind w:firstLine="480"/>
        <w:jc w:val="center"/>
        <w:rPr>
          <w:b/>
        </w:rPr>
      </w:pPr>
      <w:r>
        <w:rPr>
          <w:rFonts w:cs="宋体"/>
          <w:kern w:val="0"/>
          <w:sz w:val="24"/>
        </w:rPr>
        <w:br w:type="page"/>
      </w:r>
      <w:r>
        <w:rPr>
          <w:b/>
          <w:sz w:val="36"/>
        </w:rPr>
        <w:t>技术评分表</w:t>
      </w:r>
    </w:p>
    <w:tbl>
      <w:tblPr>
        <w:tblStyle w:val="32"/>
        <w:tblW w:w="0" w:type="auto"/>
        <w:jc w:val="center"/>
        <w:tblLayout w:type="fixed"/>
        <w:tblCellMar>
          <w:top w:w="0" w:type="dxa"/>
          <w:left w:w="108" w:type="dxa"/>
          <w:bottom w:w="0" w:type="dxa"/>
          <w:right w:w="108" w:type="dxa"/>
        </w:tblCellMar>
      </w:tblPr>
      <w:tblGrid>
        <w:gridCol w:w="600"/>
        <w:gridCol w:w="881"/>
        <w:gridCol w:w="2410"/>
        <w:gridCol w:w="1038"/>
        <w:gridCol w:w="808"/>
        <w:gridCol w:w="808"/>
        <w:gridCol w:w="808"/>
        <w:gridCol w:w="808"/>
        <w:gridCol w:w="809"/>
      </w:tblGrid>
      <w:tr>
        <w:tblPrEx>
          <w:tblCellMar>
            <w:top w:w="0" w:type="dxa"/>
            <w:left w:w="108" w:type="dxa"/>
            <w:bottom w:w="0" w:type="dxa"/>
            <w:right w:w="108" w:type="dxa"/>
          </w:tblCellMar>
        </w:tblPrEx>
        <w:trPr>
          <w:trHeight w:val="53" w:hRule="atLeast"/>
          <w:tblHeader/>
          <w:jc w:val="center"/>
        </w:trPr>
        <w:tc>
          <w:tcPr>
            <w:tcW w:w="8970" w:type="dxa"/>
            <w:gridSpan w:val="9"/>
            <w:tcBorders>
              <w:top w:val="single" w:color="auto" w:sz="4" w:space="0"/>
              <w:left w:val="single" w:color="auto" w:sz="4" w:space="0"/>
              <w:bottom w:val="single" w:color="auto" w:sz="4" w:space="0"/>
              <w:right w:val="single" w:color="auto" w:sz="4" w:space="0"/>
            </w:tcBorders>
            <w:vAlign w:val="center"/>
          </w:tcPr>
          <w:p>
            <w:pPr>
              <w:widowControl/>
              <w:spacing w:before="240"/>
              <w:jc w:val="center"/>
              <w:rPr>
                <w:rFonts w:ascii="宋体" w:hAnsi="宋体" w:cs="宋体"/>
                <w:b/>
                <w:bCs/>
                <w:sz w:val="24"/>
                <w:szCs w:val="21"/>
              </w:rPr>
            </w:pPr>
            <w:r>
              <w:rPr>
                <w:rFonts w:hint="eastAsia" w:ascii="宋体" w:hAnsi="宋体" w:cs="宋体"/>
                <w:b/>
                <w:bCs/>
                <w:sz w:val="24"/>
                <w:szCs w:val="21"/>
              </w:rPr>
              <w:t>（合计50分）</w:t>
            </w:r>
          </w:p>
        </w:tc>
      </w:tr>
      <w:tr>
        <w:tblPrEx>
          <w:tblCellMar>
            <w:top w:w="0" w:type="dxa"/>
            <w:left w:w="108" w:type="dxa"/>
            <w:bottom w:w="0" w:type="dxa"/>
            <w:right w:w="108" w:type="dxa"/>
          </w:tblCellMar>
        </w:tblPrEx>
        <w:trPr>
          <w:trHeight w:val="101" w:hRule="atLeast"/>
          <w:tblHeader/>
          <w:jc w:val="center"/>
        </w:trPr>
        <w:tc>
          <w:tcPr>
            <w:tcW w:w="600" w:type="dxa"/>
            <w:tcBorders>
              <w:top w:val="nil"/>
              <w:left w:val="single" w:color="auto" w:sz="4" w:space="0"/>
              <w:bottom w:val="single" w:color="auto" w:sz="4" w:space="0"/>
              <w:right w:val="single" w:color="auto" w:sz="4" w:space="0"/>
            </w:tcBorders>
            <w:shd w:val="clear" w:color="auto" w:fill="D7D7D7"/>
            <w:vAlign w:val="center"/>
          </w:tcPr>
          <w:p>
            <w:pPr>
              <w:widowControl/>
              <w:jc w:val="center"/>
              <w:rPr>
                <w:rFonts w:ascii="黑体" w:hAnsi="黑体" w:eastAsia="黑体" w:cs="黑体"/>
                <w:szCs w:val="21"/>
              </w:rPr>
            </w:pPr>
            <w:r>
              <w:rPr>
                <w:rFonts w:hint="eastAsia" w:ascii="黑体" w:hAnsi="黑体" w:eastAsia="黑体" w:cs="黑体"/>
                <w:szCs w:val="21"/>
              </w:rPr>
              <w:t>序号</w:t>
            </w:r>
          </w:p>
        </w:tc>
        <w:tc>
          <w:tcPr>
            <w:tcW w:w="881" w:type="dxa"/>
            <w:tcBorders>
              <w:top w:val="nil"/>
              <w:left w:val="single" w:color="auto" w:sz="4" w:space="0"/>
              <w:bottom w:val="single" w:color="auto" w:sz="4" w:space="0"/>
              <w:right w:val="single" w:color="auto" w:sz="4" w:space="0"/>
            </w:tcBorders>
            <w:shd w:val="clear" w:color="auto" w:fill="D7D7D7"/>
            <w:vAlign w:val="center"/>
          </w:tcPr>
          <w:p>
            <w:pPr>
              <w:widowControl/>
              <w:jc w:val="center"/>
              <w:rPr>
                <w:rFonts w:ascii="黑体" w:hAnsi="黑体" w:eastAsia="黑体" w:cs="黑体"/>
                <w:szCs w:val="21"/>
              </w:rPr>
            </w:pPr>
            <w:r>
              <w:rPr>
                <w:rFonts w:hint="eastAsia" w:ascii="黑体" w:hAnsi="黑体" w:eastAsia="黑体" w:cs="黑体"/>
                <w:szCs w:val="21"/>
              </w:rPr>
              <w:t>项目</w:t>
            </w:r>
          </w:p>
        </w:tc>
        <w:tc>
          <w:tcPr>
            <w:tcW w:w="2410" w:type="dxa"/>
            <w:tcBorders>
              <w:top w:val="nil"/>
              <w:left w:val="single" w:color="auto" w:sz="4" w:space="0"/>
              <w:bottom w:val="single" w:color="000000" w:sz="4" w:space="0"/>
              <w:right w:val="single" w:color="auto" w:sz="4" w:space="0"/>
            </w:tcBorders>
            <w:shd w:val="clear" w:color="auto" w:fill="D7D7D7"/>
            <w:vAlign w:val="center"/>
          </w:tcPr>
          <w:p>
            <w:pPr>
              <w:widowControl/>
              <w:jc w:val="center"/>
              <w:rPr>
                <w:rFonts w:ascii="黑体" w:hAnsi="黑体" w:eastAsia="黑体" w:cs="黑体"/>
                <w:szCs w:val="21"/>
              </w:rPr>
            </w:pPr>
            <w:r>
              <w:rPr>
                <w:rFonts w:hint="eastAsia" w:ascii="黑体" w:hAnsi="黑体" w:eastAsia="黑体" w:cs="黑体"/>
                <w:szCs w:val="21"/>
              </w:rPr>
              <w:t>内容</w:t>
            </w:r>
          </w:p>
        </w:tc>
        <w:tc>
          <w:tcPr>
            <w:tcW w:w="1038" w:type="dxa"/>
            <w:tcBorders>
              <w:top w:val="nil"/>
              <w:left w:val="single" w:color="auto" w:sz="4" w:space="0"/>
              <w:bottom w:val="single" w:color="auto" w:sz="4" w:space="0"/>
              <w:right w:val="single" w:color="auto" w:sz="4" w:space="0"/>
            </w:tcBorders>
            <w:shd w:val="clear" w:color="auto" w:fill="D7D7D7"/>
            <w:vAlign w:val="center"/>
          </w:tcPr>
          <w:p>
            <w:pPr>
              <w:widowControl/>
              <w:jc w:val="center"/>
              <w:rPr>
                <w:rFonts w:ascii="黑体" w:hAnsi="黑体" w:eastAsia="黑体" w:cs="黑体"/>
                <w:szCs w:val="21"/>
              </w:rPr>
            </w:pPr>
            <w:r>
              <w:rPr>
                <w:rFonts w:hint="eastAsia" w:ascii="黑体" w:hAnsi="黑体" w:eastAsia="黑体" w:cs="黑体"/>
                <w:szCs w:val="21"/>
              </w:rPr>
              <w:t>分值</w:t>
            </w:r>
          </w:p>
        </w:tc>
        <w:tc>
          <w:tcPr>
            <w:tcW w:w="808" w:type="dxa"/>
            <w:tcBorders>
              <w:top w:val="single" w:color="auto" w:sz="4" w:space="0"/>
              <w:left w:val="single" w:color="auto" w:sz="4" w:space="0"/>
              <w:bottom w:val="single" w:color="auto" w:sz="4" w:space="0"/>
              <w:right w:val="single" w:color="auto" w:sz="4" w:space="0"/>
            </w:tcBorders>
            <w:shd w:val="clear" w:color="auto" w:fill="D7D7D7"/>
            <w:vAlign w:val="center"/>
          </w:tcPr>
          <w:p>
            <w:pPr>
              <w:pStyle w:val="93"/>
              <w:spacing w:before="133" w:line="276" w:lineRule="auto"/>
              <w:ind w:right="2"/>
              <w:jc w:val="center"/>
              <w:rPr>
                <w:rFonts w:ascii="黑体" w:hAnsi="黑体" w:eastAsia="黑体" w:cs="黑体"/>
                <w:szCs w:val="21"/>
              </w:rPr>
            </w:pPr>
            <w:r>
              <w:rPr>
                <w:rFonts w:hint="eastAsia" w:ascii="黑体" w:hAnsi="黑体" w:eastAsia="黑体" w:cs="黑体"/>
                <w:szCs w:val="21"/>
              </w:rPr>
              <w:t>供应商 1</w:t>
            </w:r>
          </w:p>
        </w:tc>
        <w:tc>
          <w:tcPr>
            <w:tcW w:w="808" w:type="dxa"/>
            <w:tcBorders>
              <w:top w:val="single" w:color="auto" w:sz="4" w:space="0"/>
              <w:left w:val="single" w:color="auto" w:sz="4" w:space="0"/>
              <w:bottom w:val="single" w:color="auto" w:sz="4" w:space="0"/>
              <w:right w:val="single" w:color="auto" w:sz="4" w:space="0"/>
            </w:tcBorders>
            <w:shd w:val="clear" w:color="auto" w:fill="D7D7D7"/>
            <w:vAlign w:val="center"/>
          </w:tcPr>
          <w:p>
            <w:pPr>
              <w:pStyle w:val="93"/>
              <w:spacing w:before="133" w:line="276" w:lineRule="auto"/>
              <w:ind w:right="2"/>
              <w:jc w:val="center"/>
              <w:rPr>
                <w:rFonts w:ascii="黑体" w:hAnsi="黑体" w:eastAsia="黑体" w:cs="黑体"/>
                <w:szCs w:val="21"/>
              </w:rPr>
            </w:pPr>
            <w:r>
              <w:rPr>
                <w:rFonts w:hint="eastAsia" w:ascii="黑体" w:hAnsi="黑体" w:eastAsia="黑体" w:cs="黑体"/>
                <w:szCs w:val="21"/>
              </w:rPr>
              <w:t>供应商 2</w:t>
            </w:r>
          </w:p>
        </w:tc>
        <w:tc>
          <w:tcPr>
            <w:tcW w:w="808" w:type="dxa"/>
            <w:tcBorders>
              <w:top w:val="single" w:color="auto" w:sz="4" w:space="0"/>
              <w:left w:val="single" w:color="auto" w:sz="4" w:space="0"/>
              <w:bottom w:val="single" w:color="auto" w:sz="4" w:space="0"/>
              <w:right w:val="single" w:color="auto" w:sz="4" w:space="0"/>
            </w:tcBorders>
            <w:shd w:val="clear" w:color="auto" w:fill="D7D7D7"/>
            <w:vAlign w:val="center"/>
          </w:tcPr>
          <w:p>
            <w:pPr>
              <w:pStyle w:val="93"/>
              <w:spacing w:before="133" w:line="276" w:lineRule="auto"/>
              <w:ind w:right="2"/>
              <w:jc w:val="center"/>
              <w:rPr>
                <w:rFonts w:ascii="黑体" w:hAnsi="黑体" w:eastAsia="黑体" w:cs="黑体"/>
                <w:szCs w:val="21"/>
              </w:rPr>
            </w:pPr>
            <w:r>
              <w:rPr>
                <w:rFonts w:hint="eastAsia" w:ascii="黑体" w:hAnsi="黑体" w:eastAsia="黑体" w:cs="黑体"/>
                <w:szCs w:val="21"/>
              </w:rPr>
              <w:t>供应商 3</w:t>
            </w:r>
          </w:p>
        </w:tc>
        <w:tc>
          <w:tcPr>
            <w:tcW w:w="808" w:type="dxa"/>
            <w:tcBorders>
              <w:top w:val="single" w:color="auto" w:sz="4" w:space="0"/>
              <w:left w:val="single" w:color="auto" w:sz="4" w:space="0"/>
              <w:bottom w:val="single" w:color="auto" w:sz="4" w:space="0"/>
              <w:right w:val="single" w:color="auto" w:sz="4" w:space="0"/>
            </w:tcBorders>
            <w:shd w:val="clear" w:color="auto" w:fill="D7D7D7"/>
            <w:vAlign w:val="center"/>
          </w:tcPr>
          <w:p>
            <w:pPr>
              <w:pStyle w:val="93"/>
              <w:spacing w:before="133" w:line="276" w:lineRule="auto"/>
              <w:ind w:right="2"/>
              <w:jc w:val="center"/>
              <w:rPr>
                <w:rFonts w:ascii="黑体" w:hAnsi="黑体" w:eastAsia="黑体" w:cs="黑体"/>
                <w:szCs w:val="21"/>
              </w:rPr>
            </w:pPr>
            <w:r>
              <w:rPr>
                <w:rFonts w:hint="eastAsia" w:ascii="黑体" w:hAnsi="黑体" w:eastAsia="黑体" w:cs="黑体"/>
                <w:szCs w:val="21"/>
              </w:rPr>
              <w:t>供应商 4</w:t>
            </w:r>
          </w:p>
        </w:tc>
        <w:tc>
          <w:tcPr>
            <w:tcW w:w="809" w:type="dxa"/>
            <w:tcBorders>
              <w:top w:val="single" w:color="auto" w:sz="4" w:space="0"/>
              <w:left w:val="single" w:color="auto" w:sz="4" w:space="0"/>
              <w:bottom w:val="single" w:color="auto" w:sz="4" w:space="0"/>
              <w:right w:val="single" w:color="auto" w:sz="4" w:space="0"/>
            </w:tcBorders>
            <w:shd w:val="clear" w:color="auto" w:fill="D7D7D7"/>
            <w:vAlign w:val="center"/>
          </w:tcPr>
          <w:p>
            <w:pPr>
              <w:pStyle w:val="93"/>
              <w:spacing w:before="133" w:line="276" w:lineRule="auto"/>
              <w:ind w:right="2"/>
              <w:jc w:val="center"/>
              <w:rPr>
                <w:rFonts w:ascii="黑体" w:hAnsi="黑体" w:eastAsia="黑体" w:cs="黑体"/>
                <w:szCs w:val="21"/>
              </w:rPr>
            </w:pPr>
            <w:r>
              <w:rPr>
                <w:rFonts w:hint="eastAsia" w:ascii="黑体" w:hAnsi="黑体" w:eastAsia="黑体" w:cs="黑体"/>
                <w:szCs w:val="21"/>
              </w:rPr>
              <w:t>供应商 5</w:t>
            </w:r>
          </w:p>
        </w:tc>
      </w:tr>
      <w:tr>
        <w:tblPrEx>
          <w:tblCellMar>
            <w:top w:w="0" w:type="dxa"/>
            <w:left w:w="108" w:type="dxa"/>
            <w:bottom w:w="0" w:type="dxa"/>
            <w:right w:w="108" w:type="dxa"/>
          </w:tblCellMar>
        </w:tblPrEx>
        <w:trPr>
          <w:trHeight w:val="504" w:hRule="atLeast"/>
          <w:jc w:val="center"/>
        </w:trPr>
        <w:tc>
          <w:tcPr>
            <w:tcW w:w="6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r>
              <w:rPr>
                <w:rFonts w:hint="eastAsia" w:ascii="宋体" w:hAnsi="宋体" w:cs="宋体"/>
                <w:color w:val="000000"/>
                <w:szCs w:val="21"/>
              </w:rPr>
              <w:t>(一)</w:t>
            </w:r>
          </w:p>
        </w:tc>
        <w:tc>
          <w:tcPr>
            <w:tcW w:w="88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r>
              <w:rPr>
                <w:rFonts w:hint="eastAsia" w:ascii="宋体" w:hAnsi="宋体"/>
                <w:kern w:val="0"/>
              </w:rPr>
              <w:t>对项目整体安全测评理解</w:t>
            </w:r>
          </w:p>
        </w:tc>
        <w:tc>
          <w:tcPr>
            <w:tcW w:w="2410" w:type="dxa"/>
            <w:tcBorders>
              <w:top w:val="nil"/>
              <w:left w:val="single" w:color="auto" w:sz="4" w:space="0"/>
              <w:bottom w:val="single" w:color="000000" w:sz="4" w:space="0"/>
              <w:right w:val="single" w:color="auto" w:sz="4" w:space="0"/>
            </w:tcBorders>
            <w:vAlign w:val="center"/>
          </w:tcPr>
          <w:p>
            <w:pPr>
              <w:outlineLvl w:val="4"/>
              <w:rPr>
                <w:rFonts w:ascii="宋体" w:hAnsi="宋体"/>
                <w:kern w:val="0"/>
              </w:rPr>
            </w:pPr>
            <w:r>
              <w:rPr>
                <w:rFonts w:hint="eastAsia" w:ascii="宋体" w:hAnsi="宋体"/>
                <w:kern w:val="0"/>
              </w:rPr>
              <w:t>根据参选人对本项目网络安全体系建设总体规划理解、对政务信息化系统安全理解、对政务信息化系统等级保护测评和信息安全风险评估的理解情况进行横向对比：</w:t>
            </w:r>
          </w:p>
          <w:p>
            <w:pPr>
              <w:outlineLvl w:val="4"/>
              <w:rPr>
                <w:rFonts w:ascii="宋体" w:hAnsi="宋体"/>
                <w:kern w:val="0"/>
              </w:rPr>
            </w:pPr>
            <w:r>
              <w:rPr>
                <w:rFonts w:hint="eastAsia" w:ascii="宋体" w:hAnsi="宋体"/>
                <w:kern w:val="0"/>
              </w:rPr>
              <w:t>1、参选人对项目整体安全测评理解透彻及认识清晰，完全满足并优于采购需求，得</w:t>
            </w:r>
            <w:r>
              <w:rPr>
                <w:rFonts w:ascii="宋体" w:hAnsi="宋体"/>
                <w:kern w:val="0"/>
              </w:rPr>
              <w:t>10</w:t>
            </w:r>
            <w:r>
              <w:rPr>
                <w:rFonts w:hint="eastAsia" w:ascii="宋体" w:hAnsi="宋体"/>
                <w:kern w:val="0"/>
              </w:rPr>
              <w:t>分；</w:t>
            </w:r>
          </w:p>
          <w:p>
            <w:pPr>
              <w:outlineLvl w:val="4"/>
              <w:rPr>
                <w:rFonts w:ascii="宋体" w:hAnsi="宋体"/>
                <w:kern w:val="0"/>
              </w:rPr>
            </w:pPr>
            <w:r>
              <w:rPr>
                <w:rFonts w:ascii="宋体" w:hAnsi="宋体"/>
                <w:kern w:val="0"/>
              </w:rPr>
              <w:t>2</w:t>
            </w:r>
            <w:r>
              <w:rPr>
                <w:rFonts w:hint="eastAsia" w:ascii="宋体" w:hAnsi="宋体"/>
                <w:kern w:val="0"/>
              </w:rPr>
              <w:t>、参选人对项目整体安全测评理解较透彻，认识较清晰，完全满足采购需求，得</w:t>
            </w:r>
            <w:r>
              <w:rPr>
                <w:rFonts w:ascii="宋体" w:hAnsi="宋体"/>
                <w:kern w:val="0"/>
              </w:rPr>
              <w:t>4</w:t>
            </w:r>
            <w:r>
              <w:rPr>
                <w:rFonts w:hint="eastAsia" w:ascii="宋体" w:hAnsi="宋体"/>
                <w:kern w:val="0"/>
              </w:rPr>
              <w:t>分；</w:t>
            </w:r>
          </w:p>
          <w:p>
            <w:pPr>
              <w:rPr>
                <w:rFonts w:ascii="宋体" w:hAnsi="宋体"/>
                <w:kern w:val="0"/>
              </w:rPr>
            </w:pPr>
            <w:r>
              <w:rPr>
                <w:rFonts w:ascii="宋体" w:hAnsi="宋体"/>
                <w:kern w:val="0"/>
              </w:rPr>
              <w:t>3</w:t>
            </w:r>
            <w:r>
              <w:rPr>
                <w:rFonts w:hint="eastAsia" w:ascii="宋体" w:hAnsi="宋体"/>
                <w:kern w:val="0"/>
              </w:rPr>
              <w:t>、参选人对项目整体安全测评理解不太透彻，认识不够清晰，不能完全满足采购需求，得</w:t>
            </w:r>
            <w:r>
              <w:rPr>
                <w:rFonts w:ascii="宋体" w:hAnsi="宋体"/>
                <w:kern w:val="0"/>
              </w:rPr>
              <w:t>2</w:t>
            </w:r>
            <w:r>
              <w:rPr>
                <w:rFonts w:hint="eastAsia" w:ascii="宋体" w:hAnsi="宋体"/>
                <w:kern w:val="0"/>
              </w:rPr>
              <w:t>分；</w:t>
            </w:r>
          </w:p>
          <w:p>
            <w:pPr>
              <w:widowControl/>
              <w:jc w:val="left"/>
              <w:rPr>
                <w:rFonts w:ascii="宋体" w:hAnsi="宋体" w:cs="宋体"/>
                <w:color w:val="000000"/>
                <w:szCs w:val="21"/>
              </w:rPr>
            </w:pPr>
            <w:r>
              <w:rPr>
                <w:rFonts w:ascii="宋体" w:hAnsi="宋体"/>
                <w:kern w:val="0"/>
              </w:rPr>
              <w:t>4</w:t>
            </w:r>
            <w:r>
              <w:rPr>
                <w:rFonts w:hint="eastAsia" w:ascii="宋体" w:hAnsi="宋体"/>
                <w:kern w:val="0"/>
              </w:rPr>
              <w:t>、参选人未提供，得0分。</w:t>
            </w:r>
          </w:p>
        </w:tc>
        <w:tc>
          <w:tcPr>
            <w:tcW w:w="103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r>
              <w:rPr>
                <w:rFonts w:ascii="宋体" w:hAnsi="宋体" w:cs="宋体"/>
                <w:color w:val="000000"/>
                <w:szCs w:val="21"/>
              </w:rPr>
              <w:t>10</w:t>
            </w:r>
            <w:r>
              <w:rPr>
                <w:rFonts w:hint="eastAsia" w:ascii="宋体" w:hAnsi="宋体" w:cs="宋体"/>
                <w:color w:val="000000"/>
                <w:szCs w:val="21"/>
              </w:rPr>
              <w:t>分</w:t>
            </w:r>
          </w:p>
        </w:tc>
        <w:tc>
          <w:tcPr>
            <w:tcW w:w="80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p>
        </w:tc>
        <w:tc>
          <w:tcPr>
            <w:tcW w:w="80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p>
        </w:tc>
        <w:tc>
          <w:tcPr>
            <w:tcW w:w="80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p>
        </w:tc>
        <w:tc>
          <w:tcPr>
            <w:tcW w:w="80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p>
        </w:tc>
        <w:tc>
          <w:tcPr>
            <w:tcW w:w="8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p>
        </w:tc>
      </w:tr>
      <w:tr>
        <w:tblPrEx>
          <w:tblCellMar>
            <w:top w:w="0" w:type="dxa"/>
            <w:left w:w="108" w:type="dxa"/>
            <w:bottom w:w="0" w:type="dxa"/>
            <w:right w:w="108" w:type="dxa"/>
          </w:tblCellMar>
        </w:tblPrEx>
        <w:trPr>
          <w:trHeight w:val="259" w:hRule="atLeast"/>
          <w:jc w:val="center"/>
        </w:trPr>
        <w:tc>
          <w:tcPr>
            <w:tcW w:w="6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r>
              <w:rPr>
                <w:rFonts w:hint="eastAsia" w:ascii="宋体" w:hAnsi="宋体" w:cs="宋体"/>
                <w:color w:val="000000"/>
                <w:szCs w:val="21"/>
              </w:rPr>
              <w:t>(二)</w:t>
            </w:r>
          </w:p>
        </w:tc>
        <w:tc>
          <w:tcPr>
            <w:tcW w:w="88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r>
              <w:rPr>
                <w:rFonts w:hint="eastAsia" w:ascii="宋体" w:hAnsi="宋体"/>
                <w:kern w:val="0"/>
              </w:rPr>
              <w:t>等保测评实施方案</w:t>
            </w:r>
          </w:p>
        </w:tc>
        <w:tc>
          <w:tcPr>
            <w:tcW w:w="2410" w:type="dxa"/>
            <w:tcBorders>
              <w:top w:val="nil"/>
              <w:left w:val="single" w:color="auto" w:sz="4" w:space="0"/>
              <w:bottom w:val="single" w:color="000000" w:sz="4" w:space="0"/>
              <w:right w:val="single" w:color="auto" w:sz="4" w:space="0"/>
            </w:tcBorders>
            <w:vAlign w:val="center"/>
          </w:tcPr>
          <w:p>
            <w:pPr>
              <w:outlineLvl w:val="4"/>
              <w:rPr>
                <w:rFonts w:ascii="宋体" w:hAnsi="宋体"/>
                <w:kern w:val="0"/>
              </w:rPr>
            </w:pPr>
            <w:r>
              <w:rPr>
                <w:rFonts w:hint="eastAsia" w:ascii="宋体" w:hAnsi="宋体"/>
                <w:kern w:val="0"/>
              </w:rPr>
              <w:t>根据参选人对等保</w:t>
            </w:r>
            <w:r>
              <w:rPr>
                <w:rFonts w:ascii="宋体" w:hAnsi="宋体"/>
                <w:kern w:val="0"/>
              </w:rPr>
              <w:t>测评</w:t>
            </w:r>
            <w:r>
              <w:rPr>
                <w:rFonts w:hint="eastAsia" w:ascii="宋体" w:hAnsi="宋体"/>
                <w:kern w:val="0"/>
              </w:rPr>
              <w:t xml:space="preserve">实施方案（包括安全管理机构、安全管理人员、安全管理制度、安全管理中心、安全建设管理、安全区域边界、安全通信网络、安全物理环境、安全运维管理、移动互联安全扩展、云计算安全扩展）进行评审： </w:t>
            </w:r>
          </w:p>
          <w:p>
            <w:pPr>
              <w:outlineLvl w:val="4"/>
              <w:rPr>
                <w:rFonts w:ascii="宋体" w:hAnsi="宋体"/>
                <w:kern w:val="0"/>
              </w:rPr>
            </w:pPr>
            <w:r>
              <w:rPr>
                <w:rFonts w:hint="eastAsia" w:ascii="宋体" w:hAnsi="宋体"/>
                <w:kern w:val="0"/>
              </w:rPr>
              <w:t>1、参选人等保测评实施方案理解透彻及认识清晰，完全满足并优于采购需求，得</w:t>
            </w:r>
            <w:r>
              <w:rPr>
                <w:rFonts w:ascii="宋体" w:hAnsi="宋体"/>
                <w:kern w:val="0"/>
              </w:rPr>
              <w:t>8</w:t>
            </w:r>
            <w:r>
              <w:rPr>
                <w:rFonts w:hint="eastAsia" w:ascii="宋体" w:hAnsi="宋体"/>
                <w:kern w:val="0"/>
              </w:rPr>
              <w:t>分；</w:t>
            </w:r>
          </w:p>
          <w:p>
            <w:pPr>
              <w:outlineLvl w:val="4"/>
              <w:rPr>
                <w:rFonts w:ascii="宋体" w:hAnsi="宋体"/>
                <w:kern w:val="0"/>
              </w:rPr>
            </w:pPr>
            <w:r>
              <w:rPr>
                <w:rFonts w:ascii="宋体" w:hAnsi="宋体"/>
                <w:kern w:val="0"/>
              </w:rPr>
              <w:t>2</w:t>
            </w:r>
            <w:r>
              <w:rPr>
                <w:rFonts w:hint="eastAsia" w:ascii="宋体" w:hAnsi="宋体"/>
                <w:kern w:val="0"/>
              </w:rPr>
              <w:t>、参选人等保测评实施方案理解较透彻，认识较清晰，完全满足采购需求，得</w:t>
            </w:r>
            <w:r>
              <w:rPr>
                <w:rFonts w:ascii="宋体" w:hAnsi="宋体"/>
                <w:kern w:val="0"/>
              </w:rPr>
              <w:t>4</w:t>
            </w:r>
            <w:r>
              <w:rPr>
                <w:rFonts w:hint="eastAsia" w:ascii="宋体" w:hAnsi="宋体"/>
                <w:kern w:val="0"/>
              </w:rPr>
              <w:t>分；</w:t>
            </w:r>
          </w:p>
          <w:p>
            <w:pPr>
              <w:outlineLvl w:val="4"/>
              <w:rPr>
                <w:rFonts w:ascii="宋体" w:hAnsi="宋体"/>
                <w:kern w:val="0"/>
              </w:rPr>
            </w:pPr>
            <w:r>
              <w:rPr>
                <w:rFonts w:ascii="宋体" w:hAnsi="宋体"/>
                <w:kern w:val="0"/>
              </w:rPr>
              <w:t>3</w:t>
            </w:r>
            <w:r>
              <w:rPr>
                <w:rFonts w:hint="eastAsia" w:ascii="宋体" w:hAnsi="宋体"/>
                <w:kern w:val="0"/>
              </w:rPr>
              <w:t>、参选人等保测评实施方案理解不太透彻，认识不够清晰，不能完全满足采购需求，得</w:t>
            </w:r>
            <w:r>
              <w:rPr>
                <w:rFonts w:ascii="宋体" w:hAnsi="宋体"/>
                <w:kern w:val="0"/>
              </w:rPr>
              <w:t>2</w:t>
            </w:r>
            <w:r>
              <w:rPr>
                <w:rFonts w:hint="eastAsia" w:ascii="宋体" w:hAnsi="宋体"/>
                <w:kern w:val="0"/>
              </w:rPr>
              <w:t>分；</w:t>
            </w:r>
          </w:p>
          <w:p>
            <w:pPr>
              <w:widowControl/>
              <w:jc w:val="left"/>
              <w:rPr>
                <w:rFonts w:ascii="宋体" w:hAnsi="宋体"/>
                <w:kern w:val="0"/>
              </w:rPr>
            </w:pPr>
            <w:r>
              <w:rPr>
                <w:rFonts w:hint="eastAsia" w:ascii="宋体" w:hAnsi="宋体"/>
                <w:kern w:val="0"/>
              </w:rPr>
              <w:t>4、参选人未提供，得0分。</w:t>
            </w:r>
          </w:p>
        </w:tc>
        <w:tc>
          <w:tcPr>
            <w:tcW w:w="103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r>
              <w:rPr>
                <w:rFonts w:hint="eastAsia" w:ascii="宋体" w:hAnsi="宋体" w:cs="宋体"/>
                <w:color w:val="000000"/>
                <w:szCs w:val="21"/>
              </w:rPr>
              <w:t>8</w:t>
            </w:r>
            <w:r>
              <w:rPr>
                <w:rFonts w:hint="eastAsia" w:cs="Calibri"/>
                <w:color w:val="000000"/>
                <w:szCs w:val="21"/>
              </w:rPr>
              <w:t>分</w:t>
            </w:r>
          </w:p>
        </w:tc>
        <w:tc>
          <w:tcPr>
            <w:tcW w:w="80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p>
        </w:tc>
        <w:tc>
          <w:tcPr>
            <w:tcW w:w="80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p>
        </w:tc>
        <w:tc>
          <w:tcPr>
            <w:tcW w:w="80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p>
        </w:tc>
        <w:tc>
          <w:tcPr>
            <w:tcW w:w="80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p>
        </w:tc>
        <w:tc>
          <w:tcPr>
            <w:tcW w:w="8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p>
        </w:tc>
      </w:tr>
      <w:tr>
        <w:tblPrEx>
          <w:tblCellMar>
            <w:top w:w="0" w:type="dxa"/>
            <w:left w:w="108" w:type="dxa"/>
            <w:bottom w:w="0" w:type="dxa"/>
            <w:right w:w="108" w:type="dxa"/>
          </w:tblCellMar>
        </w:tblPrEx>
        <w:trPr>
          <w:trHeight w:val="1612" w:hRule="atLeast"/>
          <w:jc w:val="center"/>
        </w:trPr>
        <w:tc>
          <w:tcPr>
            <w:tcW w:w="6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r>
              <w:rPr>
                <w:rFonts w:hint="eastAsia" w:ascii="宋体" w:hAnsi="宋体" w:cs="宋体"/>
                <w:color w:val="000000"/>
                <w:szCs w:val="21"/>
              </w:rPr>
              <w:t>(三)</w:t>
            </w:r>
          </w:p>
        </w:tc>
        <w:tc>
          <w:tcPr>
            <w:tcW w:w="88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r>
              <w:rPr>
                <w:rFonts w:hint="eastAsia" w:ascii="宋体" w:hAnsi="宋体"/>
                <w:kern w:val="0"/>
              </w:rPr>
              <w:t>等保</w:t>
            </w:r>
            <w:r>
              <w:rPr>
                <w:rFonts w:ascii="宋体" w:hAnsi="宋体"/>
                <w:kern w:val="0"/>
              </w:rPr>
              <w:t>测评</w:t>
            </w:r>
            <w:r>
              <w:rPr>
                <w:rFonts w:hint="eastAsia" w:ascii="宋体" w:hAnsi="宋体"/>
                <w:kern w:val="0"/>
              </w:rPr>
              <w:t>方案和报告模板的编写</w:t>
            </w:r>
          </w:p>
        </w:tc>
        <w:tc>
          <w:tcPr>
            <w:tcW w:w="2410" w:type="dxa"/>
            <w:tcBorders>
              <w:top w:val="nil"/>
              <w:left w:val="single" w:color="auto" w:sz="4" w:space="0"/>
              <w:bottom w:val="single" w:color="000000" w:sz="4" w:space="0"/>
              <w:right w:val="single" w:color="auto" w:sz="4" w:space="0"/>
            </w:tcBorders>
            <w:vAlign w:val="center"/>
          </w:tcPr>
          <w:p>
            <w:pPr>
              <w:outlineLvl w:val="4"/>
              <w:rPr>
                <w:rFonts w:ascii="宋体" w:hAnsi="宋体"/>
                <w:kern w:val="0"/>
              </w:rPr>
            </w:pPr>
            <w:r>
              <w:rPr>
                <w:rFonts w:hint="eastAsia" w:ascii="宋体" w:hAnsi="宋体"/>
                <w:kern w:val="0"/>
              </w:rPr>
              <w:t>根据参选人对等保</w:t>
            </w:r>
            <w:r>
              <w:rPr>
                <w:rFonts w:ascii="宋体" w:hAnsi="宋体"/>
                <w:kern w:val="0"/>
              </w:rPr>
              <w:t>测评</w:t>
            </w:r>
            <w:r>
              <w:rPr>
                <w:rFonts w:hint="eastAsia" w:ascii="宋体" w:hAnsi="宋体"/>
                <w:kern w:val="0"/>
              </w:rPr>
              <w:t xml:space="preserve">报告编写的理解是否完整、准确、深入（包括安全测评方案模板、安全测评报告模板、安全测评报告模板、其他安全测试过程文档模板）进行横向综合评比： </w:t>
            </w:r>
          </w:p>
          <w:p>
            <w:pPr>
              <w:outlineLvl w:val="4"/>
              <w:rPr>
                <w:rFonts w:ascii="宋体" w:hAnsi="宋体"/>
                <w:kern w:val="0"/>
              </w:rPr>
            </w:pPr>
            <w:r>
              <w:rPr>
                <w:rFonts w:hint="eastAsia" w:ascii="宋体" w:hAnsi="宋体"/>
                <w:kern w:val="0"/>
              </w:rPr>
              <w:t>1、参选人对等保</w:t>
            </w:r>
            <w:r>
              <w:rPr>
                <w:rFonts w:ascii="宋体" w:hAnsi="宋体"/>
                <w:kern w:val="0"/>
              </w:rPr>
              <w:t>测评</w:t>
            </w:r>
            <w:r>
              <w:rPr>
                <w:rFonts w:hint="eastAsia" w:ascii="宋体" w:hAnsi="宋体"/>
                <w:kern w:val="0"/>
              </w:rPr>
              <w:t>报告编写的理解完整、准确、深入，完全满足并优于采购需求，得</w:t>
            </w:r>
            <w:r>
              <w:rPr>
                <w:rFonts w:ascii="宋体" w:hAnsi="宋体"/>
                <w:kern w:val="0"/>
              </w:rPr>
              <w:t>8</w:t>
            </w:r>
            <w:r>
              <w:rPr>
                <w:rFonts w:hint="eastAsia" w:ascii="宋体" w:hAnsi="宋体"/>
                <w:kern w:val="0"/>
              </w:rPr>
              <w:t>分；</w:t>
            </w:r>
          </w:p>
          <w:p>
            <w:pPr>
              <w:outlineLvl w:val="4"/>
              <w:rPr>
                <w:rFonts w:ascii="宋体" w:hAnsi="宋体"/>
                <w:kern w:val="0"/>
              </w:rPr>
            </w:pPr>
            <w:r>
              <w:rPr>
                <w:rFonts w:hint="eastAsia" w:ascii="宋体" w:hAnsi="宋体"/>
                <w:kern w:val="0"/>
              </w:rPr>
              <w:t>2、参选人对等保</w:t>
            </w:r>
            <w:r>
              <w:rPr>
                <w:rFonts w:ascii="宋体" w:hAnsi="宋体"/>
                <w:kern w:val="0"/>
              </w:rPr>
              <w:t>测评</w:t>
            </w:r>
            <w:r>
              <w:rPr>
                <w:rFonts w:hint="eastAsia" w:ascii="宋体" w:hAnsi="宋体"/>
                <w:kern w:val="0"/>
              </w:rPr>
              <w:t>报告编写理解较完整、准确、深入，完全满足采购需求，得</w:t>
            </w:r>
            <w:r>
              <w:rPr>
                <w:rFonts w:ascii="宋体" w:hAnsi="宋体"/>
                <w:kern w:val="0"/>
              </w:rPr>
              <w:t>4</w:t>
            </w:r>
            <w:r>
              <w:rPr>
                <w:rFonts w:hint="eastAsia" w:ascii="宋体" w:hAnsi="宋体"/>
                <w:kern w:val="0"/>
              </w:rPr>
              <w:t>分；</w:t>
            </w:r>
          </w:p>
          <w:p>
            <w:pPr>
              <w:outlineLvl w:val="4"/>
              <w:rPr>
                <w:rFonts w:ascii="宋体" w:hAnsi="宋体"/>
                <w:kern w:val="0"/>
              </w:rPr>
            </w:pPr>
            <w:r>
              <w:rPr>
                <w:rFonts w:ascii="宋体" w:hAnsi="宋体"/>
                <w:kern w:val="0"/>
              </w:rPr>
              <w:t>3</w:t>
            </w:r>
            <w:r>
              <w:rPr>
                <w:rFonts w:hint="eastAsia" w:ascii="宋体" w:hAnsi="宋体"/>
                <w:kern w:val="0"/>
              </w:rPr>
              <w:t>、参选人对等保</w:t>
            </w:r>
            <w:r>
              <w:rPr>
                <w:rFonts w:ascii="宋体" w:hAnsi="宋体"/>
                <w:kern w:val="0"/>
              </w:rPr>
              <w:t>测评</w:t>
            </w:r>
            <w:r>
              <w:rPr>
                <w:rFonts w:hint="eastAsia" w:ascii="宋体" w:hAnsi="宋体"/>
                <w:kern w:val="0"/>
              </w:rPr>
              <w:t>报告编写理解不太完整，不能完全满足采购需求，得</w:t>
            </w:r>
            <w:r>
              <w:rPr>
                <w:rFonts w:ascii="宋体" w:hAnsi="宋体"/>
                <w:kern w:val="0"/>
              </w:rPr>
              <w:t>2</w:t>
            </w:r>
            <w:r>
              <w:rPr>
                <w:rFonts w:hint="eastAsia" w:ascii="宋体" w:hAnsi="宋体"/>
                <w:kern w:val="0"/>
              </w:rPr>
              <w:t>分；</w:t>
            </w:r>
          </w:p>
          <w:p>
            <w:pPr>
              <w:widowControl/>
              <w:jc w:val="left"/>
              <w:rPr>
                <w:rFonts w:ascii="宋体" w:hAnsi="宋体" w:cs="宋体"/>
                <w:color w:val="000000"/>
                <w:szCs w:val="21"/>
              </w:rPr>
            </w:pPr>
            <w:r>
              <w:rPr>
                <w:rFonts w:ascii="宋体" w:hAnsi="宋体"/>
                <w:kern w:val="0"/>
              </w:rPr>
              <w:t>4</w:t>
            </w:r>
            <w:r>
              <w:rPr>
                <w:rFonts w:hint="eastAsia" w:ascii="宋体" w:hAnsi="宋体"/>
                <w:kern w:val="0"/>
              </w:rPr>
              <w:t>、未提供，得0分。</w:t>
            </w:r>
          </w:p>
        </w:tc>
        <w:tc>
          <w:tcPr>
            <w:tcW w:w="103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r>
              <w:rPr>
                <w:rFonts w:ascii="宋体" w:hAnsi="宋体" w:cs="宋体"/>
                <w:color w:val="000000"/>
                <w:szCs w:val="21"/>
              </w:rPr>
              <w:t>8</w:t>
            </w:r>
            <w:r>
              <w:rPr>
                <w:rFonts w:hint="eastAsia" w:ascii="宋体" w:hAnsi="宋体" w:cs="宋体"/>
                <w:color w:val="000000"/>
                <w:szCs w:val="21"/>
              </w:rPr>
              <w:t>分</w:t>
            </w:r>
          </w:p>
        </w:tc>
        <w:tc>
          <w:tcPr>
            <w:tcW w:w="80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p>
        </w:tc>
        <w:tc>
          <w:tcPr>
            <w:tcW w:w="80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p>
        </w:tc>
        <w:tc>
          <w:tcPr>
            <w:tcW w:w="80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p>
        </w:tc>
        <w:tc>
          <w:tcPr>
            <w:tcW w:w="80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p>
        </w:tc>
        <w:tc>
          <w:tcPr>
            <w:tcW w:w="8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p>
        </w:tc>
      </w:tr>
      <w:tr>
        <w:tblPrEx>
          <w:tblCellMar>
            <w:top w:w="0" w:type="dxa"/>
            <w:left w:w="108" w:type="dxa"/>
            <w:bottom w:w="0" w:type="dxa"/>
            <w:right w:w="108" w:type="dxa"/>
          </w:tblCellMar>
        </w:tblPrEx>
        <w:trPr>
          <w:trHeight w:val="705" w:hRule="atLeast"/>
          <w:jc w:val="center"/>
        </w:trPr>
        <w:tc>
          <w:tcPr>
            <w:tcW w:w="6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r>
              <w:rPr>
                <w:rFonts w:hint="eastAsia" w:ascii="宋体" w:hAnsi="宋体" w:cs="宋体"/>
                <w:color w:val="000000"/>
                <w:szCs w:val="21"/>
              </w:rPr>
              <w:t>(四)</w:t>
            </w:r>
          </w:p>
        </w:tc>
        <w:tc>
          <w:tcPr>
            <w:tcW w:w="88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r>
              <w:rPr>
                <w:rFonts w:hint="eastAsia" w:ascii="宋体" w:hAnsi="宋体"/>
                <w:kern w:val="0"/>
              </w:rPr>
              <w:t>保密管理机制配备方案</w:t>
            </w:r>
          </w:p>
        </w:tc>
        <w:tc>
          <w:tcPr>
            <w:tcW w:w="2410" w:type="dxa"/>
            <w:tcBorders>
              <w:top w:val="nil"/>
              <w:left w:val="single" w:color="auto" w:sz="4" w:space="0"/>
              <w:bottom w:val="single" w:color="000000" w:sz="4" w:space="0"/>
              <w:right w:val="single" w:color="auto" w:sz="4" w:space="0"/>
            </w:tcBorders>
            <w:vAlign w:val="center"/>
          </w:tcPr>
          <w:p>
            <w:pPr>
              <w:outlineLvl w:val="4"/>
              <w:rPr>
                <w:rFonts w:ascii="宋体" w:hAnsi="宋体"/>
                <w:kern w:val="0"/>
              </w:rPr>
            </w:pPr>
            <w:r>
              <w:rPr>
                <w:rFonts w:hint="eastAsia" w:ascii="宋体" w:hAnsi="宋体"/>
                <w:kern w:val="0"/>
              </w:rPr>
              <w:t xml:space="preserve">根据各参选人提供的对保密管理机制配备方案（含人员保密管理、文档保密管理、保密和非涉密计算机管理、保密计算机维修、更换、报废管理、保密移动存储介质管理、保密载体管理、保密载体销毁管理）等方案进行横向综合评比： </w:t>
            </w:r>
          </w:p>
          <w:p>
            <w:pPr>
              <w:outlineLvl w:val="4"/>
              <w:rPr>
                <w:rFonts w:ascii="宋体" w:hAnsi="宋体"/>
                <w:kern w:val="0"/>
              </w:rPr>
            </w:pPr>
            <w:r>
              <w:rPr>
                <w:rFonts w:hint="eastAsia" w:ascii="宋体" w:hAnsi="宋体"/>
                <w:kern w:val="0"/>
              </w:rPr>
              <w:t>1、保密管理机制配备方案具体、合理和到位的，完全满足并优于采购需求，得</w:t>
            </w:r>
            <w:r>
              <w:rPr>
                <w:rFonts w:ascii="宋体" w:hAnsi="宋体"/>
                <w:kern w:val="0"/>
              </w:rPr>
              <w:t>8</w:t>
            </w:r>
            <w:r>
              <w:rPr>
                <w:rFonts w:hint="eastAsia" w:ascii="宋体" w:hAnsi="宋体"/>
                <w:kern w:val="0"/>
              </w:rPr>
              <w:t>分；</w:t>
            </w:r>
          </w:p>
          <w:p>
            <w:pPr>
              <w:outlineLvl w:val="4"/>
              <w:rPr>
                <w:rFonts w:ascii="宋体" w:hAnsi="宋体"/>
                <w:kern w:val="0"/>
              </w:rPr>
            </w:pPr>
            <w:r>
              <w:rPr>
                <w:rFonts w:ascii="宋体" w:hAnsi="宋体"/>
                <w:kern w:val="0"/>
              </w:rPr>
              <w:t>2</w:t>
            </w:r>
            <w:r>
              <w:rPr>
                <w:rFonts w:hint="eastAsia" w:ascii="宋体" w:hAnsi="宋体"/>
                <w:kern w:val="0"/>
              </w:rPr>
              <w:t>、保密管理机制配备方案较具体合理，完全满足采购需求，得</w:t>
            </w:r>
            <w:r>
              <w:rPr>
                <w:rFonts w:ascii="宋体" w:hAnsi="宋体"/>
                <w:kern w:val="0"/>
              </w:rPr>
              <w:t>4</w:t>
            </w:r>
            <w:r>
              <w:rPr>
                <w:rFonts w:hint="eastAsia" w:ascii="宋体" w:hAnsi="宋体"/>
                <w:kern w:val="0"/>
              </w:rPr>
              <w:t>分；</w:t>
            </w:r>
          </w:p>
          <w:p>
            <w:pPr>
              <w:outlineLvl w:val="4"/>
              <w:rPr>
                <w:rFonts w:ascii="宋体" w:hAnsi="宋体"/>
                <w:kern w:val="0"/>
              </w:rPr>
            </w:pPr>
            <w:r>
              <w:rPr>
                <w:rFonts w:ascii="宋体" w:hAnsi="宋体"/>
                <w:kern w:val="0"/>
              </w:rPr>
              <w:t>3</w:t>
            </w:r>
            <w:r>
              <w:rPr>
                <w:rFonts w:hint="eastAsia" w:ascii="宋体" w:hAnsi="宋体"/>
                <w:kern w:val="0"/>
              </w:rPr>
              <w:t>、保密管理机制配备方案不够具体合理，不能完全满足采购需求，得</w:t>
            </w:r>
            <w:r>
              <w:rPr>
                <w:rFonts w:ascii="宋体" w:hAnsi="宋体"/>
                <w:kern w:val="0"/>
              </w:rPr>
              <w:t>2</w:t>
            </w:r>
            <w:r>
              <w:rPr>
                <w:rFonts w:hint="eastAsia" w:ascii="宋体" w:hAnsi="宋体"/>
                <w:kern w:val="0"/>
              </w:rPr>
              <w:t>分；</w:t>
            </w:r>
          </w:p>
          <w:p>
            <w:pPr>
              <w:widowControl/>
              <w:jc w:val="left"/>
              <w:rPr>
                <w:rFonts w:ascii="宋体" w:hAnsi="宋体" w:cs="宋体"/>
                <w:color w:val="000000"/>
                <w:szCs w:val="21"/>
              </w:rPr>
            </w:pPr>
            <w:r>
              <w:rPr>
                <w:rFonts w:ascii="宋体" w:hAnsi="宋体"/>
                <w:kern w:val="0"/>
              </w:rPr>
              <w:t>4</w:t>
            </w:r>
            <w:r>
              <w:rPr>
                <w:rFonts w:hint="eastAsia" w:ascii="宋体" w:hAnsi="宋体"/>
                <w:kern w:val="0"/>
              </w:rPr>
              <w:t>、未提供，得0分。</w:t>
            </w:r>
          </w:p>
        </w:tc>
        <w:tc>
          <w:tcPr>
            <w:tcW w:w="103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r>
              <w:rPr>
                <w:rFonts w:hint="eastAsia" w:ascii="宋体" w:hAnsi="宋体" w:cs="宋体"/>
                <w:color w:val="000000"/>
                <w:szCs w:val="21"/>
              </w:rPr>
              <w:t>8分</w:t>
            </w:r>
          </w:p>
        </w:tc>
        <w:tc>
          <w:tcPr>
            <w:tcW w:w="80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p>
        </w:tc>
        <w:tc>
          <w:tcPr>
            <w:tcW w:w="80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p>
        </w:tc>
        <w:tc>
          <w:tcPr>
            <w:tcW w:w="80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p>
        </w:tc>
        <w:tc>
          <w:tcPr>
            <w:tcW w:w="80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p>
        </w:tc>
        <w:tc>
          <w:tcPr>
            <w:tcW w:w="8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p>
        </w:tc>
      </w:tr>
      <w:tr>
        <w:tblPrEx>
          <w:tblCellMar>
            <w:top w:w="0" w:type="dxa"/>
            <w:left w:w="108" w:type="dxa"/>
            <w:bottom w:w="0" w:type="dxa"/>
            <w:right w:w="108" w:type="dxa"/>
          </w:tblCellMar>
        </w:tblPrEx>
        <w:trPr>
          <w:trHeight w:val="1511" w:hRule="atLeast"/>
          <w:jc w:val="center"/>
        </w:trPr>
        <w:tc>
          <w:tcPr>
            <w:tcW w:w="6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r>
              <w:rPr>
                <w:rFonts w:hint="eastAsia" w:ascii="宋体" w:hAnsi="宋体" w:cs="宋体"/>
                <w:color w:val="000000"/>
                <w:szCs w:val="21"/>
              </w:rPr>
              <w:t>(五)</w:t>
            </w:r>
          </w:p>
        </w:tc>
        <w:tc>
          <w:tcPr>
            <w:tcW w:w="88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r>
              <w:rPr>
                <w:rFonts w:hint="eastAsia" w:ascii="宋体" w:hAnsi="宋体"/>
                <w:kern w:val="0"/>
              </w:rPr>
              <w:t>等保</w:t>
            </w:r>
            <w:r>
              <w:rPr>
                <w:rFonts w:ascii="宋体" w:hAnsi="宋体"/>
                <w:kern w:val="0"/>
              </w:rPr>
              <w:t>测评服务质量控制方案</w:t>
            </w:r>
          </w:p>
        </w:tc>
        <w:tc>
          <w:tcPr>
            <w:tcW w:w="2410" w:type="dxa"/>
            <w:tcBorders>
              <w:top w:val="nil"/>
              <w:left w:val="single" w:color="auto" w:sz="4" w:space="0"/>
              <w:bottom w:val="single" w:color="000000" w:sz="4" w:space="0"/>
              <w:right w:val="single" w:color="auto" w:sz="4" w:space="0"/>
            </w:tcBorders>
            <w:vAlign w:val="center"/>
          </w:tcPr>
          <w:p>
            <w:pPr>
              <w:outlineLvl w:val="4"/>
              <w:rPr>
                <w:rFonts w:ascii="宋体" w:hAnsi="宋体"/>
                <w:kern w:val="0"/>
              </w:rPr>
            </w:pPr>
            <w:r>
              <w:rPr>
                <w:rFonts w:hint="eastAsia" w:ascii="宋体" w:hAnsi="宋体"/>
                <w:kern w:val="0"/>
              </w:rPr>
              <w:t>根据参选人提供的对等保</w:t>
            </w:r>
            <w:r>
              <w:rPr>
                <w:rFonts w:ascii="宋体" w:hAnsi="宋体"/>
                <w:kern w:val="0"/>
              </w:rPr>
              <w:t>测评服务质量控制方案</w:t>
            </w:r>
            <w:r>
              <w:rPr>
                <w:rFonts w:hint="eastAsia" w:ascii="宋体" w:hAnsi="宋体"/>
                <w:kern w:val="0"/>
              </w:rPr>
              <w:t>的理解是否完整、准确、深入（包括但不限于信息化项目建设过程中的过程阶段划分方法、各阶段管理方式理解、项目建设跟踪管理、项目效益分析、项目绩效管理、项目资金管理、项目质量管理、项目风险管理等）对项目管理测评的工作中可能涉及到的各类方案、报告进行归纳总结，给出模板范例进行评审：</w:t>
            </w:r>
          </w:p>
          <w:p>
            <w:pPr>
              <w:outlineLvl w:val="4"/>
              <w:rPr>
                <w:rFonts w:ascii="宋体" w:hAnsi="宋体"/>
                <w:kern w:val="0"/>
              </w:rPr>
            </w:pPr>
            <w:r>
              <w:rPr>
                <w:rFonts w:hint="eastAsia" w:ascii="宋体" w:hAnsi="宋体"/>
                <w:kern w:val="0"/>
              </w:rPr>
              <w:t>1、方案非常具体合理、可行性、详细、可操作性非常强的，得</w:t>
            </w:r>
            <w:r>
              <w:rPr>
                <w:rFonts w:ascii="宋体" w:hAnsi="宋体"/>
                <w:kern w:val="0"/>
              </w:rPr>
              <w:t>8</w:t>
            </w:r>
            <w:r>
              <w:rPr>
                <w:rFonts w:hint="eastAsia" w:ascii="宋体" w:hAnsi="宋体"/>
                <w:kern w:val="0"/>
              </w:rPr>
              <w:t>分；</w:t>
            </w:r>
          </w:p>
          <w:p>
            <w:pPr>
              <w:outlineLvl w:val="4"/>
              <w:rPr>
                <w:rFonts w:ascii="宋体" w:hAnsi="宋体"/>
                <w:kern w:val="0"/>
              </w:rPr>
            </w:pPr>
            <w:r>
              <w:rPr>
                <w:rFonts w:hint="eastAsia" w:ascii="宋体" w:hAnsi="宋体"/>
                <w:kern w:val="0"/>
              </w:rPr>
              <w:t>2、方案具体合理、可行性、详细、可操作性强的，得</w:t>
            </w:r>
            <w:r>
              <w:rPr>
                <w:rFonts w:ascii="宋体" w:hAnsi="宋体"/>
                <w:kern w:val="0"/>
              </w:rPr>
              <w:t>4</w:t>
            </w:r>
            <w:r>
              <w:rPr>
                <w:rFonts w:hint="eastAsia" w:ascii="宋体" w:hAnsi="宋体"/>
                <w:kern w:val="0"/>
              </w:rPr>
              <w:t>分；</w:t>
            </w:r>
          </w:p>
          <w:p>
            <w:pPr>
              <w:outlineLvl w:val="4"/>
              <w:rPr>
                <w:rFonts w:ascii="宋体" w:hAnsi="宋体"/>
                <w:kern w:val="0"/>
              </w:rPr>
            </w:pPr>
            <w:r>
              <w:rPr>
                <w:rFonts w:hint="eastAsia" w:ascii="宋体" w:hAnsi="宋体"/>
                <w:kern w:val="0"/>
              </w:rPr>
              <w:t>3、方案基本合理、可行性、详细、可操作性较强的，得</w:t>
            </w:r>
            <w:r>
              <w:rPr>
                <w:rFonts w:ascii="宋体" w:hAnsi="宋体"/>
                <w:kern w:val="0"/>
              </w:rPr>
              <w:t>2</w:t>
            </w:r>
            <w:r>
              <w:rPr>
                <w:rFonts w:hint="eastAsia" w:ascii="宋体" w:hAnsi="宋体"/>
                <w:kern w:val="0"/>
              </w:rPr>
              <w:t>分；</w:t>
            </w:r>
          </w:p>
          <w:p>
            <w:pPr>
              <w:widowControl/>
              <w:jc w:val="left"/>
              <w:rPr>
                <w:rFonts w:ascii="宋体" w:hAnsi="宋体" w:cs="宋体"/>
                <w:color w:val="000000"/>
                <w:szCs w:val="21"/>
              </w:rPr>
            </w:pPr>
            <w:r>
              <w:rPr>
                <w:rFonts w:hint="eastAsia" w:ascii="宋体" w:hAnsi="宋体"/>
                <w:kern w:val="0"/>
              </w:rPr>
              <w:t>4、</w:t>
            </w:r>
            <w:r>
              <w:rPr>
                <w:rFonts w:ascii="宋体" w:hAnsi="宋体"/>
                <w:kern w:val="0"/>
              </w:rPr>
              <w:t>不提供或其他情况</w:t>
            </w:r>
            <w:r>
              <w:rPr>
                <w:rFonts w:hint="eastAsia" w:ascii="宋体" w:hAnsi="宋体"/>
                <w:kern w:val="0"/>
              </w:rPr>
              <w:t>，</w:t>
            </w:r>
            <w:r>
              <w:rPr>
                <w:rFonts w:ascii="宋体" w:hAnsi="宋体"/>
                <w:kern w:val="0"/>
              </w:rPr>
              <w:t>得0分。</w:t>
            </w:r>
          </w:p>
        </w:tc>
        <w:tc>
          <w:tcPr>
            <w:tcW w:w="103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r>
              <w:rPr>
                <w:rFonts w:ascii="宋体" w:hAnsi="宋体" w:cs="宋体"/>
                <w:color w:val="000000"/>
                <w:szCs w:val="21"/>
              </w:rPr>
              <w:t>8</w:t>
            </w:r>
            <w:r>
              <w:rPr>
                <w:rFonts w:hint="eastAsia" w:ascii="宋体" w:hAnsi="宋体" w:cs="宋体"/>
                <w:color w:val="000000"/>
                <w:szCs w:val="21"/>
              </w:rPr>
              <w:t>分</w:t>
            </w:r>
          </w:p>
        </w:tc>
        <w:tc>
          <w:tcPr>
            <w:tcW w:w="80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p>
        </w:tc>
        <w:tc>
          <w:tcPr>
            <w:tcW w:w="80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p>
        </w:tc>
        <w:tc>
          <w:tcPr>
            <w:tcW w:w="80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p>
        </w:tc>
        <w:tc>
          <w:tcPr>
            <w:tcW w:w="80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p>
        </w:tc>
        <w:tc>
          <w:tcPr>
            <w:tcW w:w="8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p>
        </w:tc>
      </w:tr>
      <w:tr>
        <w:tblPrEx>
          <w:tblCellMar>
            <w:top w:w="0" w:type="dxa"/>
            <w:left w:w="108" w:type="dxa"/>
            <w:bottom w:w="0" w:type="dxa"/>
            <w:right w:w="108" w:type="dxa"/>
          </w:tblCellMar>
        </w:tblPrEx>
        <w:trPr>
          <w:trHeight w:val="311" w:hRule="atLeast"/>
          <w:jc w:val="center"/>
        </w:trPr>
        <w:tc>
          <w:tcPr>
            <w:tcW w:w="6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r>
              <w:rPr>
                <w:rFonts w:hint="eastAsia" w:ascii="宋体" w:hAnsi="宋体" w:cs="宋体"/>
                <w:color w:val="000000"/>
                <w:szCs w:val="21"/>
              </w:rPr>
              <w:t>(六)</w:t>
            </w:r>
          </w:p>
        </w:tc>
        <w:tc>
          <w:tcPr>
            <w:tcW w:w="88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r>
              <w:rPr>
                <w:rFonts w:hint="eastAsia" w:ascii="宋体" w:hAnsi="宋体"/>
                <w:kern w:val="0"/>
              </w:rPr>
              <w:t>等保</w:t>
            </w:r>
            <w:r>
              <w:rPr>
                <w:rFonts w:ascii="宋体" w:hAnsi="宋体"/>
                <w:kern w:val="0"/>
              </w:rPr>
              <w:t>测评</w:t>
            </w:r>
            <w:r>
              <w:rPr>
                <w:rFonts w:hint="eastAsia" w:ascii="宋体" w:hAnsi="宋体"/>
                <w:kern w:val="0"/>
              </w:rPr>
              <w:t>工具的配备方案</w:t>
            </w:r>
          </w:p>
        </w:tc>
        <w:tc>
          <w:tcPr>
            <w:tcW w:w="2410" w:type="dxa"/>
            <w:tcBorders>
              <w:top w:val="nil"/>
              <w:left w:val="single" w:color="auto" w:sz="4" w:space="0"/>
              <w:bottom w:val="single" w:color="000000" w:sz="4" w:space="0"/>
              <w:right w:val="single" w:color="auto" w:sz="4" w:space="0"/>
            </w:tcBorders>
            <w:vAlign w:val="center"/>
          </w:tcPr>
          <w:p>
            <w:pPr>
              <w:outlineLvl w:val="4"/>
              <w:rPr>
                <w:rFonts w:ascii="宋体" w:hAnsi="宋体"/>
                <w:kern w:val="0"/>
              </w:rPr>
            </w:pPr>
            <w:r>
              <w:rPr>
                <w:rFonts w:hint="eastAsia" w:ascii="宋体" w:hAnsi="宋体"/>
                <w:kern w:val="0"/>
              </w:rPr>
              <w:t xml:space="preserve">根据参选人提供的安全测试工具阐述情况进行评审： </w:t>
            </w:r>
          </w:p>
          <w:p>
            <w:pPr>
              <w:outlineLvl w:val="4"/>
              <w:rPr>
                <w:rFonts w:ascii="宋体" w:hAnsi="宋体"/>
                <w:kern w:val="0"/>
              </w:rPr>
            </w:pPr>
            <w:r>
              <w:rPr>
                <w:rFonts w:hint="eastAsia" w:ascii="宋体" w:hAnsi="宋体"/>
                <w:kern w:val="0"/>
              </w:rPr>
              <w:t>（包括：智能渗透攻击技术、AI质量控制技术、系统性能测试中间件技术等）进行横向综合评比：</w:t>
            </w:r>
          </w:p>
          <w:p>
            <w:pPr>
              <w:outlineLvl w:val="4"/>
              <w:rPr>
                <w:rFonts w:ascii="宋体" w:hAnsi="宋体"/>
                <w:kern w:val="0"/>
              </w:rPr>
            </w:pPr>
            <w:r>
              <w:rPr>
                <w:rFonts w:hint="eastAsia" w:ascii="宋体" w:hAnsi="宋体"/>
                <w:kern w:val="0"/>
              </w:rPr>
              <w:t>1、参选人整体测试工具方案完整具体、合理和到位的，完全满足并优于采购需求，得</w:t>
            </w:r>
            <w:r>
              <w:rPr>
                <w:rFonts w:ascii="宋体" w:hAnsi="宋体"/>
                <w:kern w:val="0"/>
              </w:rPr>
              <w:t>8</w:t>
            </w:r>
            <w:r>
              <w:rPr>
                <w:rFonts w:hint="eastAsia" w:ascii="宋体" w:hAnsi="宋体"/>
                <w:kern w:val="0"/>
              </w:rPr>
              <w:t>分；</w:t>
            </w:r>
          </w:p>
          <w:p>
            <w:pPr>
              <w:outlineLvl w:val="4"/>
              <w:rPr>
                <w:rFonts w:ascii="宋体" w:hAnsi="宋体"/>
                <w:kern w:val="0"/>
              </w:rPr>
            </w:pPr>
            <w:r>
              <w:rPr>
                <w:rFonts w:ascii="宋体" w:hAnsi="宋体"/>
                <w:kern w:val="0"/>
              </w:rPr>
              <w:t>2</w:t>
            </w:r>
            <w:r>
              <w:rPr>
                <w:rFonts w:hint="eastAsia" w:ascii="宋体" w:hAnsi="宋体"/>
                <w:kern w:val="0"/>
              </w:rPr>
              <w:t>、参选人整体测试工具方案较具体合理，完全满足采购需求，得</w:t>
            </w:r>
            <w:r>
              <w:rPr>
                <w:rFonts w:ascii="宋体" w:hAnsi="宋体"/>
                <w:kern w:val="0"/>
              </w:rPr>
              <w:t>4</w:t>
            </w:r>
            <w:r>
              <w:rPr>
                <w:rFonts w:hint="eastAsia" w:ascii="宋体" w:hAnsi="宋体"/>
                <w:kern w:val="0"/>
              </w:rPr>
              <w:t>分；</w:t>
            </w:r>
          </w:p>
          <w:p>
            <w:pPr>
              <w:outlineLvl w:val="4"/>
              <w:rPr>
                <w:rFonts w:ascii="宋体" w:hAnsi="宋体"/>
                <w:kern w:val="0"/>
              </w:rPr>
            </w:pPr>
            <w:r>
              <w:rPr>
                <w:rFonts w:ascii="宋体" w:hAnsi="宋体"/>
                <w:kern w:val="0"/>
              </w:rPr>
              <w:t>3</w:t>
            </w:r>
            <w:r>
              <w:rPr>
                <w:rFonts w:hint="eastAsia" w:ascii="宋体" w:hAnsi="宋体"/>
                <w:kern w:val="0"/>
              </w:rPr>
              <w:t>、参选人整体测试工具方案不够具体合理，不能完全满足采购需求，得</w:t>
            </w:r>
            <w:r>
              <w:rPr>
                <w:rFonts w:ascii="宋体" w:hAnsi="宋体"/>
                <w:kern w:val="0"/>
              </w:rPr>
              <w:t>2</w:t>
            </w:r>
            <w:r>
              <w:rPr>
                <w:rFonts w:hint="eastAsia" w:ascii="宋体" w:hAnsi="宋体"/>
                <w:kern w:val="0"/>
              </w:rPr>
              <w:t>分；</w:t>
            </w:r>
          </w:p>
          <w:p>
            <w:pPr>
              <w:widowControl/>
              <w:jc w:val="left"/>
              <w:rPr>
                <w:rFonts w:ascii="宋体" w:hAnsi="宋体" w:cs="宋体"/>
                <w:color w:val="000000"/>
                <w:szCs w:val="21"/>
              </w:rPr>
            </w:pPr>
            <w:r>
              <w:rPr>
                <w:rFonts w:ascii="宋体" w:hAnsi="宋体"/>
                <w:kern w:val="0"/>
              </w:rPr>
              <w:t>4</w:t>
            </w:r>
            <w:r>
              <w:rPr>
                <w:rFonts w:hint="eastAsia" w:ascii="宋体" w:hAnsi="宋体"/>
                <w:kern w:val="0"/>
              </w:rPr>
              <w:t>、参选人未提供，得0分。</w:t>
            </w:r>
          </w:p>
        </w:tc>
        <w:tc>
          <w:tcPr>
            <w:tcW w:w="103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r>
              <w:rPr>
                <w:rFonts w:ascii="宋体" w:hAnsi="宋体" w:cs="宋体"/>
                <w:color w:val="000000"/>
                <w:szCs w:val="21"/>
              </w:rPr>
              <w:t>8</w:t>
            </w:r>
            <w:r>
              <w:rPr>
                <w:rFonts w:hint="eastAsia" w:ascii="宋体" w:hAnsi="宋体" w:cs="宋体"/>
                <w:color w:val="000000"/>
                <w:szCs w:val="21"/>
              </w:rPr>
              <w:t>分</w:t>
            </w:r>
          </w:p>
        </w:tc>
        <w:tc>
          <w:tcPr>
            <w:tcW w:w="80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p>
        </w:tc>
        <w:tc>
          <w:tcPr>
            <w:tcW w:w="80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p>
        </w:tc>
        <w:tc>
          <w:tcPr>
            <w:tcW w:w="80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p>
        </w:tc>
        <w:tc>
          <w:tcPr>
            <w:tcW w:w="80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p>
        </w:tc>
        <w:tc>
          <w:tcPr>
            <w:tcW w:w="8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p>
        </w:tc>
      </w:tr>
    </w:tbl>
    <w:p>
      <w:pPr>
        <w:pStyle w:val="3"/>
        <w:ind w:firstLine="0"/>
        <w:jc w:val="center"/>
        <w:rPr>
          <w:rFonts w:ascii="黑体" w:hAnsi="黑体" w:eastAsia="黑体" w:cs="黑体"/>
          <w:sz w:val="28"/>
          <w:szCs w:val="28"/>
        </w:rPr>
      </w:pPr>
      <w:r>
        <w:rPr>
          <w:rFonts w:ascii="黑体" w:hAnsi="黑体" w:eastAsia="黑体" w:cs="黑体"/>
          <w:sz w:val="28"/>
          <w:szCs w:val="28"/>
        </w:rPr>
        <w:br w:type="page"/>
      </w:r>
      <w:r>
        <w:rPr>
          <w:rFonts w:ascii="黑体" w:hAnsi="黑体" w:eastAsia="黑体" w:cs="黑体"/>
          <w:sz w:val="28"/>
          <w:szCs w:val="28"/>
        </w:rPr>
        <w:t>商务评分</w:t>
      </w:r>
      <w:r>
        <w:rPr>
          <w:rFonts w:hint="eastAsia" w:ascii="黑体" w:hAnsi="黑体" w:eastAsia="黑体" w:cs="黑体"/>
          <w:sz w:val="28"/>
          <w:szCs w:val="28"/>
        </w:rPr>
        <w:t>表</w:t>
      </w:r>
    </w:p>
    <w:tbl>
      <w:tblPr>
        <w:tblStyle w:val="32"/>
        <w:tblW w:w="8946" w:type="dxa"/>
        <w:jc w:val="center"/>
        <w:tblLayout w:type="fixed"/>
        <w:tblCellMar>
          <w:top w:w="0" w:type="dxa"/>
          <w:left w:w="108" w:type="dxa"/>
          <w:bottom w:w="0" w:type="dxa"/>
          <w:right w:w="108" w:type="dxa"/>
        </w:tblCellMar>
      </w:tblPr>
      <w:tblGrid>
        <w:gridCol w:w="681"/>
        <w:gridCol w:w="873"/>
        <w:gridCol w:w="3175"/>
        <w:gridCol w:w="985"/>
        <w:gridCol w:w="646"/>
        <w:gridCol w:w="646"/>
        <w:gridCol w:w="646"/>
        <w:gridCol w:w="646"/>
        <w:gridCol w:w="648"/>
      </w:tblGrid>
      <w:tr>
        <w:tblPrEx>
          <w:tblCellMar>
            <w:top w:w="0" w:type="dxa"/>
            <w:left w:w="108" w:type="dxa"/>
            <w:bottom w:w="0" w:type="dxa"/>
            <w:right w:w="108" w:type="dxa"/>
          </w:tblCellMar>
        </w:tblPrEx>
        <w:trPr>
          <w:trHeight w:val="232" w:hRule="exact"/>
          <w:jc w:val="center"/>
        </w:trPr>
        <w:tc>
          <w:tcPr>
            <w:tcW w:w="8946" w:type="dxa"/>
            <w:gridSpan w:val="9"/>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color w:val="000000"/>
                <w:sz w:val="24"/>
              </w:rPr>
            </w:pPr>
          </w:p>
          <w:p>
            <w:pPr>
              <w:widowControl/>
              <w:jc w:val="center"/>
              <w:rPr>
                <w:rFonts w:ascii="宋体" w:hAnsi="宋体" w:cs="宋体"/>
                <w:b/>
                <w:bCs/>
                <w:color w:val="000000"/>
                <w:sz w:val="24"/>
              </w:rPr>
            </w:pPr>
            <w:r>
              <w:rPr>
                <w:rFonts w:hint="eastAsia" w:ascii="宋体" w:hAnsi="宋体" w:cs="宋体"/>
                <w:b/>
                <w:bCs/>
                <w:color w:val="000000"/>
                <w:sz w:val="24"/>
              </w:rPr>
              <w:t>商务部分（合计</w:t>
            </w:r>
            <w:r>
              <w:rPr>
                <w:rFonts w:ascii="宋体" w:hAnsi="宋体" w:cs="宋体"/>
                <w:b/>
                <w:bCs/>
                <w:color w:val="000000"/>
                <w:sz w:val="24"/>
              </w:rPr>
              <w:t>4</w:t>
            </w:r>
            <w:r>
              <w:rPr>
                <w:rFonts w:hint="eastAsia" w:ascii="宋体" w:hAnsi="宋体" w:cs="宋体"/>
                <w:b/>
                <w:bCs/>
                <w:color w:val="000000"/>
                <w:sz w:val="24"/>
              </w:rPr>
              <w:t>0分）</w:t>
            </w:r>
          </w:p>
        </w:tc>
      </w:tr>
      <w:tr>
        <w:tblPrEx>
          <w:tblCellMar>
            <w:top w:w="0" w:type="dxa"/>
            <w:left w:w="108" w:type="dxa"/>
            <w:bottom w:w="0" w:type="dxa"/>
            <w:right w:w="108" w:type="dxa"/>
          </w:tblCellMar>
        </w:tblPrEx>
        <w:trPr>
          <w:trHeight w:val="440" w:hRule="exact"/>
          <w:jc w:val="center"/>
        </w:trPr>
        <w:tc>
          <w:tcPr>
            <w:tcW w:w="681" w:type="dxa"/>
            <w:tcBorders>
              <w:top w:val="nil"/>
              <w:left w:val="single" w:color="auto" w:sz="4" w:space="0"/>
              <w:bottom w:val="single" w:color="auto" w:sz="4" w:space="0"/>
              <w:right w:val="single" w:color="auto" w:sz="4" w:space="0"/>
            </w:tcBorders>
            <w:shd w:val="clear" w:color="auto" w:fill="D7D7D7"/>
            <w:vAlign w:val="center"/>
          </w:tcPr>
          <w:p>
            <w:pPr>
              <w:widowControl/>
              <w:jc w:val="center"/>
              <w:rPr>
                <w:rFonts w:ascii="黑体" w:hAnsi="黑体" w:eastAsia="黑体" w:cs="黑体"/>
                <w:color w:val="000000"/>
                <w:szCs w:val="21"/>
              </w:rPr>
            </w:pPr>
            <w:r>
              <w:rPr>
                <w:rFonts w:hint="eastAsia" w:ascii="黑体" w:hAnsi="黑体" w:eastAsia="黑体" w:cs="黑体"/>
                <w:color w:val="000000"/>
                <w:szCs w:val="21"/>
              </w:rPr>
              <w:t>序号</w:t>
            </w:r>
          </w:p>
        </w:tc>
        <w:tc>
          <w:tcPr>
            <w:tcW w:w="873" w:type="dxa"/>
            <w:tcBorders>
              <w:top w:val="nil"/>
              <w:left w:val="single" w:color="auto" w:sz="4" w:space="0"/>
              <w:bottom w:val="single" w:color="auto" w:sz="4" w:space="0"/>
              <w:right w:val="single" w:color="auto" w:sz="4" w:space="0"/>
            </w:tcBorders>
            <w:shd w:val="clear" w:color="auto" w:fill="D7D7D7"/>
            <w:vAlign w:val="center"/>
          </w:tcPr>
          <w:p>
            <w:pPr>
              <w:widowControl/>
              <w:jc w:val="center"/>
              <w:rPr>
                <w:rFonts w:ascii="黑体" w:hAnsi="黑体" w:eastAsia="黑体" w:cs="黑体"/>
                <w:color w:val="000000"/>
                <w:szCs w:val="21"/>
              </w:rPr>
            </w:pPr>
            <w:r>
              <w:rPr>
                <w:rFonts w:hint="eastAsia" w:ascii="黑体" w:hAnsi="黑体" w:eastAsia="黑体" w:cs="黑体"/>
                <w:color w:val="000000"/>
                <w:szCs w:val="21"/>
              </w:rPr>
              <w:t>项目</w:t>
            </w:r>
          </w:p>
        </w:tc>
        <w:tc>
          <w:tcPr>
            <w:tcW w:w="3175" w:type="dxa"/>
            <w:tcBorders>
              <w:top w:val="nil"/>
              <w:left w:val="single" w:color="auto" w:sz="4" w:space="0"/>
              <w:bottom w:val="single" w:color="000000" w:sz="4" w:space="0"/>
              <w:right w:val="single" w:color="auto" w:sz="4" w:space="0"/>
            </w:tcBorders>
            <w:shd w:val="clear" w:color="auto" w:fill="D7D7D7"/>
            <w:vAlign w:val="center"/>
          </w:tcPr>
          <w:p>
            <w:pPr>
              <w:widowControl/>
              <w:jc w:val="center"/>
              <w:rPr>
                <w:rFonts w:ascii="黑体" w:hAnsi="黑体" w:eastAsia="黑体" w:cs="黑体"/>
                <w:color w:val="000000"/>
                <w:szCs w:val="21"/>
              </w:rPr>
            </w:pPr>
            <w:r>
              <w:rPr>
                <w:rFonts w:hint="eastAsia" w:ascii="黑体" w:hAnsi="黑体" w:eastAsia="黑体" w:cs="黑体"/>
                <w:color w:val="000000"/>
                <w:szCs w:val="21"/>
              </w:rPr>
              <w:t>内容</w:t>
            </w:r>
          </w:p>
        </w:tc>
        <w:tc>
          <w:tcPr>
            <w:tcW w:w="985" w:type="dxa"/>
            <w:tcBorders>
              <w:top w:val="single" w:color="auto" w:sz="4" w:space="0"/>
              <w:left w:val="single" w:color="auto" w:sz="4" w:space="0"/>
              <w:bottom w:val="single" w:color="auto" w:sz="4" w:space="0"/>
              <w:right w:val="single" w:color="auto" w:sz="4" w:space="0"/>
            </w:tcBorders>
            <w:shd w:val="clear" w:color="auto" w:fill="D7D7D7"/>
            <w:vAlign w:val="center"/>
          </w:tcPr>
          <w:p>
            <w:pPr>
              <w:widowControl/>
              <w:jc w:val="center"/>
              <w:rPr>
                <w:rFonts w:ascii="黑体" w:hAnsi="黑体" w:eastAsia="黑体" w:cs="黑体"/>
                <w:color w:val="000000"/>
                <w:szCs w:val="21"/>
              </w:rPr>
            </w:pPr>
            <w:r>
              <w:rPr>
                <w:rFonts w:hint="eastAsia" w:ascii="黑体" w:hAnsi="黑体" w:eastAsia="黑体" w:cs="黑体"/>
                <w:color w:val="000000"/>
                <w:szCs w:val="21"/>
              </w:rPr>
              <w:t>分值</w:t>
            </w:r>
          </w:p>
        </w:tc>
        <w:tc>
          <w:tcPr>
            <w:tcW w:w="646" w:type="dxa"/>
            <w:tcBorders>
              <w:top w:val="single" w:color="auto" w:sz="4" w:space="0"/>
              <w:left w:val="single" w:color="auto" w:sz="4" w:space="0"/>
              <w:bottom w:val="single" w:color="auto" w:sz="4" w:space="0"/>
              <w:right w:val="single" w:color="auto" w:sz="4" w:space="0"/>
            </w:tcBorders>
            <w:shd w:val="clear" w:color="auto" w:fill="D7D7D7"/>
            <w:vAlign w:val="center"/>
          </w:tcPr>
          <w:p>
            <w:pPr>
              <w:pStyle w:val="93"/>
              <w:spacing w:before="133" w:line="276" w:lineRule="auto"/>
              <w:ind w:right="2"/>
              <w:jc w:val="center"/>
              <w:rPr>
                <w:rFonts w:ascii="黑体" w:hAnsi="黑体" w:eastAsia="黑体" w:cs="黑体"/>
                <w:color w:val="000000"/>
                <w:szCs w:val="21"/>
              </w:rPr>
            </w:pPr>
            <w:r>
              <w:rPr>
                <w:rFonts w:hint="eastAsia" w:ascii="黑体" w:hAnsi="黑体" w:eastAsia="黑体" w:cs="黑体"/>
                <w:szCs w:val="21"/>
              </w:rPr>
              <w:t>供应商 1</w:t>
            </w:r>
          </w:p>
        </w:tc>
        <w:tc>
          <w:tcPr>
            <w:tcW w:w="646" w:type="dxa"/>
            <w:tcBorders>
              <w:top w:val="single" w:color="auto" w:sz="4" w:space="0"/>
              <w:left w:val="single" w:color="auto" w:sz="4" w:space="0"/>
              <w:bottom w:val="single" w:color="auto" w:sz="4" w:space="0"/>
              <w:right w:val="single" w:color="auto" w:sz="4" w:space="0"/>
            </w:tcBorders>
            <w:shd w:val="clear" w:color="auto" w:fill="D7D7D7"/>
            <w:vAlign w:val="center"/>
          </w:tcPr>
          <w:p>
            <w:pPr>
              <w:pStyle w:val="93"/>
              <w:spacing w:before="133" w:line="276" w:lineRule="auto"/>
              <w:ind w:right="2"/>
              <w:jc w:val="center"/>
              <w:rPr>
                <w:rFonts w:ascii="黑体" w:hAnsi="黑体" w:eastAsia="黑体" w:cs="黑体"/>
                <w:color w:val="000000"/>
                <w:szCs w:val="21"/>
              </w:rPr>
            </w:pPr>
            <w:r>
              <w:rPr>
                <w:rFonts w:hint="eastAsia" w:ascii="黑体" w:hAnsi="黑体" w:eastAsia="黑体" w:cs="黑体"/>
                <w:szCs w:val="21"/>
              </w:rPr>
              <w:t>供应商 2</w:t>
            </w:r>
          </w:p>
        </w:tc>
        <w:tc>
          <w:tcPr>
            <w:tcW w:w="646" w:type="dxa"/>
            <w:tcBorders>
              <w:top w:val="single" w:color="auto" w:sz="4" w:space="0"/>
              <w:left w:val="single" w:color="auto" w:sz="4" w:space="0"/>
              <w:bottom w:val="single" w:color="auto" w:sz="4" w:space="0"/>
              <w:right w:val="single" w:color="auto" w:sz="4" w:space="0"/>
            </w:tcBorders>
            <w:shd w:val="clear" w:color="auto" w:fill="D7D7D7"/>
            <w:vAlign w:val="center"/>
          </w:tcPr>
          <w:p>
            <w:pPr>
              <w:pStyle w:val="93"/>
              <w:spacing w:before="133" w:line="276" w:lineRule="auto"/>
              <w:ind w:right="2"/>
              <w:jc w:val="center"/>
              <w:rPr>
                <w:rFonts w:ascii="黑体" w:hAnsi="黑体" w:eastAsia="黑体" w:cs="黑体"/>
                <w:color w:val="000000"/>
                <w:szCs w:val="21"/>
              </w:rPr>
            </w:pPr>
            <w:r>
              <w:rPr>
                <w:rFonts w:hint="eastAsia" w:ascii="黑体" w:hAnsi="黑体" w:eastAsia="黑体" w:cs="黑体"/>
                <w:szCs w:val="21"/>
              </w:rPr>
              <w:t>供应商 3</w:t>
            </w:r>
          </w:p>
        </w:tc>
        <w:tc>
          <w:tcPr>
            <w:tcW w:w="646" w:type="dxa"/>
            <w:tcBorders>
              <w:top w:val="single" w:color="auto" w:sz="4" w:space="0"/>
              <w:left w:val="single" w:color="auto" w:sz="4" w:space="0"/>
              <w:bottom w:val="single" w:color="auto" w:sz="4" w:space="0"/>
              <w:right w:val="single" w:color="auto" w:sz="4" w:space="0"/>
            </w:tcBorders>
            <w:shd w:val="clear" w:color="auto" w:fill="D7D7D7"/>
            <w:vAlign w:val="center"/>
          </w:tcPr>
          <w:p>
            <w:pPr>
              <w:pStyle w:val="93"/>
              <w:spacing w:before="133" w:line="276" w:lineRule="auto"/>
              <w:ind w:right="2"/>
              <w:jc w:val="center"/>
              <w:rPr>
                <w:rFonts w:ascii="黑体" w:hAnsi="黑体" w:eastAsia="黑体" w:cs="黑体"/>
                <w:color w:val="000000"/>
                <w:szCs w:val="21"/>
              </w:rPr>
            </w:pPr>
            <w:r>
              <w:rPr>
                <w:rFonts w:hint="eastAsia" w:ascii="黑体" w:hAnsi="黑体" w:eastAsia="黑体" w:cs="黑体"/>
                <w:szCs w:val="21"/>
              </w:rPr>
              <w:t>供应商 4</w:t>
            </w:r>
          </w:p>
        </w:tc>
        <w:tc>
          <w:tcPr>
            <w:tcW w:w="648" w:type="dxa"/>
            <w:tcBorders>
              <w:top w:val="single" w:color="auto" w:sz="4" w:space="0"/>
              <w:left w:val="single" w:color="auto" w:sz="4" w:space="0"/>
              <w:bottom w:val="single" w:color="auto" w:sz="4" w:space="0"/>
              <w:right w:val="single" w:color="auto" w:sz="4" w:space="0"/>
            </w:tcBorders>
            <w:shd w:val="clear" w:color="auto" w:fill="D7D7D7"/>
            <w:vAlign w:val="center"/>
          </w:tcPr>
          <w:p>
            <w:pPr>
              <w:pStyle w:val="93"/>
              <w:spacing w:before="133" w:line="276" w:lineRule="auto"/>
              <w:ind w:right="2"/>
              <w:jc w:val="center"/>
              <w:rPr>
                <w:rFonts w:ascii="黑体" w:hAnsi="黑体" w:eastAsia="黑体" w:cs="黑体"/>
                <w:color w:val="000000"/>
                <w:szCs w:val="21"/>
              </w:rPr>
            </w:pPr>
            <w:r>
              <w:rPr>
                <w:rFonts w:hint="eastAsia" w:ascii="黑体" w:hAnsi="黑体" w:eastAsia="黑体" w:cs="黑体"/>
                <w:szCs w:val="21"/>
              </w:rPr>
              <w:t>供应商 5</w:t>
            </w:r>
          </w:p>
        </w:tc>
      </w:tr>
      <w:tr>
        <w:tblPrEx>
          <w:tblCellMar>
            <w:top w:w="0" w:type="dxa"/>
            <w:left w:w="108" w:type="dxa"/>
            <w:bottom w:w="0" w:type="dxa"/>
            <w:right w:w="108" w:type="dxa"/>
          </w:tblCellMar>
        </w:tblPrEx>
        <w:trPr>
          <w:trHeight w:val="3802" w:hRule="exact"/>
          <w:jc w:val="center"/>
        </w:trPr>
        <w:tc>
          <w:tcPr>
            <w:tcW w:w="68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r>
              <w:rPr>
                <w:rFonts w:hint="eastAsia" w:ascii="宋体" w:hAnsi="宋体" w:cs="宋体"/>
                <w:color w:val="000000"/>
                <w:szCs w:val="21"/>
              </w:rPr>
              <w:t>(一)</w:t>
            </w:r>
          </w:p>
        </w:tc>
        <w:tc>
          <w:tcPr>
            <w:tcW w:w="87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r>
              <w:rPr>
                <w:rFonts w:hint="eastAsia" w:ascii="宋体" w:hAnsi="宋体" w:cs="宋体"/>
                <w:color w:val="000000"/>
                <w:szCs w:val="21"/>
              </w:rPr>
              <w:t>项目经理情况</w:t>
            </w:r>
          </w:p>
        </w:tc>
        <w:tc>
          <w:tcPr>
            <w:tcW w:w="3175" w:type="dxa"/>
            <w:tcBorders>
              <w:top w:val="nil"/>
              <w:left w:val="single" w:color="auto" w:sz="4" w:space="0"/>
              <w:bottom w:val="single" w:color="000000" w:sz="4" w:space="0"/>
              <w:right w:val="single" w:color="auto" w:sz="4" w:space="0"/>
            </w:tcBorders>
            <w:vAlign w:val="center"/>
          </w:tcPr>
          <w:p>
            <w:pPr>
              <w:rPr>
                <w:rFonts w:ascii="宋体" w:hAnsi="宋体"/>
              </w:rPr>
            </w:pPr>
            <w:r>
              <w:rPr>
                <w:rFonts w:hint="eastAsia" w:ascii="宋体" w:hAnsi="宋体"/>
              </w:rPr>
              <w:t>根据拟投入项目的项目经理</w:t>
            </w:r>
            <w:r>
              <w:rPr>
                <w:rFonts w:hint="eastAsia" w:ascii="宋体" w:hAnsi="宋体" w:cs="宋体"/>
                <w:color w:val="000000"/>
                <w:szCs w:val="21"/>
              </w:rPr>
              <w:t>（1人）</w:t>
            </w:r>
            <w:r>
              <w:rPr>
                <w:rFonts w:hint="eastAsia" w:ascii="宋体" w:hAnsi="宋体"/>
              </w:rPr>
              <w:t>，在</w:t>
            </w:r>
            <w:r>
              <w:rPr>
                <w:rFonts w:ascii="宋体" w:hAnsi="宋体"/>
              </w:rPr>
              <w:t>具有公安部或其授权机构颁发的信息安全等级测评师证书（高级）的基础上</w:t>
            </w:r>
            <w:r>
              <w:rPr>
                <w:rFonts w:hint="eastAsia" w:ascii="宋体" w:hAnsi="宋体"/>
              </w:rPr>
              <w:t>（不具备，则以下不得分）</w:t>
            </w:r>
            <w:r>
              <w:rPr>
                <w:rFonts w:ascii="宋体" w:hAnsi="宋体"/>
              </w:rPr>
              <w:t>，具备以下证书</w:t>
            </w:r>
            <w:r>
              <w:rPr>
                <w:rFonts w:hint="eastAsia" w:ascii="宋体" w:hAnsi="宋体"/>
              </w:rPr>
              <w:t>情况</w:t>
            </w:r>
            <w:r>
              <w:rPr>
                <w:rFonts w:ascii="宋体" w:hAnsi="宋体"/>
              </w:rPr>
              <w:t>进行评分：</w:t>
            </w:r>
          </w:p>
          <w:p>
            <w:pPr>
              <w:rPr>
                <w:rFonts w:ascii="宋体" w:hAnsi="宋体"/>
              </w:rPr>
            </w:pPr>
            <w:r>
              <w:rPr>
                <w:rFonts w:ascii="宋体" w:hAnsi="宋体"/>
              </w:rPr>
              <w:t>1</w:t>
            </w:r>
            <w:r>
              <w:rPr>
                <w:rFonts w:hint="eastAsia" w:ascii="宋体" w:hAnsi="宋体"/>
              </w:rPr>
              <w:t>、</w:t>
            </w:r>
            <w:r>
              <w:rPr>
                <w:rFonts w:ascii="宋体" w:hAnsi="宋体"/>
              </w:rPr>
              <w:t>具有</w:t>
            </w:r>
            <w:r>
              <w:rPr>
                <w:rFonts w:hint="eastAsia" w:ascii="宋体" w:hAnsi="宋体"/>
              </w:rPr>
              <w:t>人力资源和社会保障厅</w:t>
            </w:r>
            <w:r>
              <w:rPr>
                <w:rFonts w:ascii="宋体" w:hAnsi="宋体"/>
              </w:rPr>
              <w:t>颁发的信息系统项目管理师（高级），</w:t>
            </w:r>
            <w:r>
              <w:rPr>
                <w:rFonts w:hint="eastAsia" w:ascii="宋体" w:hAnsi="宋体"/>
              </w:rPr>
              <w:t>得</w:t>
            </w:r>
            <w:r>
              <w:rPr>
                <w:rFonts w:ascii="宋体" w:hAnsi="宋体"/>
              </w:rPr>
              <w:t>2分；</w:t>
            </w:r>
          </w:p>
          <w:p>
            <w:pPr>
              <w:rPr>
                <w:rFonts w:ascii="宋体" w:hAnsi="宋体"/>
              </w:rPr>
            </w:pPr>
            <w:r>
              <w:rPr>
                <w:rFonts w:ascii="宋体" w:hAnsi="宋体"/>
              </w:rPr>
              <w:t>2</w:t>
            </w:r>
            <w:r>
              <w:rPr>
                <w:rFonts w:hint="eastAsia" w:ascii="宋体" w:hAnsi="宋体"/>
              </w:rPr>
              <w:t>、</w:t>
            </w:r>
            <w:r>
              <w:rPr>
                <w:rFonts w:ascii="宋体" w:hAnsi="宋体"/>
              </w:rPr>
              <w:t>具有</w:t>
            </w:r>
            <w:r>
              <w:rPr>
                <w:rFonts w:hint="eastAsia" w:ascii="宋体" w:hAnsi="宋体"/>
              </w:rPr>
              <w:t>中国网络安全审查技术与认证中心</w:t>
            </w:r>
            <w:r>
              <w:rPr>
                <w:rFonts w:ascii="宋体" w:hAnsi="宋体"/>
              </w:rPr>
              <w:t>颁发的</w:t>
            </w:r>
            <w:r>
              <w:rPr>
                <w:rFonts w:hint="eastAsia" w:ascii="宋体" w:hAnsi="宋体"/>
              </w:rPr>
              <w:t>信息安全保障人员认证证书</w:t>
            </w:r>
            <w:r>
              <w:rPr>
                <w:rFonts w:ascii="宋体" w:hAnsi="宋体"/>
              </w:rPr>
              <w:t>，</w:t>
            </w:r>
            <w:r>
              <w:rPr>
                <w:rFonts w:hint="eastAsia" w:ascii="宋体" w:hAnsi="宋体"/>
              </w:rPr>
              <w:t>得</w:t>
            </w:r>
            <w:r>
              <w:rPr>
                <w:rFonts w:ascii="宋体" w:hAnsi="宋体"/>
              </w:rPr>
              <w:t>2分；</w:t>
            </w:r>
          </w:p>
          <w:p>
            <w:pPr>
              <w:rPr>
                <w:rFonts w:ascii="宋体" w:hAnsi="宋体"/>
              </w:rPr>
            </w:pPr>
            <w:r>
              <w:rPr>
                <w:rFonts w:ascii="宋体" w:hAnsi="宋体"/>
              </w:rPr>
              <w:t>3</w:t>
            </w:r>
            <w:r>
              <w:rPr>
                <w:rFonts w:hint="eastAsia" w:ascii="宋体" w:hAnsi="宋体"/>
              </w:rPr>
              <w:t>、工业和信息化部颁发的计算机软件产品检验员</w:t>
            </w:r>
            <w:r>
              <w:rPr>
                <w:rFonts w:ascii="宋体" w:hAnsi="宋体"/>
              </w:rPr>
              <w:t>，</w:t>
            </w:r>
            <w:r>
              <w:rPr>
                <w:rFonts w:hint="eastAsia" w:ascii="宋体" w:hAnsi="宋体"/>
              </w:rPr>
              <w:t>得</w:t>
            </w:r>
            <w:r>
              <w:rPr>
                <w:rFonts w:ascii="宋体" w:hAnsi="宋体"/>
              </w:rPr>
              <w:t>2分；</w:t>
            </w:r>
          </w:p>
          <w:p>
            <w:pPr>
              <w:rPr>
                <w:rFonts w:ascii="宋体" w:hAnsi="宋体"/>
              </w:rPr>
            </w:pPr>
            <w:r>
              <w:rPr>
                <w:rFonts w:ascii="宋体" w:hAnsi="宋体"/>
              </w:rPr>
              <w:t>4</w:t>
            </w:r>
            <w:r>
              <w:rPr>
                <w:rFonts w:hint="eastAsia" w:ascii="宋体" w:hAnsi="宋体"/>
              </w:rPr>
              <w:t>、</w:t>
            </w:r>
            <w:r>
              <w:rPr>
                <w:rFonts w:ascii="宋体" w:hAnsi="宋体"/>
              </w:rPr>
              <w:t>具有中国信息安全测评中心颁发的注册信息安全专业人员证书（CISP），得 2 分</w:t>
            </w:r>
            <w:r>
              <w:rPr>
                <w:rFonts w:hint="eastAsia" w:ascii="宋体" w:hAnsi="宋体"/>
              </w:rPr>
              <w:t>；</w:t>
            </w:r>
          </w:p>
          <w:p>
            <w:pPr>
              <w:rPr>
                <w:rFonts w:ascii="宋体" w:hAnsi="宋体"/>
              </w:rPr>
            </w:pPr>
            <w:r>
              <w:rPr>
                <w:rFonts w:hint="eastAsia" w:ascii="宋体" w:hAnsi="宋体"/>
              </w:rPr>
              <w:t>以上</w:t>
            </w:r>
            <w:r>
              <w:rPr>
                <w:rFonts w:ascii="宋体" w:hAnsi="宋体"/>
              </w:rPr>
              <w:t>每个证书</w:t>
            </w:r>
            <w:r>
              <w:rPr>
                <w:rFonts w:hint="eastAsia" w:ascii="宋体" w:hAnsi="宋体"/>
              </w:rPr>
              <w:t>，</w:t>
            </w:r>
            <w:r>
              <w:rPr>
                <w:rFonts w:ascii="宋体" w:hAnsi="宋体"/>
              </w:rPr>
              <w:t>每提供一个得2分</w:t>
            </w:r>
            <w:r>
              <w:rPr>
                <w:rFonts w:hint="eastAsia" w:ascii="宋体" w:hAnsi="宋体"/>
              </w:rPr>
              <w:t>，共</w:t>
            </w:r>
            <w:r>
              <w:rPr>
                <w:rFonts w:ascii="宋体" w:hAnsi="宋体"/>
              </w:rPr>
              <w:t>8</w:t>
            </w:r>
            <w:r>
              <w:rPr>
                <w:rFonts w:hint="eastAsia" w:ascii="宋体" w:hAnsi="宋体"/>
              </w:rPr>
              <w:t>分；</w:t>
            </w:r>
          </w:p>
          <w:p>
            <w:pPr>
              <w:widowControl/>
              <w:jc w:val="left"/>
              <w:rPr>
                <w:rFonts w:ascii="宋体" w:hAnsi="宋体" w:cs="宋体"/>
                <w:color w:val="000000"/>
                <w:szCs w:val="21"/>
              </w:rPr>
            </w:pPr>
            <w:r>
              <w:rPr>
                <w:rFonts w:hint="eastAsia" w:ascii="宋体" w:hAnsi="宋体"/>
              </w:rPr>
              <w:t>注：要求提供以上证书的复印件以及人员在本公司任职的外部证明材料（如加盖社保印章的打印日期在202</w:t>
            </w:r>
            <w:r>
              <w:rPr>
                <w:rFonts w:ascii="宋体" w:hAnsi="宋体"/>
              </w:rPr>
              <w:t>2</w:t>
            </w:r>
            <w:r>
              <w:rPr>
                <w:rFonts w:hint="eastAsia" w:ascii="宋体" w:hAnsi="宋体"/>
              </w:rPr>
              <w:t>年内任意连续三个月的《投保单》或《社会保险参保人员证明》，或单位代缴个人所得税税单复印件等），要求在对应人名处圈记，不提供不得分。</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8分</w:t>
            </w:r>
          </w:p>
        </w:tc>
        <w:tc>
          <w:tcPr>
            <w:tcW w:w="6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6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6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6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6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r>
      <w:tr>
        <w:tblPrEx>
          <w:tblCellMar>
            <w:top w:w="0" w:type="dxa"/>
            <w:left w:w="108" w:type="dxa"/>
            <w:bottom w:w="0" w:type="dxa"/>
            <w:right w:w="108" w:type="dxa"/>
          </w:tblCellMar>
        </w:tblPrEx>
        <w:trPr>
          <w:trHeight w:val="1588" w:hRule="exact"/>
          <w:jc w:val="center"/>
        </w:trPr>
        <w:tc>
          <w:tcPr>
            <w:tcW w:w="68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r>
              <w:rPr>
                <w:rFonts w:hint="eastAsia" w:ascii="宋体" w:hAnsi="宋体" w:cs="宋体"/>
                <w:color w:val="000000"/>
                <w:szCs w:val="21"/>
              </w:rPr>
              <w:t>(二)</w:t>
            </w:r>
          </w:p>
        </w:tc>
        <w:tc>
          <w:tcPr>
            <w:tcW w:w="87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r>
              <w:rPr>
                <w:rFonts w:hint="eastAsia" w:ascii="宋体" w:hAnsi="宋体" w:cs="宋体"/>
                <w:color w:val="000000"/>
                <w:szCs w:val="21"/>
              </w:rPr>
              <w:t>项目团队成员</w:t>
            </w:r>
          </w:p>
        </w:tc>
        <w:tc>
          <w:tcPr>
            <w:tcW w:w="3175" w:type="dxa"/>
            <w:tcBorders>
              <w:top w:val="nil"/>
              <w:left w:val="single" w:color="auto" w:sz="4" w:space="0"/>
              <w:bottom w:val="single" w:color="000000" w:sz="4" w:space="0"/>
              <w:right w:val="single" w:color="auto" w:sz="4" w:space="0"/>
            </w:tcBorders>
            <w:vAlign w:val="center"/>
          </w:tcPr>
          <w:p>
            <w:pPr>
              <w:rPr>
                <w:rFonts w:ascii="宋体" w:hAnsi="宋体"/>
              </w:rPr>
            </w:pPr>
            <w:r>
              <w:rPr>
                <w:rFonts w:hint="eastAsia" w:ascii="宋体" w:hAnsi="宋体"/>
              </w:rPr>
              <w:t>根据拟投入项目的技术负责人，在</w:t>
            </w:r>
            <w:r>
              <w:rPr>
                <w:rFonts w:ascii="宋体" w:hAnsi="宋体"/>
              </w:rPr>
              <w:t>具有公安部或其授权机构颁发的信息安全等级测评师证书（高级）的基础上</w:t>
            </w:r>
            <w:r>
              <w:rPr>
                <w:rFonts w:hint="eastAsia" w:ascii="宋体" w:hAnsi="宋体"/>
              </w:rPr>
              <w:t>（不具备，则以下不得分），具备以下证书情况进行评分：</w:t>
            </w:r>
          </w:p>
          <w:p>
            <w:pPr>
              <w:rPr>
                <w:rFonts w:ascii="宋体" w:hAnsi="宋体"/>
              </w:rPr>
            </w:pPr>
            <w:r>
              <w:rPr>
                <w:rFonts w:ascii="宋体" w:hAnsi="宋体"/>
              </w:rPr>
              <w:t>1</w:t>
            </w:r>
            <w:r>
              <w:rPr>
                <w:rFonts w:hint="eastAsia" w:ascii="宋体" w:hAnsi="宋体"/>
              </w:rPr>
              <w:t>、具有中关村信息安全测评联盟和信息产业信息安全测评中心颁发的国家网络安全应用检测专业测评人员</w:t>
            </w:r>
            <w:r>
              <w:rPr>
                <w:rFonts w:ascii="宋体" w:hAnsi="宋体"/>
              </w:rPr>
              <w:t>-</w:t>
            </w:r>
            <w:r>
              <w:rPr>
                <w:rFonts w:hint="eastAsia" w:ascii="宋体" w:hAnsi="宋体"/>
              </w:rPr>
              <w:t>高级证书</w:t>
            </w:r>
            <w:r>
              <w:rPr>
                <w:rFonts w:ascii="宋体" w:hAnsi="宋体"/>
              </w:rPr>
              <w:t>；</w:t>
            </w:r>
          </w:p>
          <w:p>
            <w:pPr>
              <w:rPr>
                <w:rFonts w:ascii="宋体" w:hAnsi="宋体"/>
              </w:rPr>
            </w:pPr>
            <w:r>
              <w:rPr>
                <w:rFonts w:ascii="宋体" w:hAnsi="宋体"/>
              </w:rPr>
              <w:t>2</w:t>
            </w:r>
            <w:r>
              <w:rPr>
                <w:rFonts w:hint="eastAsia" w:ascii="宋体" w:hAnsi="宋体"/>
              </w:rPr>
              <w:t>、具有人力资源和社会保障厅颁发的系统分析师（高级）证书</w:t>
            </w:r>
            <w:r>
              <w:rPr>
                <w:rFonts w:ascii="宋体" w:hAnsi="宋体"/>
              </w:rPr>
              <w:t>，</w:t>
            </w:r>
            <w:r>
              <w:rPr>
                <w:rFonts w:hint="eastAsia" w:ascii="宋体" w:hAnsi="宋体"/>
              </w:rPr>
              <w:t>得</w:t>
            </w:r>
            <w:r>
              <w:rPr>
                <w:rFonts w:ascii="宋体" w:hAnsi="宋体"/>
              </w:rPr>
              <w:t>2分；</w:t>
            </w:r>
          </w:p>
          <w:p>
            <w:pPr>
              <w:rPr>
                <w:rFonts w:ascii="宋体" w:hAnsi="宋体"/>
              </w:rPr>
            </w:pPr>
            <w:r>
              <w:rPr>
                <w:rFonts w:ascii="宋体" w:hAnsi="宋体"/>
              </w:rPr>
              <w:t>3</w:t>
            </w:r>
            <w:r>
              <w:rPr>
                <w:rFonts w:hint="eastAsia" w:ascii="宋体" w:hAnsi="宋体"/>
              </w:rPr>
              <w:t>、</w:t>
            </w:r>
            <w:r>
              <w:rPr>
                <w:rFonts w:ascii="宋体" w:hAnsi="宋体"/>
              </w:rPr>
              <w:t>具有</w:t>
            </w:r>
            <w:r>
              <w:rPr>
                <w:rFonts w:hint="eastAsia" w:ascii="宋体" w:hAnsi="宋体"/>
              </w:rPr>
              <w:t>中国网络安全审查技术与认证中心颁发的信息安全保障人员认证证书</w:t>
            </w:r>
            <w:r>
              <w:rPr>
                <w:rFonts w:ascii="宋体" w:hAnsi="宋体"/>
              </w:rPr>
              <w:t>，</w:t>
            </w:r>
            <w:r>
              <w:rPr>
                <w:rFonts w:hint="eastAsia" w:ascii="宋体" w:hAnsi="宋体"/>
              </w:rPr>
              <w:t>得</w:t>
            </w:r>
            <w:r>
              <w:rPr>
                <w:rFonts w:ascii="宋体" w:hAnsi="宋体"/>
              </w:rPr>
              <w:t>2分；</w:t>
            </w:r>
          </w:p>
          <w:p>
            <w:pPr>
              <w:rPr>
                <w:rFonts w:ascii="宋体" w:hAnsi="宋体"/>
              </w:rPr>
            </w:pPr>
            <w:r>
              <w:rPr>
                <w:rFonts w:ascii="宋体" w:hAnsi="宋体"/>
              </w:rPr>
              <w:t>4</w:t>
            </w:r>
            <w:r>
              <w:rPr>
                <w:rFonts w:hint="eastAsia" w:ascii="宋体" w:hAnsi="宋体"/>
              </w:rPr>
              <w:t>、</w:t>
            </w:r>
            <w:r>
              <w:rPr>
                <w:rFonts w:ascii="宋体" w:hAnsi="宋体"/>
              </w:rPr>
              <w:t>具有</w:t>
            </w:r>
            <w:r>
              <w:rPr>
                <w:rFonts w:hint="eastAsia" w:ascii="宋体" w:hAnsi="宋体"/>
              </w:rPr>
              <w:t>工业互联网产业联盟颁发的工业互联网安全评估师证书</w:t>
            </w:r>
            <w:r>
              <w:rPr>
                <w:rFonts w:ascii="宋体" w:hAnsi="宋体"/>
              </w:rPr>
              <w:t>，得 2 分</w:t>
            </w:r>
            <w:r>
              <w:rPr>
                <w:rFonts w:hint="eastAsia" w:ascii="宋体" w:hAnsi="宋体"/>
              </w:rPr>
              <w:t>；</w:t>
            </w:r>
          </w:p>
          <w:p>
            <w:pPr>
              <w:rPr>
                <w:rFonts w:ascii="宋体" w:hAnsi="宋体"/>
              </w:rPr>
            </w:pPr>
            <w:r>
              <w:rPr>
                <w:rFonts w:hint="eastAsia" w:ascii="宋体" w:hAnsi="宋体"/>
              </w:rPr>
              <w:t>以上</w:t>
            </w:r>
            <w:r>
              <w:rPr>
                <w:rFonts w:ascii="宋体" w:hAnsi="宋体"/>
              </w:rPr>
              <w:t>每个证书</w:t>
            </w:r>
            <w:r>
              <w:rPr>
                <w:rFonts w:hint="eastAsia" w:ascii="宋体" w:hAnsi="宋体"/>
              </w:rPr>
              <w:t>，</w:t>
            </w:r>
            <w:r>
              <w:rPr>
                <w:rFonts w:ascii="宋体" w:hAnsi="宋体"/>
              </w:rPr>
              <w:t>每提供一个得2分</w:t>
            </w:r>
            <w:r>
              <w:rPr>
                <w:rFonts w:hint="eastAsia" w:ascii="宋体" w:hAnsi="宋体"/>
              </w:rPr>
              <w:t>，共</w:t>
            </w:r>
            <w:r>
              <w:rPr>
                <w:rFonts w:ascii="宋体" w:hAnsi="宋体"/>
              </w:rPr>
              <w:t>8</w:t>
            </w:r>
            <w:r>
              <w:rPr>
                <w:rFonts w:hint="eastAsia" w:ascii="宋体" w:hAnsi="宋体"/>
              </w:rPr>
              <w:t>分；</w:t>
            </w:r>
          </w:p>
          <w:p>
            <w:pPr>
              <w:rPr>
                <w:rFonts w:ascii="宋体" w:hAnsi="宋体"/>
              </w:rPr>
            </w:pPr>
            <w:r>
              <w:rPr>
                <w:rFonts w:hint="eastAsia" w:ascii="宋体" w:hAnsi="宋体"/>
              </w:rPr>
              <w:t>注：要求提供以上证书的复印件以及人员在本公司任职的外部证明材料（如加盖社保印章的打印日期在202</w:t>
            </w:r>
            <w:r>
              <w:rPr>
                <w:rFonts w:ascii="宋体" w:hAnsi="宋体"/>
              </w:rPr>
              <w:t>2</w:t>
            </w:r>
            <w:r>
              <w:rPr>
                <w:rFonts w:hint="eastAsia" w:ascii="宋体" w:hAnsi="宋体"/>
              </w:rPr>
              <w:t>年内任意连续三个月的《投保单》或《社会保险参保人员证明》，或单位代缴个人所得税税单复印件等），要求在对应人名处圈记，不提供不得分。</w:t>
            </w:r>
          </w:p>
          <w:p>
            <w:pPr>
              <w:rPr>
                <w:rFonts w:ascii="宋体" w:hAnsi="宋体"/>
              </w:rPr>
            </w:pPr>
            <w:r>
              <w:rPr>
                <w:rFonts w:hint="eastAsia" w:ascii="宋体" w:hAnsi="宋体" w:cs="宋体"/>
                <w:color w:val="000000"/>
                <w:szCs w:val="21"/>
              </w:rPr>
              <w:br w:type="textWrapping"/>
            </w:r>
            <w:r>
              <w:rPr>
                <w:rFonts w:hint="eastAsia" w:ascii="宋体" w:hAnsi="宋体" w:cs="宋体"/>
                <w:color w:val="000000"/>
                <w:szCs w:val="21"/>
              </w:rPr>
              <w:t>二、团队成员</w:t>
            </w:r>
          </w:p>
          <w:p>
            <w:pPr>
              <w:rPr>
                <w:rFonts w:ascii="宋体" w:hAnsi="宋体"/>
              </w:rPr>
            </w:pPr>
            <w:r>
              <w:rPr>
                <w:rFonts w:hint="eastAsia" w:ascii="宋体" w:hAnsi="宋体" w:cs="宋体"/>
                <w:color w:val="000000"/>
                <w:szCs w:val="21"/>
              </w:rPr>
              <w:br w:type="textWrapping"/>
            </w:r>
            <w:r>
              <w:rPr>
                <w:rFonts w:ascii="宋体" w:hAnsi="宋体"/>
              </w:rPr>
              <w:t xml:space="preserve">根据拟投入技术服务工程师（不包含项目经理、技术负责人），需具备以下证书： </w:t>
            </w:r>
          </w:p>
          <w:p>
            <w:pPr>
              <w:rPr>
                <w:rFonts w:ascii="宋体" w:hAnsi="宋体"/>
              </w:rPr>
            </w:pPr>
            <w:r>
              <w:rPr>
                <w:rFonts w:hint="eastAsia" w:ascii="宋体" w:hAnsi="宋体"/>
              </w:rPr>
              <w:t>1、</w:t>
            </w:r>
            <w:r>
              <w:rPr>
                <w:rFonts w:ascii="宋体" w:hAnsi="宋体"/>
              </w:rPr>
              <w:t>具有中国信息安全测评中心颁发的注册信息安全专业人员证书（CISP），每提供一个得1分</w:t>
            </w:r>
            <w:r>
              <w:rPr>
                <w:rFonts w:hint="eastAsia" w:ascii="宋体" w:hAnsi="宋体"/>
              </w:rPr>
              <w:t>，共</w:t>
            </w:r>
            <w:r>
              <w:rPr>
                <w:rFonts w:ascii="宋体" w:hAnsi="宋体"/>
              </w:rPr>
              <w:t>2</w:t>
            </w:r>
            <w:r>
              <w:rPr>
                <w:rFonts w:hint="eastAsia" w:ascii="宋体" w:hAnsi="宋体"/>
              </w:rPr>
              <w:t>分；</w:t>
            </w:r>
          </w:p>
          <w:p>
            <w:pPr>
              <w:rPr>
                <w:rFonts w:ascii="宋体" w:hAnsi="宋体"/>
              </w:rPr>
            </w:pPr>
            <w:r>
              <w:rPr>
                <w:rFonts w:hint="eastAsia" w:ascii="宋体" w:hAnsi="宋体"/>
              </w:rPr>
              <w:t>2、</w:t>
            </w:r>
            <w:r>
              <w:rPr>
                <w:rFonts w:ascii="宋体" w:hAnsi="宋体"/>
              </w:rPr>
              <w:t>具有公安部或其授权机构颁发的信息安全等级测评师证书（高级），每提供一个得1分</w:t>
            </w:r>
            <w:r>
              <w:rPr>
                <w:rFonts w:hint="eastAsia" w:ascii="宋体" w:hAnsi="宋体"/>
              </w:rPr>
              <w:t>，共</w:t>
            </w:r>
            <w:r>
              <w:rPr>
                <w:rFonts w:ascii="宋体" w:hAnsi="宋体"/>
              </w:rPr>
              <w:t>2</w:t>
            </w:r>
            <w:r>
              <w:rPr>
                <w:rFonts w:hint="eastAsia" w:ascii="宋体" w:hAnsi="宋体"/>
              </w:rPr>
              <w:t>分；</w:t>
            </w:r>
          </w:p>
          <w:p>
            <w:pPr>
              <w:rPr>
                <w:rFonts w:ascii="宋体" w:hAnsi="宋体"/>
              </w:rPr>
            </w:pPr>
            <w:r>
              <w:rPr>
                <w:rFonts w:ascii="宋体" w:hAnsi="宋体"/>
              </w:rPr>
              <w:t>3</w:t>
            </w:r>
            <w:r>
              <w:rPr>
                <w:rFonts w:hint="eastAsia" w:ascii="宋体" w:hAnsi="宋体"/>
              </w:rPr>
              <w:t>、具有信息产业信息安全测评中心颁发的注册网络安全渗透评估专业人员-高级证书</w:t>
            </w:r>
            <w:r>
              <w:rPr>
                <w:rFonts w:ascii="宋体" w:hAnsi="宋体"/>
              </w:rPr>
              <w:t>，每提供一个得1分</w:t>
            </w:r>
            <w:r>
              <w:rPr>
                <w:rFonts w:hint="eastAsia" w:ascii="宋体" w:hAnsi="宋体"/>
              </w:rPr>
              <w:t>，共</w:t>
            </w:r>
            <w:r>
              <w:rPr>
                <w:rFonts w:ascii="宋体" w:hAnsi="宋体"/>
              </w:rPr>
              <w:t>2</w:t>
            </w:r>
            <w:r>
              <w:rPr>
                <w:rFonts w:hint="eastAsia" w:ascii="宋体" w:hAnsi="宋体"/>
              </w:rPr>
              <w:t>分；</w:t>
            </w:r>
          </w:p>
          <w:p>
            <w:pPr>
              <w:rPr>
                <w:rFonts w:ascii="宋体" w:hAnsi="宋体"/>
              </w:rPr>
            </w:pPr>
            <w:r>
              <w:rPr>
                <w:rFonts w:ascii="宋体" w:hAnsi="宋体"/>
              </w:rPr>
              <w:t>同 1人满足多项条件者，只计算一次。</w:t>
            </w:r>
          </w:p>
          <w:p>
            <w:pPr>
              <w:rPr>
                <w:rFonts w:ascii="宋体" w:hAnsi="宋体" w:cs="宋体"/>
                <w:color w:val="000000"/>
                <w:szCs w:val="21"/>
              </w:rPr>
            </w:pPr>
            <w:r>
              <w:rPr>
                <w:rFonts w:hint="eastAsia" w:ascii="宋体" w:hAnsi="宋体"/>
              </w:rPr>
              <w:t>注：要求提供以上证书的复印件以及人员在本公司任职的外部证明材料（如加盖社保印章的打印日期在202</w:t>
            </w:r>
            <w:r>
              <w:rPr>
                <w:rFonts w:ascii="宋体" w:hAnsi="宋体"/>
              </w:rPr>
              <w:t>2</w:t>
            </w:r>
            <w:r>
              <w:rPr>
                <w:rFonts w:hint="eastAsia" w:ascii="宋体" w:hAnsi="宋体"/>
              </w:rPr>
              <w:t>年内任意连续三个月的《投保单》或《社会保险参保人员证明》，或单位代缴个人所得税税单复印件等），要求在对应人名处圈记，不提供不得分。</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ascii="宋体" w:hAnsi="宋体" w:cs="宋体"/>
                <w:color w:val="000000"/>
                <w:szCs w:val="21"/>
              </w:rPr>
              <w:t>16</w:t>
            </w:r>
            <w:r>
              <w:rPr>
                <w:rFonts w:hint="eastAsia" w:ascii="宋体" w:hAnsi="宋体" w:cs="宋体"/>
                <w:color w:val="000000"/>
                <w:szCs w:val="21"/>
              </w:rPr>
              <w:t>分</w:t>
            </w:r>
          </w:p>
        </w:tc>
        <w:tc>
          <w:tcPr>
            <w:tcW w:w="6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6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6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6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6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r>
      <w:tr>
        <w:tblPrEx>
          <w:tblCellMar>
            <w:top w:w="0" w:type="dxa"/>
            <w:left w:w="108" w:type="dxa"/>
            <w:bottom w:w="0" w:type="dxa"/>
            <w:right w:w="108" w:type="dxa"/>
          </w:tblCellMar>
        </w:tblPrEx>
        <w:trPr>
          <w:trHeight w:val="981" w:hRule="exact"/>
          <w:jc w:val="center"/>
        </w:trPr>
        <w:tc>
          <w:tcPr>
            <w:tcW w:w="68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r>
              <w:rPr>
                <w:rFonts w:hint="eastAsia" w:ascii="宋体" w:hAnsi="宋体" w:cs="宋体"/>
                <w:color w:val="000000"/>
                <w:szCs w:val="21"/>
              </w:rPr>
              <w:t>(三)</w:t>
            </w:r>
          </w:p>
        </w:tc>
        <w:tc>
          <w:tcPr>
            <w:tcW w:w="87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r>
              <w:rPr>
                <w:rFonts w:hint="eastAsia" w:ascii="宋体" w:hAnsi="宋体" w:cs="宋体"/>
                <w:color w:val="000000"/>
                <w:szCs w:val="21"/>
              </w:rPr>
              <w:t>同类项目经验</w:t>
            </w:r>
          </w:p>
        </w:tc>
        <w:tc>
          <w:tcPr>
            <w:tcW w:w="3175" w:type="dxa"/>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szCs w:val="21"/>
              </w:rPr>
            </w:pPr>
            <w:r>
              <w:rPr>
                <w:rFonts w:hint="eastAsia" w:ascii="宋体" w:hAnsi="宋体" w:cs="宋体"/>
                <w:color w:val="000000"/>
                <w:szCs w:val="21"/>
              </w:rPr>
              <w:t>参评人自2019年1月1日至今同类服务经验，以合同签订时间为准。</w:t>
            </w:r>
            <w:r>
              <w:rPr>
                <w:rFonts w:hint="eastAsia" w:ascii="宋体" w:hAnsi="宋体" w:cs="宋体"/>
                <w:color w:val="000000"/>
                <w:szCs w:val="21"/>
              </w:rPr>
              <w:br w:type="textWrapping"/>
            </w:r>
            <w:r>
              <w:rPr>
                <w:rFonts w:hint="eastAsia" w:ascii="宋体" w:hAnsi="宋体" w:cs="宋体"/>
                <w:color w:val="000000"/>
                <w:szCs w:val="21"/>
              </w:rPr>
              <w:t>每提供一个得</w:t>
            </w:r>
            <w:r>
              <w:rPr>
                <w:rFonts w:ascii="宋体" w:hAnsi="宋体" w:cs="宋体"/>
                <w:color w:val="000000"/>
                <w:szCs w:val="21"/>
              </w:rPr>
              <w:t>1</w:t>
            </w:r>
            <w:r>
              <w:rPr>
                <w:rFonts w:hint="eastAsia" w:ascii="宋体" w:hAnsi="宋体" w:cs="宋体"/>
                <w:color w:val="000000"/>
                <w:szCs w:val="21"/>
              </w:rPr>
              <w:t>分，最高分为</w:t>
            </w:r>
            <w:r>
              <w:rPr>
                <w:rFonts w:ascii="宋体" w:hAnsi="宋体" w:cs="宋体"/>
                <w:color w:val="000000"/>
                <w:szCs w:val="21"/>
              </w:rPr>
              <w:t>4</w:t>
            </w:r>
            <w:r>
              <w:rPr>
                <w:rFonts w:hint="eastAsia" w:ascii="宋体" w:hAnsi="宋体" w:cs="宋体"/>
                <w:color w:val="000000"/>
                <w:szCs w:val="21"/>
              </w:rPr>
              <w:t>分。</w:t>
            </w:r>
            <w:r>
              <w:rPr>
                <w:rFonts w:hint="eastAsia" w:ascii="宋体" w:hAnsi="宋体" w:cs="宋体"/>
                <w:color w:val="000000"/>
                <w:szCs w:val="21"/>
              </w:rPr>
              <w:br w:type="textWrapping"/>
            </w:r>
            <w:r>
              <w:rPr>
                <w:rFonts w:hint="eastAsia" w:ascii="宋体" w:hAnsi="宋体" w:cs="宋体"/>
                <w:color w:val="000000"/>
                <w:szCs w:val="21"/>
              </w:rPr>
              <w:t>（提供同类项目业绩的合同关键页（显示签订合同双方的单位名称、合同项目名称与含签订合同双方的落款盖章、签订日期)的复印件，不提供不得分。上述资料须加盖参评人公章。）</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ascii="宋体" w:hAnsi="宋体" w:cs="宋体"/>
                <w:color w:val="000000"/>
                <w:szCs w:val="21"/>
              </w:rPr>
              <w:t>4</w:t>
            </w:r>
            <w:r>
              <w:rPr>
                <w:rFonts w:hint="eastAsia" w:ascii="宋体" w:hAnsi="宋体" w:cs="宋体"/>
                <w:color w:val="000000"/>
                <w:szCs w:val="21"/>
              </w:rPr>
              <w:t>分</w:t>
            </w:r>
          </w:p>
        </w:tc>
        <w:tc>
          <w:tcPr>
            <w:tcW w:w="6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6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6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6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6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r>
      <w:tr>
        <w:tblPrEx>
          <w:tblCellMar>
            <w:top w:w="0" w:type="dxa"/>
            <w:left w:w="108" w:type="dxa"/>
            <w:bottom w:w="0" w:type="dxa"/>
            <w:right w:w="108" w:type="dxa"/>
          </w:tblCellMar>
        </w:tblPrEx>
        <w:trPr>
          <w:trHeight w:val="1588" w:hRule="exact"/>
          <w:jc w:val="center"/>
        </w:trPr>
        <w:tc>
          <w:tcPr>
            <w:tcW w:w="68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r>
              <w:rPr>
                <w:rFonts w:hint="eastAsia" w:ascii="宋体" w:hAnsi="宋体" w:cs="宋体"/>
                <w:color w:val="000000"/>
                <w:szCs w:val="21"/>
              </w:rPr>
              <w:t>(四)</w:t>
            </w:r>
          </w:p>
        </w:tc>
        <w:tc>
          <w:tcPr>
            <w:tcW w:w="87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r>
              <w:rPr>
                <w:rFonts w:hint="eastAsia" w:ascii="宋体" w:hAnsi="宋体" w:cs="宋体"/>
                <w:color w:val="000000"/>
                <w:szCs w:val="21"/>
              </w:rPr>
              <w:t>企业认证</w:t>
            </w:r>
          </w:p>
        </w:tc>
        <w:tc>
          <w:tcPr>
            <w:tcW w:w="3175" w:type="dxa"/>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szCs w:val="21"/>
              </w:rPr>
            </w:pPr>
            <w:r>
              <w:rPr>
                <w:rFonts w:hint="eastAsia" w:ascii="宋体" w:hAnsi="宋体" w:cs="宋体"/>
                <w:color w:val="000000"/>
                <w:szCs w:val="21"/>
              </w:rPr>
              <w:t>根据参选人具有由国家认证认可监督管理部门批准设立的认证机构颁发并在有效期内的证书且认证范围（含网络安全服务）（不具备，则以下不得分），进行评分：</w:t>
            </w:r>
          </w:p>
          <w:p>
            <w:pPr>
              <w:widowControl/>
              <w:jc w:val="left"/>
              <w:rPr>
                <w:rFonts w:ascii="宋体" w:hAnsi="宋体" w:cs="宋体"/>
                <w:color w:val="000000"/>
                <w:szCs w:val="21"/>
              </w:rPr>
            </w:pPr>
            <w:r>
              <w:rPr>
                <w:rFonts w:ascii="宋体" w:hAnsi="宋体" w:cs="宋体"/>
                <w:color w:val="000000"/>
                <w:szCs w:val="21"/>
              </w:rPr>
              <w:t>1</w:t>
            </w:r>
            <w:r>
              <w:rPr>
                <w:rFonts w:hint="eastAsia" w:ascii="宋体" w:hAnsi="宋体" w:cs="宋体"/>
                <w:color w:val="000000"/>
                <w:szCs w:val="21"/>
              </w:rPr>
              <w:t>、具有ISO 9001质量管理体系认证证书，得</w:t>
            </w:r>
            <w:r>
              <w:rPr>
                <w:rFonts w:ascii="宋体" w:hAnsi="宋体" w:cs="宋体"/>
                <w:color w:val="000000"/>
                <w:szCs w:val="21"/>
              </w:rPr>
              <w:t>1</w:t>
            </w:r>
            <w:r>
              <w:rPr>
                <w:rFonts w:hint="eastAsia" w:ascii="宋体" w:hAnsi="宋体" w:cs="宋体"/>
                <w:color w:val="000000"/>
                <w:szCs w:val="21"/>
              </w:rPr>
              <w:t>分</w:t>
            </w:r>
            <w:r>
              <w:rPr>
                <w:rFonts w:ascii="宋体" w:hAnsi="宋体" w:cs="宋体"/>
                <w:color w:val="000000"/>
                <w:szCs w:val="21"/>
              </w:rPr>
              <w:t>；</w:t>
            </w:r>
          </w:p>
          <w:p>
            <w:pPr>
              <w:widowControl/>
              <w:jc w:val="left"/>
              <w:rPr>
                <w:rFonts w:ascii="宋体" w:hAnsi="宋体" w:cs="宋体"/>
                <w:color w:val="000000"/>
                <w:szCs w:val="21"/>
              </w:rPr>
            </w:pPr>
            <w:r>
              <w:rPr>
                <w:rFonts w:ascii="宋体" w:hAnsi="宋体" w:cs="宋体"/>
                <w:color w:val="000000"/>
                <w:szCs w:val="21"/>
              </w:rPr>
              <w:t>2</w:t>
            </w:r>
            <w:r>
              <w:rPr>
                <w:rFonts w:hint="eastAsia" w:ascii="宋体" w:hAnsi="宋体" w:cs="宋体"/>
                <w:color w:val="000000"/>
                <w:szCs w:val="21"/>
              </w:rPr>
              <w:t>、具有ISO 14001环境管理体系认证证书，得</w:t>
            </w:r>
            <w:r>
              <w:rPr>
                <w:rFonts w:ascii="宋体" w:hAnsi="宋体" w:cs="宋体"/>
                <w:color w:val="000000"/>
                <w:szCs w:val="21"/>
              </w:rPr>
              <w:t>1</w:t>
            </w:r>
            <w:r>
              <w:rPr>
                <w:rFonts w:hint="eastAsia" w:ascii="宋体" w:hAnsi="宋体" w:cs="宋体"/>
                <w:color w:val="000000"/>
                <w:szCs w:val="21"/>
              </w:rPr>
              <w:t>分</w:t>
            </w:r>
            <w:r>
              <w:rPr>
                <w:rFonts w:ascii="宋体" w:hAnsi="宋体" w:cs="宋体"/>
                <w:color w:val="000000"/>
                <w:szCs w:val="21"/>
              </w:rPr>
              <w:t>；</w:t>
            </w:r>
          </w:p>
          <w:p>
            <w:pPr>
              <w:widowControl/>
              <w:jc w:val="left"/>
              <w:rPr>
                <w:rFonts w:ascii="宋体" w:hAnsi="宋体" w:cs="宋体"/>
                <w:color w:val="000000"/>
                <w:szCs w:val="21"/>
              </w:rPr>
            </w:pPr>
            <w:r>
              <w:rPr>
                <w:rFonts w:ascii="宋体" w:hAnsi="宋体" w:cs="宋体"/>
                <w:color w:val="000000"/>
                <w:szCs w:val="21"/>
              </w:rPr>
              <w:t>3</w:t>
            </w:r>
            <w:r>
              <w:rPr>
                <w:rFonts w:hint="eastAsia" w:ascii="宋体" w:hAnsi="宋体" w:cs="宋体"/>
                <w:color w:val="000000"/>
                <w:szCs w:val="21"/>
              </w:rPr>
              <w:t>、具有ISO 45001职业健康安全管理体系认证证书，得</w:t>
            </w:r>
            <w:r>
              <w:rPr>
                <w:rFonts w:ascii="宋体" w:hAnsi="宋体" w:cs="宋体"/>
                <w:color w:val="000000"/>
                <w:szCs w:val="21"/>
              </w:rPr>
              <w:t>1</w:t>
            </w:r>
            <w:r>
              <w:rPr>
                <w:rFonts w:hint="eastAsia" w:ascii="宋体" w:hAnsi="宋体" w:cs="宋体"/>
                <w:color w:val="000000"/>
                <w:szCs w:val="21"/>
              </w:rPr>
              <w:t>分</w:t>
            </w:r>
            <w:r>
              <w:rPr>
                <w:rFonts w:ascii="宋体" w:hAnsi="宋体" w:cs="宋体"/>
                <w:color w:val="000000"/>
                <w:szCs w:val="21"/>
              </w:rPr>
              <w:t>；</w:t>
            </w:r>
          </w:p>
          <w:p>
            <w:pPr>
              <w:widowControl/>
              <w:jc w:val="left"/>
              <w:rPr>
                <w:rFonts w:ascii="宋体" w:hAnsi="宋体" w:cs="宋体"/>
                <w:color w:val="000000"/>
                <w:szCs w:val="21"/>
              </w:rPr>
            </w:pPr>
            <w:r>
              <w:rPr>
                <w:rFonts w:ascii="宋体" w:hAnsi="宋体" w:cs="宋体"/>
                <w:color w:val="000000"/>
                <w:szCs w:val="21"/>
              </w:rPr>
              <w:t>4</w:t>
            </w:r>
            <w:r>
              <w:rPr>
                <w:rFonts w:hint="eastAsia" w:ascii="宋体" w:hAnsi="宋体" w:cs="宋体"/>
                <w:color w:val="000000"/>
                <w:szCs w:val="21"/>
              </w:rPr>
              <w:t>、具有ISO 270001 信息安全管理体系认证证书，得</w:t>
            </w:r>
            <w:r>
              <w:rPr>
                <w:rFonts w:ascii="宋体" w:hAnsi="宋体" w:cs="宋体"/>
                <w:color w:val="000000"/>
                <w:szCs w:val="21"/>
              </w:rPr>
              <w:t>1</w:t>
            </w:r>
            <w:r>
              <w:rPr>
                <w:rFonts w:hint="eastAsia" w:ascii="宋体" w:hAnsi="宋体" w:cs="宋体"/>
                <w:color w:val="000000"/>
                <w:szCs w:val="21"/>
              </w:rPr>
              <w:t>分。</w:t>
            </w:r>
          </w:p>
          <w:p>
            <w:pPr>
              <w:widowControl/>
              <w:jc w:val="left"/>
              <w:rPr>
                <w:rFonts w:ascii="宋体" w:hAnsi="宋体" w:cs="宋体"/>
                <w:color w:val="000000"/>
                <w:szCs w:val="21"/>
              </w:rPr>
            </w:pPr>
            <w:r>
              <w:rPr>
                <w:rFonts w:hint="eastAsia" w:ascii="宋体" w:hAnsi="宋体" w:cs="宋体"/>
                <w:color w:val="000000"/>
                <w:szCs w:val="21"/>
              </w:rPr>
              <w:t>以上</w:t>
            </w:r>
            <w:r>
              <w:rPr>
                <w:rFonts w:ascii="宋体" w:hAnsi="宋体" w:cs="宋体"/>
                <w:color w:val="000000"/>
                <w:szCs w:val="21"/>
              </w:rPr>
              <w:t>每个证书</w:t>
            </w:r>
            <w:r>
              <w:rPr>
                <w:rFonts w:hint="eastAsia" w:ascii="宋体" w:hAnsi="宋体" w:cs="宋体"/>
                <w:color w:val="000000"/>
                <w:szCs w:val="21"/>
              </w:rPr>
              <w:t>，</w:t>
            </w:r>
            <w:r>
              <w:rPr>
                <w:rFonts w:ascii="宋体" w:hAnsi="宋体" w:cs="宋体"/>
                <w:color w:val="000000"/>
                <w:szCs w:val="21"/>
              </w:rPr>
              <w:t>每提供一个得1分</w:t>
            </w:r>
            <w:r>
              <w:rPr>
                <w:rFonts w:hint="eastAsia" w:ascii="宋体" w:hAnsi="宋体" w:cs="宋体"/>
                <w:color w:val="000000"/>
                <w:szCs w:val="21"/>
              </w:rPr>
              <w:t>，共</w:t>
            </w:r>
            <w:r>
              <w:rPr>
                <w:rFonts w:ascii="宋体" w:hAnsi="宋体" w:cs="宋体"/>
                <w:color w:val="000000"/>
                <w:szCs w:val="21"/>
              </w:rPr>
              <w:t>4</w:t>
            </w:r>
            <w:r>
              <w:rPr>
                <w:rFonts w:hint="eastAsia" w:ascii="宋体" w:hAnsi="宋体" w:cs="宋体"/>
                <w:color w:val="000000"/>
                <w:szCs w:val="21"/>
              </w:rPr>
              <w:t>分；</w:t>
            </w:r>
          </w:p>
          <w:p>
            <w:pPr>
              <w:widowControl/>
              <w:jc w:val="left"/>
              <w:rPr>
                <w:rFonts w:ascii="宋体" w:hAnsi="宋体" w:cs="宋体"/>
                <w:color w:val="000000"/>
                <w:szCs w:val="21"/>
              </w:rPr>
            </w:pPr>
            <w:r>
              <w:rPr>
                <w:rFonts w:hint="eastAsia" w:ascii="宋体" w:hAnsi="宋体" w:cs="宋体"/>
                <w:color w:val="000000"/>
                <w:szCs w:val="21"/>
              </w:rPr>
              <w:t>注：提供证书复印件，并须同时提供在认监委网站对体系证书的信息查询截图作为评审依据，已失效或撤销的不得分。</w:t>
            </w:r>
          </w:p>
          <w:p>
            <w:pPr>
              <w:pStyle w:val="2"/>
            </w:pP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ascii="宋体" w:hAnsi="宋体" w:cs="宋体"/>
                <w:color w:val="000000"/>
                <w:szCs w:val="21"/>
              </w:rPr>
              <w:t>4</w:t>
            </w:r>
            <w:r>
              <w:rPr>
                <w:rFonts w:hint="eastAsia" w:ascii="宋体" w:hAnsi="宋体" w:cs="宋体"/>
                <w:color w:val="000000"/>
                <w:szCs w:val="21"/>
              </w:rPr>
              <w:t>分</w:t>
            </w:r>
          </w:p>
        </w:tc>
        <w:tc>
          <w:tcPr>
            <w:tcW w:w="6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6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6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6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6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r>
      <w:tr>
        <w:tblPrEx>
          <w:tblCellMar>
            <w:top w:w="0" w:type="dxa"/>
            <w:left w:w="108" w:type="dxa"/>
            <w:bottom w:w="0" w:type="dxa"/>
            <w:right w:w="108" w:type="dxa"/>
          </w:tblCellMar>
        </w:tblPrEx>
        <w:trPr>
          <w:trHeight w:val="2214" w:hRule="exact"/>
          <w:jc w:val="center"/>
        </w:trPr>
        <w:tc>
          <w:tcPr>
            <w:tcW w:w="68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r>
              <w:rPr>
                <w:rFonts w:hint="eastAsia" w:ascii="宋体" w:hAnsi="宋体" w:cs="宋体"/>
                <w:color w:val="000000"/>
                <w:szCs w:val="21"/>
              </w:rPr>
              <w:t>(五)</w:t>
            </w:r>
          </w:p>
        </w:tc>
        <w:tc>
          <w:tcPr>
            <w:tcW w:w="87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szCs w:val="21"/>
              </w:rPr>
            </w:pPr>
            <w:r>
              <w:rPr>
                <w:rFonts w:hint="eastAsia" w:ascii="宋体" w:hAnsi="宋体" w:cs="宋体"/>
                <w:color w:val="000000"/>
                <w:szCs w:val="21"/>
              </w:rPr>
              <w:t>企业资质</w:t>
            </w:r>
          </w:p>
        </w:tc>
        <w:tc>
          <w:tcPr>
            <w:tcW w:w="3175" w:type="dxa"/>
            <w:tcBorders>
              <w:top w:val="nil"/>
              <w:left w:val="single" w:color="auto" w:sz="4" w:space="0"/>
              <w:bottom w:val="single" w:color="000000" w:sz="4" w:space="0"/>
              <w:right w:val="single" w:color="auto" w:sz="4" w:space="0"/>
            </w:tcBorders>
            <w:vAlign w:val="center"/>
          </w:tcPr>
          <w:p>
            <w:pPr>
              <w:rPr>
                <w:rFonts w:ascii="宋体" w:hAnsi="宋体"/>
              </w:rPr>
            </w:pPr>
            <w:r>
              <w:rPr>
                <w:rFonts w:hint="eastAsia" w:ascii="宋体" w:hAnsi="宋体"/>
              </w:rPr>
              <w:t>根据</w:t>
            </w:r>
            <w:r>
              <w:rPr>
                <w:rFonts w:ascii="宋体" w:hAnsi="宋体"/>
              </w:rPr>
              <w:t>参选人是否具备以下资质证书进行评分：</w:t>
            </w:r>
          </w:p>
          <w:p>
            <w:pPr>
              <w:rPr>
                <w:rFonts w:ascii="宋体" w:hAnsi="宋体"/>
              </w:rPr>
            </w:pPr>
            <w:r>
              <w:rPr>
                <w:rFonts w:ascii="宋体" w:hAnsi="宋体"/>
              </w:rPr>
              <w:t>1</w:t>
            </w:r>
            <w:r>
              <w:rPr>
                <w:rFonts w:hint="eastAsia" w:ascii="宋体" w:hAnsi="宋体"/>
              </w:rPr>
              <w:t>、具有中国网络安全审查技术与认证中心颁发的信息安全服务资质认证证书（信息安全风险评估），得</w:t>
            </w:r>
            <w:r>
              <w:rPr>
                <w:rFonts w:ascii="宋体" w:hAnsi="宋体"/>
              </w:rPr>
              <w:t>2</w:t>
            </w:r>
            <w:r>
              <w:rPr>
                <w:rFonts w:hint="eastAsia" w:ascii="宋体" w:hAnsi="宋体"/>
              </w:rPr>
              <w:t xml:space="preserve">分； </w:t>
            </w:r>
          </w:p>
          <w:p>
            <w:pPr>
              <w:rPr>
                <w:rFonts w:ascii="宋体" w:hAnsi="宋体"/>
              </w:rPr>
            </w:pPr>
            <w:r>
              <w:rPr>
                <w:rFonts w:ascii="宋体" w:hAnsi="宋体"/>
              </w:rPr>
              <w:t>2</w:t>
            </w:r>
            <w:r>
              <w:rPr>
                <w:rFonts w:hint="eastAsia" w:ascii="宋体" w:hAnsi="宋体"/>
              </w:rPr>
              <w:t>、具有中国网络安全审查技术与认证中心颁发的信息安全服务资质认证证书（信息安全应急处理），得</w:t>
            </w:r>
            <w:r>
              <w:rPr>
                <w:rFonts w:ascii="宋体" w:hAnsi="宋体"/>
              </w:rPr>
              <w:t>2</w:t>
            </w:r>
            <w:r>
              <w:rPr>
                <w:rFonts w:hint="eastAsia" w:ascii="宋体" w:hAnsi="宋体"/>
              </w:rPr>
              <w:t xml:space="preserve">分； </w:t>
            </w:r>
          </w:p>
          <w:p>
            <w:pPr>
              <w:rPr>
                <w:rFonts w:ascii="宋体" w:hAnsi="宋体"/>
              </w:rPr>
            </w:pPr>
            <w:r>
              <w:rPr>
                <w:rFonts w:ascii="宋体" w:hAnsi="宋体"/>
              </w:rPr>
              <w:t>3</w:t>
            </w:r>
            <w:r>
              <w:rPr>
                <w:rFonts w:hint="eastAsia" w:ascii="宋体" w:hAnsi="宋体"/>
              </w:rPr>
              <w:t>、具有中国网络安全审查技术与认证中心颁发的信息安全服务资质认证证书（信息系统安全运维），得</w:t>
            </w:r>
            <w:r>
              <w:rPr>
                <w:rFonts w:ascii="宋体" w:hAnsi="宋体"/>
              </w:rPr>
              <w:t>2</w:t>
            </w:r>
            <w:r>
              <w:rPr>
                <w:rFonts w:hint="eastAsia" w:ascii="宋体" w:hAnsi="宋体"/>
              </w:rPr>
              <w:t xml:space="preserve">分； </w:t>
            </w:r>
          </w:p>
          <w:p>
            <w:pPr>
              <w:rPr>
                <w:rFonts w:ascii="宋体" w:hAnsi="宋体"/>
              </w:rPr>
            </w:pPr>
            <w:r>
              <w:rPr>
                <w:rFonts w:hint="eastAsia" w:ascii="宋体" w:hAnsi="宋体"/>
              </w:rPr>
              <w:t>4、具有中国网络安全审查技术与认证中心颁发的信息安全服务资质认证证书（信息系统网络安全审计），得</w:t>
            </w:r>
            <w:r>
              <w:rPr>
                <w:rFonts w:ascii="宋体" w:hAnsi="宋体"/>
              </w:rPr>
              <w:t>2</w:t>
            </w:r>
            <w:r>
              <w:rPr>
                <w:rFonts w:hint="eastAsia" w:ascii="宋体" w:hAnsi="宋体"/>
              </w:rPr>
              <w:t>分；</w:t>
            </w:r>
          </w:p>
          <w:p>
            <w:pPr>
              <w:rPr>
                <w:rFonts w:ascii="宋体" w:hAnsi="宋体"/>
              </w:rPr>
            </w:pPr>
            <w:r>
              <w:rPr>
                <w:rFonts w:hint="eastAsia" w:ascii="宋体" w:hAnsi="宋体"/>
              </w:rPr>
              <w:t>以上</w:t>
            </w:r>
            <w:r>
              <w:rPr>
                <w:rFonts w:ascii="宋体" w:hAnsi="宋体"/>
              </w:rPr>
              <w:t>每个证书</w:t>
            </w:r>
            <w:r>
              <w:rPr>
                <w:rFonts w:hint="eastAsia" w:ascii="宋体" w:hAnsi="宋体"/>
              </w:rPr>
              <w:t>，</w:t>
            </w:r>
            <w:r>
              <w:rPr>
                <w:rFonts w:ascii="宋体" w:hAnsi="宋体"/>
              </w:rPr>
              <w:t>每提供一个得2分</w:t>
            </w:r>
            <w:r>
              <w:rPr>
                <w:rFonts w:hint="eastAsia" w:ascii="宋体" w:hAnsi="宋体"/>
              </w:rPr>
              <w:t>，共</w:t>
            </w:r>
            <w:r>
              <w:rPr>
                <w:rFonts w:ascii="宋体" w:hAnsi="宋体"/>
              </w:rPr>
              <w:t>8</w:t>
            </w:r>
            <w:r>
              <w:rPr>
                <w:rFonts w:hint="eastAsia" w:ascii="宋体" w:hAnsi="宋体"/>
              </w:rPr>
              <w:t>分；</w:t>
            </w:r>
          </w:p>
          <w:p>
            <w:pPr>
              <w:widowControl/>
              <w:jc w:val="left"/>
              <w:rPr>
                <w:rFonts w:ascii="宋体" w:hAnsi="宋体"/>
              </w:rPr>
            </w:pPr>
            <w:r>
              <w:rPr>
                <w:rFonts w:ascii="宋体" w:hAnsi="宋体"/>
              </w:rPr>
              <w:t>注：须提供有效证书复印件加盖参选人公章。</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ascii="宋体" w:hAnsi="宋体" w:cs="宋体"/>
                <w:color w:val="000000"/>
                <w:szCs w:val="21"/>
              </w:rPr>
              <w:t>8</w:t>
            </w:r>
            <w:r>
              <w:rPr>
                <w:rFonts w:hint="eastAsia" w:ascii="宋体" w:hAnsi="宋体" w:cs="宋体"/>
                <w:color w:val="000000"/>
                <w:szCs w:val="21"/>
              </w:rPr>
              <w:t>分</w:t>
            </w:r>
          </w:p>
        </w:tc>
        <w:tc>
          <w:tcPr>
            <w:tcW w:w="6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6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6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6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6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r>
    </w:tbl>
    <w:p>
      <w:pPr>
        <w:spacing w:before="14"/>
        <w:ind w:right="95"/>
        <w:jc w:val="center"/>
        <w:rPr>
          <w:rFonts w:ascii="黑体" w:hAnsi="黑体" w:eastAsia="黑体" w:cs="黑体"/>
          <w:sz w:val="28"/>
          <w:szCs w:val="28"/>
        </w:rPr>
      </w:pPr>
      <w:r>
        <w:rPr>
          <w:rFonts w:ascii="黑体" w:hAnsi="黑体" w:eastAsia="黑体" w:cs="黑体"/>
          <w:sz w:val="28"/>
          <w:szCs w:val="28"/>
        </w:rPr>
        <w:br w:type="page"/>
      </w:r>
      <w:r>
        <w:rPr>
          <w:rFonts w:ascii="黑体" w:hAnsi="黑体" w:eastAsia="黑体" w:cs="黑体"/>
          <w:sz w:val="28"/>
          <w:szCs w:val="28"/>
        </w:rPr>
        <w:t>价格评分表</w:t>
      </w:r>
    </w:p>
    <w:p>
      <w:pPr>
        <w:spacing w:before="1"/>
        <w:rPr>
          <w:rFonts w:ascii="黑体" w:hAnsi="黑体" w:eastAsia="黑体" w:cs="黑体"/>
          <w:sz w:val="17"/>
          <w:szCs w:val="17"/>
        </w:rPr>
      </w:pPr>
    </w:p>
    <w:tbl>
      <w:tblPr>
        <w:tblStyle w:val="32"/>
        <w:tblW w:w="8852" w:type="dxa"/>
        <w:jc w:val="center"/>
        <w:tblLayout w:type="fixed"/>
        <w:tblCellMar>
          <w:top w:w="0" w:type="dxa"/>
          <w:left w:w="108" w:type="dxa"/>
          <w:bottom w:w="0" w:type="dxa"/>
          <w:right w:w="108" w:type="dxa"/>
        </w:tblCellMar>
      </w:tblPr>
      <w:tblGrid>
        <w:gridCol w:w="718"/>
        <w:gridCol w:w="678"/>
        <w:gridCol w:w="2516"/>
        <w:gridCol w:w="629"/>
        <w:gridCol w:w="862"/>
        <w:gridCol w:w="862"/>
        <w:gridCol w:w="862"/>
        <w:gridCol w:w="862"/>
        <w:gridCol w:w="863"/>
      </w:tblGrid>
      <w:tr>
        <w:tblPrEx>
          <w:tblCellMar>
            <w:top w:w="0" w:type="dxa"/>
            <w:left w:w="108" w:type="dxa"/>
            <w:bottom w:w="0" w:type="dxa"/>
            <w:right w:w="108" w:type="dxa"/>
          </w:tblCellMar>
        </w:tblPrEx>
        <w:trPr>
          <w:trHeight w:val="299" w:hRule="atLeast"/>
          <w:jc w:val="center"/>
        </w:trPr>
        <w:tc>
          <w:tcPr>
            <w:tcW w:w="8850" w:type="dxa"/>
            <w:gridSpan w:val="9"/>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b/>
                <w:bCs/>
                <w:color w:val="000000"/>
                <w:sz w:val="24"/>
              </w:rPr>
            </w:pPr>
            <w:r>
              <w:rPr>
                <w:rFonts w:hint="eastAsia" w:ascii="宋体" w:hAnsi="宋体" w:cs="宋体"/>
                <w:b/>
                <w:bCs/>
                <w:color w:val="000000"/>
                <w:sz w:val="24"/>
              </w:rPr>
              <w:t>价格部分（合计10分）</w:t>
            </w:r>
          </w:p>
        </w:tc>
      </w:tr>
      <w:tr>
        <w:tblPrEx>
          <w:tblCellMar>
            <w:top w:w="0" w:type="dxa"/>
            <w:left w:w="108" w:type="dxa"/>
            <w:bottom w:w="0" w:type="dxa"/>
            <w:right w:w="108" w:type="dxa"/>
          </w:tblCellMar>
        </w:tblPrEx>
        <w:trPr>
          <w:trHeight w:val="271" w:hRule="atLeast"/>
          <w:jc w:val="center"/>
        </w:trPr>
        <w:tc>
          <w:tcPr>
            <w:tcW w:w="718" w:type="dxa"/>
            <w:tcBorders>
              <w:top w:val="nil"/>
              <w:left w:val="single" w:color="auto" w:sz="4" w:space="0"/>
              <w:bottom w:val="single" w:color="auto" w:sz="4" w:space="0"/>
              <w:right w:val="single" w:color="auto" w:sz="4" w:space="0"/>
            </w:tcBorders>
            <w:shd w:val="clear" w:color="auto" w:fill="D7D7D7"/>
            <w:vAlign w:val="center"/>
          </w:tcPr>
          <w:p>
            <w:pPr>
              <w:widowControl/>
              <w:jc w:val="center"/>
              <w:rPr>
                <w:rFonts w:ascii="宋体" w:hAnsi="宋体" w:cs="宋体"/>
                <w:color w:val="000000"/>
                <w:szCs w:val="21"/>
              </w:rPr>
            </w:pPr>
            <w:r>
              <w:rPr>
                <w:rFonts w:hint="eastAsia" w:ascii="黑体" w:hAnsi="黑体" w:eastAsia="黑体" w:cs="黑体"/>
                <w:color w:val="000000"/>
                <w:szCs w:val="21"/>
              </w:rPr>
              <w:t>序号</w:t>
            </w:r>
          </w:p>
        </w:tc>
        <w:tc>
          <w:tcPr>
            <w:tcW w:w="678" w:type="dxa"/>
            <w:tcBorders>
              <w:top w:val="nil"/>
              <w:left w:val="single" w:color="auto" w:sz="4" w:space="0"/>
              <w:bottom w:val="single" w:color="auto" w:sz="4" w:space="0"/>
              <w:right w:val="single" w:color="auto" w:sz="4" w:space="0"/>
            </w:tcBorders>
            <w:shd w:val="clear" w:color="auto" w:fill="D7D7D7"/>
            <w:vAlign w:val="center"/>
          </w:tcPr>
          <w:p>
            <w:pPr>
              <w:widowControl/>
              <w:jc w:val="center"/>
              <w:rPr>
                <w:rFonts w:ascii="宋体" w:hAnsi="宋体" w:cs="宋体"/>
                <w:color w:val="000000"/>
                <w:szCs w:val="21"/>
              </w:rPr>
            </w:pPr>
            <w:r>
              <w:rPr>
                <w:rFonts w:hint="eastAsia" w:ascii="黑体" w:hAnsi="黑体" w:eastAsia="黑体" w:cs="黑体"/>
                <w:color w:val="000000"/>
                <w:szCs w:val="21"/>
              </w:rPr>
              <w:t>项目</w:t>
            </w:r>
          </w:p>
        </w:tc>
        <w:tc>
          <w:tcPr>
            <w:tcW w:w="2516" w:type="dxa"/>
            <w:tcBorders>
              <w:top w:val="nil"/>
              <w:left w:val="single" w:color="auto" w:sz="4" w:space="0"/>
              <w:bottom w:val="single" w:color="000000" w:sz="4" w:space="0"/>
              <w:right w:val="single" w:color="auto" w:sz="4" w:space="0"/>
            </w:tcBorders>
            <w:shd w:val="clear" w:color="auto" w:fill="D7D7D7"/>
            <w:vAlign w:val="center"/>
          </w:tcPr>
          <w:p>
            <w:pPr>
              <w:widowControl/>
              <w:jc w:val="center"/>
              <w:rPr>
                <w:rFonts w:ascii="宋体" w:hAnsi="宋体" w:cs="宋体"/>
                <w:color w:val="000000"/>
                <w:szCs w:val="21"/>
              </w:rPr>
            </w:pPr>
            <w:r>
              <w:rPr>
                <w:rFonts w:hint="eastAsia" w:ascii="黑体" w:hAnsi="黑体" w:eastAsia="黑体" w:cs="黑体"/>
                <w:color w:val="000000"/>
                <w:szCs w:val="21"/>
              </w:rPr>
              <w:t>内容</w:t>
            </w:r>
          </w:p>
        </w:tc>
        <w:tc>
          <w:tcPr>
            <w:tcW w:w="629" w:type="dxa"/>
            <w:tcBorders>
              <w:top w:val="nil"/>
              <w:left w:val="single" w:color="auto" w:sz="4" w:space="0"/>
              <w:bottom w:val="single" w:color="auto" w:sz="4" w:space="0"/>
              <w:right w:val="single" w:color="auto" w:sz="4" w:space="0"/>
            </w:tcBorders>
            <w:shd w:val="clear" w:color="auto" w:fill="D7D7D7"/>
            <w:vAlign w:val="center"/>
          </w:tcPr>
          <w:p>
            <w:pPr>
              <w:widowControl/>
              <w:jc w:val="center"/>
              <w:rPr>
                <w:rFonts w:ascii="宋体" w:hAnsi="宋体" w:cs="宋体"/>
                <w:color w:val="000000"/>
                <w:szCs w:val="21"/>
              </w:rPr>
            </w:pPr>
            <w:r>
              <w:rPr>
                <w:rFonts w:hint="eastAsia" w:ascii="黑体" w:hAnsi="黑体" w:eastAsia="黑体" w:cs="黑体"/>
                <w:color w:val="000000"/>
                <w:szCs w:val="21"/>
              </w:rPr>
              <w:t>分值</w:t>
            </w:r>
          </w:p>
        </w:tc>
        <w:tc>
          <w:tcPr>
            <w:tcW w:w="862" w:type="dxa"/>
            <w:tcBorders>
              <w:top w:val="nil"/>
              <w:left w:val="single" w:color="auto" w:sz="4" w:space="0"/>
              <w:bottom w:val="single" w:color="auto" w:sz="4" w:space="0"/>
              <w:right w:val="single" w:color="auto" w:sz="4" w:space="0"/>
            </w:tcBorders>
            <w:shd w:val="clear" w:color="auto" w:fill="D7D7D7"/>
            <w:vAlign w:val="center"/>
          </w:tcPr>
          <w:p>
            <w:pPr>
              <w:pStyle w:val="93"/>
              <w:spacing w:before="133" w:line="276" w:lineRule="auto"/>
              <w:ind w:right="2"/>
              <w:jc w:val="center"/>
              <w:rPr>
                <w:rFonts w:ascii="宋体" w:hAnsi="宋体" w:cs="宋体"/>
                <w:color w:val="000000"/>
                <w:szCs w:val="21"/>
              </w:rPr>
            </w:pPr>
            <w:r>
              <w:rPr>
                <w:rFonts w:hint="eastAsia" w:ascii="黑体" w:hAnsi="黑体" w:eastAsia="黑体" w:cs="黑体"/>
                <w:szCs w:val="21"/>
              </w:rPr>
              <w:t>供应商 1</w:t>
            </w:r>
          </w:p>
        </w:tc>
        <w:tc>
          <w:tcPr>
            <w:tcW w:w="862" w:type="dxa"/>
            <w:tcBorders>
              <w:top w:val="nil"/>
              <w:left w:val="single" w:color="auto" w:sz="4" w:space="0"/>
              <w:bottom w:val="single" w:color="auto" w:sz="4" w:space="0"/>
              <w:right w:val="single" w:color="auto" w:sz="4" w:space="0"/>
            </w:tcBorders>
            <w:shd w:val="clear" w:color="auto" w:fill="D7D7D7"/>
            <w:vAlign w:val="center"/>
          </w:tcPr>
          <w:p>
            <w:pPr>
              <w:pStyle w:val="93"/>
              <w:spacing w:before="133" w:line="276" w:lineRule="auto"/>
              <w:ind w:right="2"/>
              <w:jc w:val="center"/>
              <w:rPr>
                <w:rFonts w:ascii="宋体" w:hAnsi="宋体" w:cs="宋体"/>
                <w:color w:val="000000"/>
                <w:szCs w:val="21"/>
              </w:rPr>
            </w:pPr>
            <w:r>
              <w:rPr>
                <w:rFonts w:hint="eastAsia" w:ascii="黑体" w:hAnsi="黑体" w:eastAsia="黑体" w:cs="黑体"/>
                <w:szCs w:val="21"/>
              </w:rPr>
              <w:t>供应商 2</w:t>
            </w:r>
          </w:p>
        </w:tc>
        <w:tc>
          <w:tcPr>
            <w:tcW w:w="862" w:type="dxa"/>
            <w:tcBorders>
              <w:top w:val="nil"/>
              <w:left w:val="single" w:color="auto" w:sz="4" w:space="0"/>
              <w:bottom w:val="single" w:color="auto" w:sz="4" w:space="0"/>
              <w:right w:val="single" w:color="auto" w:sz="4" w:space="0"/>
            </w:tcBorders>
            <w:shd w:val="clear" w:color="auto" w:fill="D7D7D7"/>
            <w:vAlign w:val="center"/>
          </w:tcPr>
          <w:p>
            <w:pPr>
              <w:pStyle w:val="93"/>
              <w:spacing w:before="133" w:line="276" w:lineRule="auto"/>
              <w:ind w:right="2"/>
              <w:jc w:val="center"/>
              <w:rPr>
                <w:rFonts w:ascii="宋体" w:hAnsi="宋体" w:cs="宋体"/>
                <w:color w:val="000000"/>
                <w:szCs w:val="21"/>
              </w:rPr>
            </w:pPr>
            <w:r>
              <w:rPr>
                <w:rFonts w:hint="eastAsia" w:ascii="黑体" w:hAnsi="黑体" w:eastAsia="黑体" w:cs="黑体"/>
                <w:szCs w:val="21"/>
              </w:rPr>
              <w:t>供应商 3</w:t>
            </w:r>
          </w:p>
        </w:tc>
        <w:tc>
          <w:tcPr>
            <w:tcW w:w="862" w:type="dxa"/>
            <w:tcBorders>
              <w:top w:val="nil"/>
              <w:left w:val="single" w:color="auto" w:sz="4" w:space="0"/>
              <w:bottom w:val="single" w:color="auto" w:sz="4" w:space="0"/>
              <w:right w:val="single" w:color="auto" w:sz="4" w:space="0"/>
            </w:tcBorders>
            <w:shd w:val="clear" w:color="auto" w:fill="D7D7D7"/>
            <w:vAlign w:val="center"/>
          </w:tcPr>
          <w:p>
            <w:pPr>
              <w:pStyle w:val="93"/>
              <w:spacing w:before="133" w:line="276" w:lineRule="auto"/>
              <w:ind w:right="2"/>
              <w:jc w:val="center"/>
              <w:rPr>
                <w:rFonts w:ascii="宋体" w:hAnsi="宋体" w:cs="宋体"/>
                <w:color w:val="000000"/>
                <w:szCs w:val="21"/>
              </w:rPr>
            </w:pPr>
            <w:r>
              <w:rPr>
                <w:rFonts w:hint="eastAsia" w:ascii="黑体" w:hAnsi="黑体" w:eastAsia="黑体" w:cs="黑体"/>
                <w:szCs w:val="21"/>
              </w:rPr>
              <w:t>供应商 4</w:t>
            </w:r>
          </w:p>
        </w:tc>
        <w:tc>
          <w:tcPr>
            <w:tcW w:w="863" w:type="dxa"/>
            <w:tcBorders>
              <w:top w:val="nil"/>
              <w:left w:val="single" w:color="auto" w:sz="4" w:space="0"/>
              <w:bottom w:val="single" w:color="auto" w:sz="4" w:space="0"/>
              <w:right w:val="single" w:color="auto" w:sz="4" w:space="0"/>
            </w:tcBorders>
            <w:shd w:val="clear" w:color="auto" w:fill="D7D7D7"/>
            <w:vAlign w:val="center"/>
          </w:tcPr>
          <w:p>
            <w:pPr>
              <w:pStyle w:val="93"/>
              <w:spacing w:before="133" w:line="276" w:lineRule="auto"/>
              <w:ind w:right="2"/>
              <w:jc w:val="center"/>
              <w:rPr>
                <w:rFonts w:ascii="宋体" w:hAnsi="宋体" w:cs="宋体"/>
                <w:color w:val="000000"/>
                <w:szCs w:val="21"/>
              </w:rPr>
            </w:pPr>
            <w:r>
              <w:rPr>
                <w:rFonts w:hint="eastAsia" w:ascii="黑体" w:hAnsi="黑体" w:eastAsia="黑体" w:cs="黑体"/>
                <w:szCs w:val="21"/>
              </w:rPr>
              <w:t>供应商 5</w:t>
            </w:r>
          </w:p>
        </w:tc>
      </w:tr>
      <w:tr>
        <w:tblPrEx>
          <w:tblCellMar>
            <w:top w:w="0" w:type="dxa"/>
            <w:left w:w="108" w:type="dxa"/>
            <w:bottom w:w="0" w:type="dxa"/>
            <w:right w:w="108" w:type="dxa"/>
          </w:tblCellMar>
        </w:tblPrEx>
        <w:trPr>
          <w:trHeight w:val="4621" w:hRule="atLeast"/>
          <w:jc w:val="center"/>
        </w:trPr>
        <w:tc>
          <w:tcPr>
            <w:tcW w:w="71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(一)</w:t>
            </w:r>
          </w:p>
        </w:tc>
        <w:tc>
          <w:tcPr>
            <w:tcW w:w="67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参评报价</w:t>
            </w:r>
          </w:p>
        </w:tc>
        <w:tc>
          <w:tcPr>
            <w:tcW w:w="2516" w:type="dxa"/>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szCs w:val="21"/>
              </w:rPr>
            </w:pPr>
            <w:r>
              <w:rPr>
                <w:rFonts w:hint="eastAsia" w:ascii="宋体" w:hAnsi="宋体" w:cs="宋体"/>
                <w:color w:val="000000"/>
                <w:szCs w:val="21"/>
              </w:rPr>
              <w:t>1、价格分应当采用低价优先法计算，即满足采购文件要求且参评价格最低的参评报价为评审基准价，其价格分为满分。其他参评人的价格分统一按照下列公式计算：</w:t>
            </w:r>
          </w:p>
          <w:p>
            <w:pPr>
              <w:widowControl/>
              <w:jc w:val="left"/>
              <w:rPr>
                <w:rFonts w:ascii="宋体" w:hAnsi="宋体" w:cs="宋体"/>
                <w:color w:val="000000"/>
                <w:szCs w:val="21"/>
              </w:rPr>
            </w:pPr>
            <w:r>
              <w:rPr>
                <w:rFonts w:hint="eastAsia" w:ascii="宋体" w:hAnsi="宋体" w:cs="宋体"/>
                <w:color w:val="000000"/>
                <w:szCs w:val="21"/>
              </w:rPr>
              <w:t>参评报价得分=(评审基准价／参评报价)×100×权重</w:t>
            </w:r>
          </w:p>
          <w:p>
            <w:pPr>
              <w:widowControl/>
              <w:jc w:val="left"/>
              <w:rPr>
                <w:rFonts w:ascii="宋体" w:hAnsi="宋体" w:cs="宋体"/>
                <w:color w:val="000000"/>
                <w:szCs w:val="21"/>
              </w:rPr>
            </w:pPr>
            <w:r>
              <w:rPr>
                <w:rFonts w:hint="eastAsia" w:ascii="宋体" w:hAnsi="宋体" w:cs="宋体"/>
                <w:color w:val="000000"/>
                <w:szCs w:val="21"/>
              </w:rPr>
              <w:t>备注：</w:t>
            </w:r>
          </w:p>
          <w:p>
            <w:pPr>
              <w:widowControl/>
              <w:numPr>
                <w:ilvl w:val="0"/>
                <w:numId w:val="10"/>
              </w:numPr>
              <w:jc w:val="left"/>
              <w:rPr>
                <w:rFonts w:ascii="宋体" w:hAnsi="宋体" w:cs="宋体"/>
                <w:color w:val="000000"/>
                <w:szCs w:val="21"/>
              </w:rPr>
            </w:pPr>
            <w:r>
              <w:rPr>
                <w:rFonts w:hint="eastAsia" w:ascii="宋体" w:hAnsi="宋体" w:cs="宋体"/>
                <w:color w:val="000000"/>
                <w:szCs w:val="21"/>
              </w:rPr>
              <w:t>因落实政府采购政策进行价格调整的，以调整后的价格计算评审基准价和参评报价,详见《价格扣除》。</w:t>
            </w:r>
          </w:p>
          <w:p>
            <w:pPr>
              <w:widowControl/>
              <w:numPr>
                <w:ilvl w:val="0"/>
                <w:numId w:val="10"/>
              </w:numPr>
              <w:jc w:val="left"/>
              <w:rPr>
                <w:rFonts w:ascii="宋体" w:hAnsi="宋体" w:cs="宋体"/>
                <w:color w:val="000000"/>
                <w:szCs w:val="21"/>
              </w:rPr>
            </w:pPr>
            <w:r>
              <w:rPr>
                <w:rFonts w:hint="eastAsia" w:ascii="宋体" w:hAnsi="宋体" w:cs="宋体"/>
                <w:color w:val="000000"/>
                <w:szCs w:val="21"/>
              </w:rPr>
              <w:t>参评报价得分四舍五入后，小数点后保留两位有效数；</w:t>
            </w:r>
          </w:p>
        </w:tc>
        <w:tc>
          <w:tcPr>
            <w:tcW w:w="6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10分</w:t>
            </w:r>
          </w:p>
        </w:tc>
        <w:tc>
          <w:tcPr>
            <w:tcW w:w="8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8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8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8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c>
          <w:tcPr>
            <w:tcW w:w="8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p>
        </w:tc>
      </w:tr>
    </w:tbl>
    <w:p>
      <w:pPr>
        <w:pStyle w:val="17"/>
        <w:spacing w:before="26" w:line="297" w:lineRule="auto"/>
        <w:ind w:left="600" w:right="101"/>
      </w:pPr>
    </w:p>
    <w:p>
      <w:pPr>
        <w:pStyle w:val="17"/>
        <w:spacing w:before="26" w:line="297" w:lineRule="auto"/>
        <w:ind w:left="600" w:right="101"/>
      </w:pPr>
      <w:r>
        <w:t>备注：</w:t>
      </w:r>
      <w:r>
        <w:rPr>
          <w:w w:val="99"/>
        </w:rPr>
        <w:t xml:space="preserve"> </w:t>
      </w:r>
      <w:r>
        <w:t>1、遴选采购文件要求提交的与评分相关的各类有效资料，</w:t>
      </w:r>
      <w:r>
        <w:rPr>
          <w:rFonts w:hint="eastAsia"/>
        </w:rPr>
        <w:t>参评</w:t>
      </w:r>
      <w:r>
        <w:t>人如未按要求提交的，该项评分为零分。</w:t>
      </w:r>
    </w:p>
    <w:p>
      <w:pPr>
        <w:pStyle w:val="17"/>
        <w:spacing w:before="13"/>
        <w:ind w:left="600" w:right="101"/>
      </w:pPr>
      <w:r>
        <w:t>2、凡发现</w:t>
      </w:r>
      <w:r>
        <w:rPr>
          <w:rFonts w:hint="eastAsia"/>
        </w:rPr>
        <w:t>成交</w:t>
      </w:r>
      <w:r>
        <w:t>候选人有下列行为之一的，其</w:t>
      </w:r>
      <w:r>
        <w:rPr>
          <w:rFonts w:hint="eastAsia"/>
        </w:rPr>
        <w:t>成交</w:t>
      </w:r>
      <w:r>
        <w:t>无效。</w:t>
      </w:r>
    </w:p>
    <w:p>
      <w:pPr>
        <w:pStyle w:val="17"/>
        <w:spacing w:before="66"/>
        <w:ind w:left="600" w:right="101"/>
      </w:pPr>
      <w:r>
        <w:t>2.1</w:t>
      </w:r>
      <w:r>
        <w:rPr>
          <w:spacing w:val="-62"/>
        </w:rPr>
        <w:t xml:space="preserve"> </w:t>
      </w:r>
      <w:r>
        <w:t>提供虚假材料谋取</w:t>
      </w:r>
      <w:r>
        <w:rPr>
          <w:rFonts w:hint="eastAsia"/>
        </w:rPr>
        <w:t>成交</w:t>
      </w:r>
      <w:r>
        <w:t>的；</w:t>
      </w:r>
    </w:p>
    <w:p>
      <w:pPr>
        <w:pStyle w:val="17"/>
        <w:spacing w:before="66"/>
        <w:ind w:left="600" w:right="101"/>
      </w:pPr>
      <w:r>
        <w:t>2.2</w:t>
      </w:r>
      <w:r>
        <w:rPr>
          <w:spacing w:val="-64"/>
        </w:rPr>
        <w:t xml:space="preserve"> </w:t>
      </w:r>
      <w:r>
        <w:t>采取不正当手段诋毁、排挤其他</w:t>
      </w:r>
      <w:r>
        <w:rPr>
          <w:rFonts w:hint="eastAsia"/>
        </w:rPr>
        <w:t>参评</w:t>
      </w:r>
      <w:r>
        <w:t>人的；</w:t>
      </w:r>
    </w:p>
    <w:p>
      <w:pPr>
        <w:pStyle w:val="17"/>
        <w:spacing w:before="63"/>
        <w:ind w:left="600" w:right="101"/>
      </w:pPr>
      <w:r>
        <w:t>2.3</w:t>
      </w:r>
      <w:r>
        <w:rPr>
          <w:spacing w:val="-64"/>
        </w:rPr>
        <w:t xml:space="preserve"> </w:t>
      </w:r>
      <w:r>
        <w:t>与</w:t>
      </w:r>
      <w:r>
        <w:rPr>
          <w:rFonts w:hint="eastAsia"/>
        </w:rPr>
        <w:t>采购</w:t>
      </w:r>
      <w:r>
        <w:t>人、其他</w:t>
      </w:r>
      <w:r>
        <w:rPr>
          <w:rFonts w:hint="eastAsia"/>
        </w:rPr>
        <w:t>参评</w:t>
      </w:r>
      <w:r>
        <w:t>人恶意串通的；</w:t>
      </w:r>
    </w:p>
    <w:p>
      <w:pPr>
        <w:pStyle w:val="17"/>
        <w:spacing w:before="66"/>
        <w:ind w:left="600" w:right="101"/>
      </w:pPr>
      <w:r>
        <w:t>2.4</w:t>
      </w:r>
      <w:r>
        <w:rPr>
          <w:spacing w:val="-66"/>
        </w:rPr>
        <w:t xml:space="preserve"> </w:t>
      </w:r>
      <w:r>
        <w:t>向</w:t>
      </w:r>
      <w:r>
        <w:rPr>
          <w:rFonts w:hint="eastAsia"/>
        </w:rPr>
        <w:t>采购</w:t>
      </w:r>
      <w:r>
        <w:t>人工作人员行贿或者提供其他不正当利益的；</w:t>
      </w:r>
    </w:p>
    <w:p>
      <w:pPr>
        <w:pStyle w:val="17"/>
        <w:spacing w:before="66"/>
        <w:ind w:left="600" w:right="101"/>
      </w:pPr>
      <w:r>
        <w:t>2.5</w:t>
      </w:r>
      <w:r>
        <w:rPr>
          <w:spacing w:val="-66"/>
        </w:rPr>
        <w:t xml:space="preserve"> </w:t>
      </w:r>
      <w:r>
        <w:t>拒绝有关部门监督检查或者提供虚假情况的；</w:t>
      </w:r>
    </w:p>
    <w:p>
      <w:pPr>
        <w:pStyle w:val="17"/>
        <w:spacing w:before="63"/>
        <w:ind w:left="600" w:right="101"/>
      </w:pPr>
      <w:r>
        <w:t>2.6</w:t>
      </w:r>
      <w:r>
        <w:rPr>
          <w:spacing w:val="-69"/>
        </w:rPr>
        <w:t xml:space="preserve"> </w:t>
      </w:r>
      <w:r>
        <w:t>有法律、法规规定的其他损害</w:t>
      </w:r>
      <w:r>
        <w:rPr>
          <w:rFonts w:hint="eastAsia"/>
        </w:rPr>
        <w:t>采购</w:t>
      </w:r>
      <w:r>
        <w:t>人利益和社会公共利益情形的。</w:t>
      </w:r>
    </w:p>
    <w:p>
      <w:pPr>
        <w:pStyle w:val="17"/>
        <w:spacing w:before="13"/>
        <w:ind w:left="600" w:right="101"/>
      </w:pPr>
      <w:r>
        <w:t>3、</w:t>
      </w:r>
      <w:r>
        <w:rPr>
          <w:rFonts w:hint="eastAsia"/>
        </w:rPr>
        <w:t>成交</w:t>
      </w:r>
      <w:r>
        <w:t>人放弃</w:t>
      </w:r>
      <w:r>
        <w:rPr>
          <w:rFonts w:hint="eastAsia"/>
        </w:rPr>
        <w:t>成交</w:t>
      </w:r>
      <w:r>
        <w:t>的，应当依法承担法律责任。</w:t>
      </w:r>
    </w:p>
    <w:p>
      <w:pPr>
        <w:widowControl/>
        <w:tabs>
          <w:tab w:val="left" w:pos="567"/>
        </w:tabs>
        <w:spacing w:after="156" w:afterLines="50" w:line="360" w:lineRule="auto"/>
        <w:jc w:val="left"/>
        <w:rPr>
          <w:rFonts w:ascii="宋体" w:cs="宋体"/>
          <w:szCs w:val="21"/>
        </w:rPr>
      </w:pPr>
      <w:bookmarkStart w:id="20" w:name="GradeForm1_sGradeType"/>
    </w:p>
    <w:p>
      <w:pPr>
        <w:pStyle w:val="4"/>
        <w:numPr>
          <w:ilvl w:val="0"/>
          <w:numId w:val="0"/>
        </w:numPr>
        <w:ind w:left="854"/>
        <w:rPr>
          <w:rFonts w:ascii="宋体" w:hAnsi="宋体"/>
          <w:sz w:val="32"/>
          <w:szCs w:val="32"/>
        </w:rPr>
      </w:pPr>
      <w:r>
        <w:rPr>
          <w:rFonts w:ascii="宋体" w:hAnsi="宋体" w:cs="宋体"/>
          <w:kern w:val="0"/>
          <w:sz w:val="24"/>
        </w:rPr>
        <w:br w:type="page"/>
      </w:r>
      <w:bookmarkEnd w:id="20"/>
      <w:bookmarkStart w:id="21" w:name="_Toc119527904"/>
      <w:r>
        <w:rPr>
          <w:rFonts w:hint="eastAsia"/>
        </w:rPr>
        <w:t>第五章  合同格式</w:t>
      </w:r>
      <w:bookmarkEnd w:id="21"/>
    </w:p>
    <w:p>
      <w:pPr>
        <w:jc w:val="center"/>
        <w:rPr>
          <w:rFonts w:ascii="宋体" w:hAnsi="宋体"/>
          <w:b/>
          <w:sz w:val="28"/>
          <w:szCs w:val="28"/>
        </w:rPr>
      </w:pPr>
    </w:p>
    <w:p>
      <w:pPr>
        <w:tabs>
          <w:tab w:val="left" w:pos="720"/>
        </w:tabs>
        <w:spacing w:line="360" w:lineRule="auto"/>
        <w:rPr>
          <w:rFonts w:ascii="宋体" w:hAnsi="宋体"/>
          <w:b/>
          <w:szCs w:val="21"/>
        </w:rPr>
      </w:pPr>
    </w:p>
    <w:p>
      <w:pPr>
        <w:tabs>
          <w:tab w:val="left" w:pos="720"/>
        </w:tabs>
        <w:spacing w:line="360" w:lineRule="auto"/>
        <w:rPr>
          <w:rFonts w:ascii="宋体" w:hAnsi="宋体"/>
          <w:b/>
          <w:szCs w:val="21"/>
        </w:rPr>
      </w:pPr>
    </w:p>
    <w:p>
      <w:pPr>
        <w:tabs>
          <w:tab w:val="left" w:pos="720"/>
        </w:tabs>
        <w:spacing w:line="360" w:lineRule="auto"/>
        <w:rPr>
          <w:rFonts w:ascii="宋体" w:hAnsi="宋体"/>
          <w:b/>
          <w:szCs w:val="21"/>
        </w:rPr>
      </w:pPr>
    </w:p>
    <w:p>
      <w:pPr>
        <w:spacing w:line="600" w:lineRule="exact"/>
        <w:jc w:val="center"/>
        <w:rPr>
          <w:rFonts w:ascii="宋体" w:hAnsi="宋体" w:cs="宋体"/>
          <w:sz w:val="44"/>
          <w:szCs w:val="44"/>
        </w:rPr>
      </w:pPr>
      <w:r>
        <w:rPr>
          <w:rFonts w:hint="eastAsia" w:ascii="宋体" w:hAnsi="宋体" w:cs="宋体"/>
          <w:b/>
          <w:sz w:val="44"/>
          <w:szCs w:val="44"/>
        </w:rPr>
        <w:t>合　同　书</w:t>
      </w:r>
    </w:p>
    <w:p>
      <w:pPr>
        <w:jc w:val="center"/>
        <w:rPr>
          <w:rFonts w:ascii="宋体" w:hAnsi="宋体" w:cs="宋体"/>
          <w:sz w:val="34"/>
          <w:szCs w:val="34"/>
        </w:rPr>
      </w:pPr>
    </w:p>
    <w:p>
      <w:pPr>
        <w:jc w:val="center"/>
        <w:rPr>
          <w:rFonts w:ascii="宋体" w:hAnsi="宋体" w:cs="宋体"/>
          <w:sz w:val="34"/>
          <w:szCs w:val="34"/>
        </w:rPr>
      </w:pPr>
    </w:p>
    <w:p>
      <w:pPr>
        <w:jc w:val="center"/>
        <w:rPr>
          <w:rFonts w:ascii="宋体" w:hAnsi="宋体" w:cs="宋体"/>
          <w:sz w:val="34"/>
          <w:szCs w:val="34"/>
        </w:rPr>
      </w:pPr>
    </w:p>
    <w:p>
      <w:pPr>
        <w:jc w:val="center"/>
        <w:rPr>
          <w:rFonts w:ascii="宋体" w:hAnsi="宋体" w:cs="宋体"/>
          <w:sz w:val="34"/>
          <w:szCs w:val="34"/>
        </w:rPr>
      </w:pPr>
    </w:p>
    <w:p>
      <w:pPr>
        <w:jc w:val="center"/>
        <w:rPr>
          <w:rFonts w:ascii="宋体" w:hAnsi="宋体" w:cs="宋体"/>
          <w:sz w:val="34"/>
          <w:szCs w:val="34"/>
        </w:rPr>
      </w:pPr>
    </w:p>
    <w:p>
      <w:pPr>
        <w:jc w:val="center"/>
        <w:rPr>
          <w:rFonts w:ascii="宋体" w:hAnsi="宋体" w:cs="宋体"/>
          <w:sz w:val="34"/>
          <w:szCs w:val="34"/>
        </w:rPr>
      </w:pPr>
    </w:p>
    <w:p>
      <w:pPr>
        <w:jc w:val="center"/>
        <w:rPr>
          <w:rFonts w:ascii="宋体" w:hAnsi="宋体" w:cs="宋体"/>
          <w:sz w:val="34"/>
          <w:szCs w:val="34"/>
        </w:rPr>
      </w:pPr>
    </w:p>
    <w:p>
      <w:pPr>
        <w:jc w:val="center"/>
        <w:rPr>
          <w:rFonts w:ascii="宋体" w:hAnsi="宋体" w:cs="宋体"/>
          <w:sz w:val="34"/>
          <w:szCs w:val="34"/>
        </w:rPr>
      </w:pPr>
    </w:p>
    <w:p>
      <w:pPr>
        <w:jc w:val="center"/>
        <w:rPr>
          <w:rFonts w:ascii="宋体" w:hAnsi="宋体" w:cs="宋体"/>
          <w:sz w:val="34"/>
          <w:szCs w:val="34"/>
        </w:rPr>
      </w:pPr>
    </w:p>
    <w:p>
      <w:pPr>
        <w:jc w:val="center"/>
        <w:rPr>
          <w:rFonts w:ascii="宋体" w:hAnsi="宋体" w:cs="宋体"/>
          <w:sz w:val="34"/>
          <w:szCs w:val="34"/>
        </w:rPr>
      </w:pPr>
    </w:p>
    <w:p>
      <w:pPr>
        <w:spacing w:line="600" w:lineRule="exact"/>
        <w:rPr>
          <w:rFonts w:ascii="宋体" w:hAnsi="宋体" w:cs="宋体"/>
          <w:sz w:val="30"/>
          <w:szCs w:val="30"/>
          <w:u w:val="single"/>
        </w:rPr>
      </w:pPr>
      <w:r>
        <w:rPr>
          <w:rFonts w:hint="eastAsia" w:ascii="宋体" w:hAnsi="宋体" w:cs="宋体"/>
          <w:color w:val="222222"/>
          <w:sz w:val="30"/>
          <w:szCs w:val="30"/>
        </w:rPr>
        <w:t>采购计划编号：</w:t>
      </w:r>
      <w:r>
        <w:rPr>
          <w:rFonts w:hint="eastAsia" w:ascii="宋体" w:hAnsi="宋体" w:cs="宋体"/>
          <w:color w:val="222222"/>
          <w:sz w:val="30"/>
          <w:szCs w:val="30"/>
          <w:u w:val="single"/>
        </w:rPr>
        <w:t xml:space="preserve">                         </w:t>
      </w:r>
      <w:r>
        <w:rPr>
          <w:rFonts w:hint="eastAsia" w:ascii="宋体" w:hAnsi="宋体" w:cs="宋体"/>
          <w:color w:val="222222"/>
          <w:sz w:val="30"/>
          <w:szCs w:val="30"/>
        </w:rPr>
        <w:t xml:space="preserve"> </w:t>
      </w:r>
    </w:p>
    <w:p>
      <w:pPr>
        <w:spacing w:line="600" w:lineRule="exact"/>
        <w:rPr>
          <w:rFonts w:ascii="宋体" w:hAnsi="宋体" w:cs="宋体"/>
          <w:sz w:val="30"/>
          <w:szCs w:val="30"/>
        </w:rPr>
      </w:pPr>
      <w:r>
        <w:rPr>
          <w:rFonts w:hint="eastAsia" w:ascii="宋体" w:hAnsi="宋体" w:cs="宋体"/>
          <w:color w:val="222222"/>
          <w:sz w:val="30"/>
          <w:szCs w:val="30"/>
        </w:rPr>
        <w:t>项目编号：</w:t>
      </w:r>
      <w:r>
        <w:rPr>
          <w:rFonts w:hint="eastAsia" w:ascii="宋体" w:hAnsi="宋体" w:cs="宋体"/>
          <w:color w:val="222222"/>
          <w:sz w:val="30"/>
          <w:szCs w:val="30"/>
          <w:u w:val="single"/>
        </w:rPr>
        <w:t xml:space="preserve">                         </w:t>
      </w:r>
    </w:p>
    <w:p>
      <w:pPr>
        <w:spacing w:line="600" w:lineRule="exact"/>
        <w:rPr>
          <w:rFonts w:ascii="宋体" w:hAnsi="宋体" w:cs="宋体"/>
          <w:sz w:val="34"/>
          <w:szCs w:val="34"/>
        </w:rPr>
      </w:pPr>
      <w:r>
        <w:rPr>
          <w:rFonts w:hint="eastAsia" w:ascii="宋体" w:hAnsi="宋体" w:cs="宋体"/>
          <w:color w:val="222222"/>
          <w:sz w:val="30"/>
          <w:szCs w:val="30"/>
        </w:rPr>
        <w:t xml:space="preserve">项目名称： </w:t>
      </w:r>
      <w:r>
        <w:rPr>
          <w:rFonts w:hint="eastAsia" w:ascii="宋体" w:hAnsi="宋体" w:cs="宋体"/>
          <w:color w:val="222222"/>
          <w:sz w:val="30"/>
          <w:szCs w:val="30"/>
          <w:u w:val="single"/>
        </w:rPr>
        <w:t xml:space="preserve"> </w:t>
      </w:r>
      <w:r>
        <w:rPr>
          <w:rFonts w:hint="eastAsia" w:ascii="宋体" w:hAnsi="宋体" w:cs="宋体"/>
          <w:color w:val="222222"/>
          <w:sz w:val="34"/>
          <w:szCs w:val="34"/>
          <w:u w:val="single"/>
        </w:rPr>
        <w:t xml:space="preserve">                        </w:t>
      </w:r>
    </w:p>
    <w:p>
      <w:pPr>
        <w:spacing w:line="600" w:lineRule="exact"/>
        <w:rPr>
          <w:rFonts w:ascii="宋体" w:hAnsi="宋体" w:cs="宋体"/>
          <w:sz w:val="34"/>
          <w:szCs w:val="34"/>
          <w:u w:val="single"/>
        </w:rPr>
        <w:sectPr>
          <w:pgSz w:w="11906" w:h="16838"/>
          <w:pgMar w:top="2211" w:right="1531" w:bottom="1871" w:left="1531" w:header="851" w:footer="992" w:gutter="0"/>
          <w:cols w:space="720" w:num="1"/>
          <w:docGrid w:type="lines" w:linePitch="312" w:charSpace="0"/>
        </w:sectPr>
      </w:pPr>
    </w:p>
    <w:p>
      <w:pPr>
        <w:spacing w:line="600" w:lineRule="exact"/>
        <w:ind w:left="279" w:firstLine="420" w:firstLineChars="200"/>
        <w:rPr>
          <w:rFonts w:ascii="宋体" w:hAnsi="宋体" w:cs="宋体"/>
          <w:szCs w:val="21"/>
        </w:rPr>
      </w:pPr>
      <w:r>
        <w:rPr>
          <w:rFonts w:hint="eastAsia" w:ascii="宋体" w:hAnsi="宋体" w:cs="宋体"/>
          <w:szCs w:val="21"/>
        </w:rPr>
        <w:t>根据《中华人民共和国民法典》及其它相关法律法规的规定，就</w:t>
      </w:r>
      <w:r>
        <w:rPr>
          <w:rFonts w:hint="eastAsia" w:ascii="宋体" w:hAnsi="宋体" w:cs="宋体"/>
          <w:szCs w:val="21"/>
          <w:u w:val="single"/>
        </w:rPr>
        <w:t xml:space="preserve">                      </w:t>
      </w:r>
      <w:r>
        <w:rPr>
          <w:rFonts w:hint="eastAsia" w:ascii="宋体" w:hAnsi="宋体" w:cs="宋体"/>
          <w:szCs w:val="21"/>
        </w:rPr>
        <w:t>（以下简称“乙方”）</w:t>
      </w:r>
      <w:r>
        <w:rPr>
          <w:rFonts w:hint="eastAsia" w:ascii="宋体" w:hAnsi="宋体" w:cs="宋体"/>
          <w:szCs w:val="21"/>
          <w:lang w:eastAsia="zh-Hans"/>
        </w:rPr>
        <w:t>向</w:t>
      </w:r>
      <w:r>
        <w:rPr>
          <w:rFonts w:hint="eastAsia" w:ascii="宋体" w:hAnsi="宋体" w:cs="宋体"/>
          <w:szCs w:val="21"/>
          <w:u w:val="single"/>
          <w:lang w:eastAsia="zh-Hans"/>
        </w:rPr>
        <w:t>广东省消防救援总队</w:t>
      </w:r>
      <w:r>
        <w:rPr>
          <w:rFonts w:hint="eastAsia" w:ascii="宋体" w:hAnsi="宋体" w:cs="宋体"/>
          <w:szCs w:val="21"/>
        </w:rPr>
        <w:t>（以下简称“甲方”）提供</w:t>
      </w:r>
      <w:r>
        <w:rPr>
          <w:rFonts w:hint="eastAsia" w:ascii="宋体" w:hAnsi="宋体" w:cs="宋体"/>
          <w:szCs w:val="21"/>
          <w:u w:val="single"/>
        </w:rPr>
        <w:t>网络安全等级保护测评及安全测评服务</w:t>
      </w:r>
      <w:r>
        <w:rPr>
          <w:rFonts w:hint="eastAsia" w:ascii="宋体" w:hAnsi="宋体" w:cs="宋体"/>
          <w:szCs w:val="21"/>
        </w:rPr>
        <w:t>（以下简称“服务”）事宜，经甲乙双方共同协商，一致达成如下各条款，以资共同遵照本合同。</w:t>
      </w:r>
    </w:p>
    <w:p>
      <w:pPr>
        <w:spacing w:line="600" w:lineRule="exact"/>
        <w:ind w:firstLine="420" w:firstLineChars="200"/>
        <w:rPr>
          <w:rFonts w:ascii="宋体" w:hAnsi="宋体" w:cs="宋体"/>
          <w:szCs w:val="21"/>
        </w:rPr>
      </w:pPr>
      <w:r>
        <w:rPr>
          <w:rFonts w:hint="eastAsia" w:ascii="宋体" w:hAnsi="宋体" w:cs="宋体"/>
          <w:szCs w:val="21"/>
        </w:rPr>
        <w:t>1. 相关术语的定义和解释</w:t>
      </w:r>
    </w:p>
    <w:p>
      <w:pPr>
        <w:spacing w:line="600" w:lineRule="exact"/>
        <w:ind w:firstLine="420" w:firstLineChars="200"/>
        <w:rPr>
          <w:rFonts w:ascii="宋体" w:hAnsi="宋体" w:cs="宋体"/>
          <w:szCs w:val="21"/>
        </w:rPr>
      </w:pPr>
      <w:r>
        <w:rPr>
          <w:rFonts w:hint="eastAsia" w:ascii="宋体" w:hAnsi="宋体" w:cs="宋体"/>
          <w:szCs w:val="21"/>
        </w:rPr>
        <w:t>1.1. 定义</w:t>
      </w:r>
    </w:p>
    <w:p>
      <w:pPr>
        <w:spacing w:line="600" w:lineRule="exact"/>
        <w:ind w:firstLine="420" w:firstLineChars="200"/>
        <w:rPr>
          <w:rFonts w:ascii="宋体" w:hAnsi="宋体" w:cs="宋体"/>
          <w:szCs w:val="21"/>
        </w:rPr>
      </w:pPr>
      <w:r>
        <w:rPr>
          <w:rFonts w:hint="eastAsia" w:ascii="宋体" w:hAnsi="宋体" w:cs="宋体"/>
          <w:szCs w:val="21"/>
        </w:rPr>
        <w:t>1.1.1.本项目：</w:t>
      </w:r>
      <w:r>
        <w:rPr>
          <w:rFonts w:hint="eastAsia" w:ascii="宋体" w:hAnsi="宋体" w:cs="宋体"/>
          <w:szCs w:val="21"/>
          <w:u w:val="single"/>
        </w:rPr>
        <w:t xml:space="preserve">                </w:t>
      </w:r>
      <w:r>
        <w:rPr>
          <w:rFonts w:hint="eastAsia" w:ascii="宋体" w:hAnsi="宋体" w:cs="宋体"/>
          <w:szCs w:val="21"/>
        </w:rPr>
        <w:t>（采购项目编号：</w:t>
      </w:r>
      <w:r>
        <w:rPr>
          <w:rFonts w:hint="eastAsia" w:ascii="宋体" w:hAnsi="宋体" w:cs="宋体"/>
          <w:szCs w:val="21"/>
          <w:u w:val="single"/>
        </w:rPr>
        <w:t xml:space="preserve">            </w:t>
      </w:r>
      <w:r>
        <w:rPr>
          <w:rFonts w:hint="eastAsia" w:ascii="宋体" w:hAnsi="宋体" w:cs="宋体"/>
          <w:szCs w:val="21"/>
        </w:rPr>
        <w:t>）</w:t>
      </w:r>
    </w:p>
    <w:p>
      <w:pPr>
        <w:spacing w:line="600" w:lineRule="exact"/>
        <w:ind w:firstLine="420" w:firstLineChars="200"/>
        <w:rPr>
          <w:rFonts w:ascii="宋体" w:hAnsi="宋体" w:cs="宋体"/>
          <w:szCs w:val="21"/>
        </w:rPr>
      </w:pPr>
      <w:r>
        <w:rPr>
          <w:rFonts w:hint="eastAsia" w:ascii="宋体" w:hAnsi="宋体" w:cs="宋体"/>
          <w:szCs w:val="21"/>
        </w:rPr>
        <w:t>1.1.2.甲方：本项目采购人。</w:t>
      </w:r>
    </w:p>
    <w:p>
      <w:pPr>
        <w:spacing w:line="600" w:lineRule="exact"/>
        <w:ind w:firstLine="420" w:firstLineChars="200"/>
        <w:rPr>
          <w:rFonts w:ascii="宋体" w:hAnsi="宋体" w:cs="宋体"/>
          <w:szCs w:val="21"/>
        </w:rPr>
      </w:pPr>
      <w:r>
        <w:rPr>
          <w:rFonts w:hint="eastAsia" w:ascii="宋体" w:hAnsi="宋体" w:cs="宋体"/>
          <w:szCs w:val="21"/>
        </w:rPr>
        <w:t>1.1.3.乙方：本项目中选人。</w:t>
      </w:r>
    </w:p>
    <w:p>
      <w:pPr>
        <w:spacing w:line="600" w:lineRule="exact"/>
        <w:ind w:firstLine="420" w:firstLineChars="200"/>
        <w:rPr>
          <w:rFonts w:ascii="宋体" w:hAnsi="宋体" w:cs="宋体"/>
          <w:szCs w:val="21"/>
        </w:rPr>
      </w:pPr>
      <w:r>
        <w:rPr>
          <w:rFonts w:hint="eastAsia" w:ascii="宋体" w:hAnsi="宋体" w:cs="宋体"/>
          <w:szCs w:val="21"/>
        </w:rPr>
        <w:t>1.1.4.咨询监理单位：受甲方委托对本项目进行第三方咨询监理的单位。</w:t>
      </w:r>
    </w:p>
    <w:p>
      <w:pPr>
        <w:spacing w:line="600" w:lineRule="exact"/>
        <w:ind w:firstLine="420" w:firstLineChars="200"/>
        <w:rPr>
          <w:rFonts w:ascii="宋体" w:hAnsi="宋体" w:cs="宋体"/>
          <w:szCs w:val="21"/>
        </w:rPr>
      </w:pPr>
      <w:r>
        <w:rPr>
          <w:rFonts w:hint="eastAsia" w:ascii="宋体" w:hAnsi="宋体" w:cs="宋体"/>
          <w:szCs w:val="21"/>
        </w:rPr>
        <w:t>1.1.5.省直各单位：经广东省机构编制委员会批准设立的广东省直属行政事业单位，主要包括省府办公厅、省政府组成部门、省政府直属特设机构、省政府直属机构、部门管理机构、其他机构、省政府直属事业单位、其他。</w:t>
      </w:r>
    </w:p>
    <w:p>
      <w:pPr>
        <w:spacing w:line="600" w:lineRule="exact"/>
        <w:ind w:firstLine="420" w:firstLineChars="200"/>
        <w:rPr>
          <w:rFonts w:ascii="宋体" w:hAnsi="宋体" w:cs="宋体"/>
          <w:szCs w:val="21"/>
        </w:rPr>
      </w:pPr>
      <w:r>
        <w:rPr>
          <w:rFonts w:hint="eastAsia" w:ascii="宋体" w:hAnsi="宋体" w:cs="宋体"/>
          <w:szCs w:val="21"/>
        </w:rPr>
        <w:t>1.1.6.适用法律：指所有适用的中华人民共和国法律、法规、部门规章、地方性法规、司法解释、政府部门颁布的标准、规范或其他适用的强制性要求、有法律约束力的规范性文件等。除非另有特别约定或文意另有所指，本合同中提及的“法律”均包括适用法律的全部定义内容。</w:t>
      </w:r>
    </w:p>
    <w:p>
      <w:pPr>
        <w:spacing w:line="600" w:lineRule="exact"/>
        <w:ind w:firstLine="420" w:firstLineChars="200"/>
        <w:rPr>
          <w:rFonts w:ascii="宋体" w:hAnsi="宋体" w:cs="宋体"/>
          <w:szCs w:val="21"/>
        </w:rPr>
      </w:pPr>
      <w:r>
        <w:rPr>
          <w:rFonts w:hint="eastAsia" w:ascii="宋体" w:hAnsi="宋体" w:cs="宋体"/>
          <w:szCs w:val="21"/>
        </w:rPr>
        <w:t>1.1.7.法律变更：指在生效日后颁布、修订、废止或重新解释的任何适用法律导致甲方或乙方在本合同项下的权利义务发生实质性变化。</w:t>
      </w:r>
    </w:p>
    <w:p>
      <w:pPr>
        <w:spacing w:line="600" w:lineRule="exact"/>
        <w:ind w:firstLine="420" w:firstLineChars="200"/>
        <w:rPr>
          <w:rFonts w:ascii="宋体" w:hAnsi="宋体" w:cs="宋体"/>
          <w:szCs w:val="21"/>
        </w:rPr>
      </w:pPr>
      <w:r>
        <w:rPr>
          <w:rFonts w:hint="eastAsia" w:ascii="宋体" w:hAnsi="宋体" w:cs="宋体"/>
          <w:szCs w:val="21"/>
        </w:rPr>
        <w:t>1.1.8.批准：指为了使乙方能够履行其在本合同项下的义务和行使其在本合同项下的权利，乙方必须从甲方或省直单位依法获得的为乙方的建设、运营、运维所需要的任何许可、同意、授权等。</w:t>
      </w:r>
    </w:p>
    <w:p>
      <w:pPr>
        <w:spacing w:line="600" w:lineRule="exact"/>
        <w:ind w:firstLine="420" w:firstLineChars="200"/>
        <w:rPr>
          <w:rFonts w:ascii="宋体" w:hAnsi="宋体" w:cs="宋体"/>
          <w:szCs w:val="21"/>
        </w:rPr>
      </w:pPr>
      <w:r>
        <w:rPr>
          <w:rFonts w:hint="eastAsia" w:ascii="宋体" w:hAnsi="宋体" w:cs="宋体"/>
          <w:szCs w:val="21"/>
        </w:rPr>
        <w:t>1.1.9.生效日：指本合同甲乙双方盖章并由双方法定代表人或授权代表人签字之日。如依照适用法律需要履行审批程序的，则在有权部门审批后生效。</w:t>
      </w:r>
    </w:p>
    <w:p>
      <w:pPr>
        <w:spacing w:line="600" w:lineRule="exact"/>
        <w:ind w:firstLine="420" w:firstLineChars="200"/>
        <w:rPr>
          <w:rFonts w:ascii="宋体" w:hAnsi="宋体" w:cs="宋体"/>
          <w:szCs w:val="21"/>
        </w:rPr>
      </w:pPr>
      <w:r>
        <w:rPr>
          <w:rFonts w:hint="eastAsia" w:ascii="宋体" w:hAnsi="宋体" w:cs="宋体"/>
          <w:szCs w:val="21"/>
        </w:rPr>
        <w:t>1.1.10.服务实施：指乙方根据本合同开展服务实施准备、执行、收尾等为实现服务交付开展的工作。</w:t>
      </w:r>
    </w:p>
    <w:p>
      <w:pPr>
        <w:spacing w:line="600" w:lineRule="exact"/>
        <w:ind w:firstLine="420" w:firstLineChars="200"/>
        <w:rPr>
          <w:rFonts w:ascii="宋体" w:hAnsi="宋体" w:cs="宋体"/>
          <w:szCs w:val="21"/>
        </w:rPr>
      </w:pPr>
      <w:r>
        <w:rPr>
          <w:rFonts w:hint="eastAsia" w:ascii="宋体" w:hAnsi="宋体" w:cs="宋体"/>
          <w:szCs w:val="21"/>
        </w:rPr>
        <w:t>1.1.11.服务交付：指乙方根据本合同提交交付申请，经甲方组织验收后确认服务交付的过程。</w:t>
      </w:r>
    </w:p>
    <w:p>
      <w:pPr>
        <w:spacing w:line="600" w:lineRule="exact"/>
        <w:ind w:firstLine="420" w:firstLineChars="200"/>
        <w:rPr>
          <w:rFonts w:ascii="宋体" w:hAnsi="宋体" w:cs="宋体"/>
          <w:szCs w:val="21"/>
        </w:rPr>
      </w:pPr>
      <w:r>
        <w:rPr>
          <w:rFonts w:hint="eastAsia" w:ascii="宋体" w:hAnsi="宋体" w:cs="宋体"/>
          <w:szCs w:val="21"/>
        </w:rPr>
        <w:t>1.1.12.最终验收：对项目整体服务的验收。</w:t>
      </w:r>
    </w:p>
    <w:p>
      <w:pPr>
        <w:spacing w:line="600" w:lineRule="exact"/>
        <w:ind w:firstLine="420" w:firstLineChars="200"/>
        <w:rPr>
          <w:rFonts w:ascii="宋体" w:hAnsi="宋体" w:cs="宋体"/>
          <w:szCs w:val="21"/>
        </w:rPr>
      </w:pPr>
      <w:r>
        <w:rPr>
          <w:rFonts w:hint="eastAsia" w:ascii="宋体" w:hAnsi="宋体" w:cs="宋体"/>
          <w:szCs w:val="21"/>
        </w:rPr>
        <w:t>1.1.13.服务期限：指本项目周期、期限。</w:t>
      </w:r>
    </w:p>
    <w:p>
      <w:pPr>
        <w:spacing w:line="600" w:lineRule="exact"/>
        <w:ind w:firstLine="420" w:firstLineChars="200"/>
        <w:rPr>
          <w:rFonts w:ascii="宋体" w:hAnsi="宋体" w:cs="宋体"/>
          <w:szCs w:val="21"/>
        </w:rPr>
      </w:pPr>
      <w:r>
        <w:rPr>
          <w:rFonts w:hint="eastAsia" w:ascii="宋体" w:hAnsi="宋体" w:cs="宋体"/>
          <w:szCs w:val="21"/>
        </w:rPr>
        <w:t>1.1.14.其他在本合同及相关附件中涉及的有关名词和技术术语，其定义和解释如下：</w:t>
      </w:r>
    </w:p>
    <w:p>
      <w:pPr>
        <w:spacing w:line="600" w:lineRule="exact"/>
        <w:ind w:firstLine="420" w:firstLineChars="200"/>
        <w:rPr>
          <w:rFonts w:ascii="宋体" w:hAnsi="宋体" w:cs="宋体"/>
          <w:szCs w:val="21"/>
        </w:rPr>
      </w:pPr>
      <w:r>
        <w:rPr>
          <w:rFonts w:hint="eastAsia" w:ascii="宋体" w:hAnsi="宋体" w:cs="宋体"/>
          <w:szCs w:val="21"/>
        </w:rPr>
        <w:t>（1）</w:t>
      </w:r>
      <w:r>
        <w:rPr>
          <w:rFonts w:hint="eastAsia" w:ascii="宋体" w:hAnsi="宋体" w:cs="宋体"/>
          <w:szCs w:val="21"/>
          <w:u w:val="single"/>
        </w:rPr>
        <w:t xml:space="preserve">  /  </w:t>
      </w:r>
      <w:r>
        <w:rPr>
          <w:rFonts w:hint="eastAsia" w:ascii="宋体" w:hAnsi="宋体" w:cs="宋体"/>
          <w:szCs w:val="21"/>
        </w:rPr>
        <w:t>；</w:t>
      </w:r>
    </w:p>
    <w:p>
      <w:pPr>
        <w:spacing w:line="600" w:lineRule="exact"/>
        <w:ind w:firstLine="420" w:firstLineChars="200"/>
        <w:rPr>
          <w:rFonts w:ascii="宋体" w:hAnsi="宋体" w:cs="宋体"/>
          <w:szCs w:val="21"/>
        </w:rPr>
      </w:pPr>
      <w:r>
        <w:rPr>
          <w:rFonts w:hint="eastAsia" w:ascii="宋体" w:hAnsi="宋体" w:cs="宋体"/>
          <w:szCs w:val="21"/>
        </w:rPr>
        <w:t>（2）</w:t>
      </w:r>
      <w:r>
        <w:rPr>
          <w:rFonts w:hint="eastAsia" w:ascii="宋体" w:hAnsi="宋体" w:cs="宋体"/>
          <w:szCs w:val="21"/>
          <w:u w:val="single"/>
        </w:rPr>
        <w:t xml:space="preserve">  /  </w:t>
      </w:r>
      <w:r>
        <w:rPr>
          <w:rFonts w:hint="eastAsia" w:ascii="宋体" w:hAnsi="宋体" w:cs="宋体"/>
          <w:szCs w:val="21"/>
        </w:rPr>
        <w:t>。</w:t>
      </w:r>
    </w:p>
    <w:p>
      <w:pPr>
        <w:spacing w:line="600" w:lineRule="exact"/>
        <w:ind w:firstLine="420" w:firstLineChars="200"/>
        <w:rPr>
          <w:rFonts w:ascii="宋体" w:hAnsi="宋体" w:cs="宋体"/>
          <w:szCs w:val="21"/>
        </w:rPr>
      </w:pPr>
      <w:r>
        <w:rPr>
          <w:rFonts w:hint="eastAsia" w:ascii="宋体" w:hAnsi="宋体" w:cs="宋体"/>
          <w:szCs w:val="21"/>
        </w:rPr>
        <w:t>1.2. 解释</w:t>
      </w:r>
    </w:p>
    <w:p>
      <w:pPr>
        <w:spacing w:line="600" w:lineRule="exact"/>
        <w:ind w:firstLine="420" w:firstLineChars="200"/>
        <w:rPr>
          <w:rFonts w:ascii="宋体" w:hAnsi="宋体" w:cs="宋体"/>
          <w:szCs w:val="21"/>
        </w:rPr>
      </w:pPr>
      <w:r>
        <w:rPr>
          <w:rFonts w:hint="eastAsia" w:ascii="宋体" w:hAnsi="宋体" w:cs="宋体"/>
          <w:szCs w:val="21"/>
        </w:rPr>
        <w:t>1.2.1.“工作日”是指国家所规定的节假日之外的所有的工作日，凡本合同所约定的工作日均指工作日，未指明工作日的日期指自然顺延的日期。</w:t>
      </w:r>
    </w:p>
    <w:p>
      <w:pPr>
        <w:spacing w:line="600" w:lineRule="exact"/>
        <w:ind w:firstLine="420" w:firstLineChars="200"/>
        <w:rPr>
          <w:rFonts w:ascii="宋体" w:hAnsi="宋体" w:cs="宋体"/>
          <w:szCs w:val="21"/>
        </w:rPr>
      </w:pPr>
      <w:r>
        <w:rPr>
          <w:rFonts w:hint="eastAsia" w:ascii="宋体" w:hAnsi="宋体" w:cs="宋体"/>
          <w:szCs w:val="21"/>
        </w:rPr>
        <w:t>1.2.2.所指的日、月和年均指公历的日、月和年，其中一年以三百六十五日计，一个月以三十日计。</w:t>
      </w:r>
    </w:p>
    <w:p>
      <w:pPr>
        <w:spacing w:line="600" w:lineRule="exact"/>
        <w:ind w:firstLine="420" w:firstLineChars="200"/>
        <w:rPr>
          <w:rFonts w:ascii="宋体" w:hAnsi="宋体" w:cs="宋体"/>
          <w:szCs w:val="21"/>
        </w:rPr>
      </w:pPr>
      <w:r>
        <w:rPr>
          <w:rFonts w:hint="eastAsia" w:ascii="宋体" w:hAnsi="宋体" w:cs="宋体"/>
          <w:szCs w:val="21"/>
        </w:rPr>
        <w:t>1.2.3.“不可抗力”是指任何一方由于出现不可抗力事件使该方无法全部或部分履行其本合同项下的义务致使合同目的不能实现时，该方应有权中止履行本合同项下的义务，但应及时通知对方，以减轻可能给对方造成的损失，并应在合理期限内向对方提供不可抗力的证明。</w:t>
      </w:r>
    </w:p>
    <w:p>
      <w:pPr>
        <w:spacing w:line="600" w:lineRule="exact"/>
        <w:ind w:firstLine="420" w:firstLineChars="200"/>
        <w:rPr>
          <w:rFonts w:ascii="宋体" w:hAnsi="宋体" w:cs="宋体"/>
          <w:szCs w:val="21"/>
        </w:rPr>
      </w:pPr>
      <w:r>
        <w:rPr>
          <w:rFonts w:hint="eastAsia" w:ascii="宋体" w:hAnsi="宋体" w:cs="宋体"/>
          <w:szCs w:val="21"/>
        </w:rPr>
        <w:t>1.2.4.“元”是指人民币元。</w:t>
      </w:r>
    </w:p>
    <w:p>
      <w:pPr>
        <w:spacing w:line="600" w:lineRule="exact"/>
        <w:ind w:firstLine="420" w:firstLineChars="200"/>
        <w:rPr>
          <w:rFonts w:ascii="宋体" w:hAnsi="宋体" w:cs="宋体"/>
          <w:szCs w:val="21"/>
        </w:rPr>
      </w:pPr>
      <w:r>
        <w:rPr>
          <w:rFonts w:hint="eastAsia" w:ascii="宋体" w:hAnsi="宋体" w:cs="宋体"/>
          <w:szCs w:val="21"/>
        </w:rPr>
        <w:t>1.2.5.条款或附件：指本合同的条款或附件；</w:t>
      </w:r>
    </w:p>
    <w:p>
      <w:pPr>
        <w:spacing w:line="600" w:lineRule="exact"/>
        <w:ind w:firstLine="420" w:firstLineChars="200"/>
        <w:rPr>
          <w:rFonts w:ascii="宋体" w:hAnsi="宋体" w:cs="宋体"/>
          <w:szCs w:val="21"/>
        </w:rPr>
      </w:pPr>
      <w:r>
        <w:rPr>
          <w:rFonts w:hint="eastAsia" w:ascii="宋体" w:hAnsi="宋体" w:cs="宋体"/>
          <w:szCs w:val="21"/>
        </w:rPr>
        <w:t>1.2.6.除非本合同另有明确约定，“包括”指包括但不限于；除本合同另有明确约定，“以上”、“以下”、“以内”或“内”均含本数，“超过”、“以外”不含本数。</w:t>
      </w:r>
    </w:p>
    <w:p>
      <w:pPr>
        <w:spacing w:line="600" w:lineRule="exact"/>
        <w:ind w:firstLine="420" w:firstLineChars="200"/>
        <w:rPr>
          <w:rFonts w:ascii="宋体" w:hAnsi="宋体" w:cs="宋体"/>
          <w:szCs w:val="21"/>
        </w:rPr>
      </w:pPr>
      <w:r>
        <w:rPr>
          <w:rFonts w:hint="eastAsia" w:ascii="宋体" w:hAnsi="宋体" w:cs="宋体"/>
          <w:szCs w:val="21"/>
        </w:rPr>
        <w:t>2. 服务实施和验收</w:t>
      </w:r>
    </w:p>
    <w:p>
      <w:pPr>
        <w:spacing w:line="600" w:lineRule="exact"/>
        <w:ind w:firstLine="420" w:firstLineChars="200"/>
        <w:rPr>
          <w:rFonts w:ascii="宋体" w:hAnsi="宋体" w:cs="宋体"/>
          <w:szCs w:val="21"/>
        </w:rPr>
      </w:pPr>
      <w:r>
        <w:rPr>
          <w:rFonts w:hint="eastAsia" w:ascii="宋体" w:hAnsi="宋体" w:cs="宋体"/>
          <w:szCs w:val="21"/>
        </w:rPr>
        <w:t>2.1. 服务内容</w:t>
      </w:r>
    </w:p>
    <w:p>
      <w:pPr>
        <w:spacing w:line="600" w:lineRule="exact"/>
        <w:ind w:firstLine="420" w:firstLineChars="200"/>
        <w:rPr>
          <w:rFonts w:ascii="宋体" w:hAnsi="宋体" w:cs="宋体"/>
          <w:szCs w:val="21"/>
        </w:rPr>
      </w:pPr>
      <w:r>
        <w:rPr>
          <w:rFonts w:hint="eastAsia" w:ascii="宋体" w:hAnsi="宋体" w:cs="宋体"/>
          <w:szCs w:val="21"/>
        </w:rPr>
        <w:t>2.1.1.本项目包括</w:t>
      </w:r>
      <w:r>
        <w:rPr>
          <w:rFonts w:hint="eastAsia" w:ascii="宋体" w:hAnsi="宋体" w:cs="宋体"/>
          <w:szCs w:val="21"/>
          <w:u w:val="single"/>
        </w:rPr>
        <w:t>网络安全等级保护测评与安全测评服务</w:t>
      </w:r>
      <w:r>
        <w:rPr>
          <w:rFonts w:hint="eastAsia" w:ascii="宋体" w:hAnsi="宋体" w:cs="宋体"/>
          <w:szCs w:val="21"/>
        </w:rPr>
        <w:t>内容。</w:t>
      </w:r>
    </w:p>
    <w:p>
      <w:pPr>
        <w:spacing w:line="360" w:lineRule="auto"/>
        <w:ind w:firstLine="420" w:firstLineChars="200"/>
        <w:rPr>
          <w:rFonts w:ascii="宋体" w:hAnsi="宋体" w:cs="宋体"/>
          <w:szCs w:val="21"/>
          <w:lang w:eastAsia="zh-Hans"/>
        </w:rPr>
      </w:pPr>
      <w:r>
        <w:rPr>
          <w:rFonts w:hint="eastAsia" w:ascii="宋体" w:hAnsi="宋体" w:cs="宋体"/>
          <w:szCs w:val="21"/>
        </w:rPr>
        <w:t>2.1.2.乙方</w:t>
      </w:r>
      <w:r>
        <w:rPr>
          <w:rFonts w:hint="eastAsia" w:ascii="宋体" w:hAnsi="宋体" w:cs="宋体"/>
          <w:szCs w:val="21"/>
          <w:lang w:eastAsia="zh-Hans"/>
        </w:rPr>
        <w:t>需按照国家网络安全等级保护相关政策文件要求，为所负责测评的应用系统提供等级保护测评服务，并对相关系统进行定级备案和等级保护测评工作，编制《信息系统安全等级保护测评报告》，协助用户确保系统达到国家等级保护三级要求，并符合甲方信息安全制度与规范的要求。等级保护测评的主要服务内容包括：</w:t>
      </w:r>
    </w:p>
    <w:p>
      <w:pPr>
        <w:spacing w:line="360" w:lineRule="auto"/>
        <w:ind w:firstLine="420" w:firstLineChars="200"/>
        <w:rPr>
          <w:rFonts w:ascii="宋体" w:hAnsi="宋体" w:cs="宋体"/>
          <w:szCs w:val="21"/>
          <w:lang w:eastAsia="zh-Hans"/>
        </w:rPr>
      </w:pPr>
      <w:r>
        <w:rPr>
          <w:rFonts w:hint="eastAsia" w:ascii="宋体" w:hAnsi="宋体" w:cs="宋体"/>
          <w:szCs w:val="21"/>
          <w:lang w:eastAsia="zh-Hans"/>
        </w:rPr>
        <w:t>第一步：协助完成系统定级备案工作；</w:t>
      </w:r>
    </w:p>
    <w:p>
      <w:pPr>
        <w:spacing w:line="360" w:lineRule="auto"/>
        <w:ind w:firstLine="420" w:firstLineChars="200"/>
        <w:rPr>
          <w:rFonts w:ascii="宋体" w:hAnsi="宋体" w:cs="宋体"/>
          <w:szCs w:val="21"/>
          <w:lang w:eastAsia="zh-Hans"/>
        </w:rPr>
      </w:pPr>
      <w:r>
        <w:rPr>
          <w:rFonts w:hint="eastAsia" w:ascii="宋体" w:hAnsi="宋体" w:cs="宋体"/>
          <w:szCs w:val="21"/>
          <w:lang w:eastAsia="zh-Hans"/>
        </w:rPr>
        <w:t>第二步：对信息系统进行测试评估、分析差距、输出差距测评报告和安全整改建议；</w:t>
      </w:r>
    </w:p>
    <w:p>
      <w:pPr>
        <w:spacing w:line="360" w:lineRule="auto"/>
        <w:ind w:firstLine="420" w:firstLineChars="200"/>
        <w:rPr>
          <w:rFonts w:ascii="宋体" w:hAnsi="宋体" w:cs="宋体"/>
          <w:szCs w:val="21"/>
          <w:lang w:eastAsia="zh-Hans"/>
        </w:rPr>
      </w:pPr>
      <w:r>
        <w:rPr>
          <w:rFonts w:hint="eastAsia" w:ascii="宋体" w:hAnsi="宋体" w:cs="宋体"/>
          <w:szCs w:val="21"/>
          <w:lang w:eastAsia="zh-Hans"/>
        </w:rPr>
        <w:t>第三步：系统承建单位根据差距测评报告与安全整改建议实施安全整改；</w:t>
      </w:r>
    </w:p>
    <w:p>
      <w:pPr>
        <w:spacing w:line="360" w:lineRule="auto"/>
        <w:ind w:firstLine="420" w:firstLineChars="200"/>
      </w:pPr>
      <w:r>
        <w:rPr>
          <w:rFonts w:hint="eastAsia" w:ascii="宋体" w:hAnsi="宋体" w:cs="宋体"/>
          <w:szCs w:val="21"/>
          <w:lang w:eastAsia="zh-Hans"/>
        </w:rPr>
        <w:t>第四步：再次对公共信息化系统进行测试评估、输出2.0测评报告，并协助通过公安机关的备案与检查。</w:t>
      </w:r>
    </w:p>
    <w:p>
      <w:pPr>
        <w:pStyle w:val="104"/>
        <w:rPr>
          <w:lang w:eastAsia="zh-Hans"/>
        </w:rPr>
      </w:pPr>
      <w:r>
        <w:rPr>
          <w:rFonts w:hint="eastAsia"/>
          <w:lang w:eastAsia="zh-Hans"/>
        </w:rPr>
        <w:t>2.1.</w:t>
      </w:r>
      <w:r>
        <w:rPr>
          <w:rFonts w:hint="eastAsia"/>
        </w:rPr>
        <w:t>3</w:t>
      </w:r>
      <w:r>
        <w:rPr>
          <w:rFonts w:hint="eastAsia"/>
          <w:lang w:eastAsia="zh-Hans"/>
        </w:rPr>
        <w:t>.测评成果要求</w:t>
      </w:r>
    </w:p>
    <w:p>
      <w:pPr>
        <w:spacing w:line="360" w:lineRule="auto"/>
        <w:ind w:firstLine="420" w:firstLineChars="200"/>
        <w:rPr>
          <w:rFonts w:ascii="宋体" w:hAnsi="宋体" w:cs="宋体"/>
          <w:szCs w:val="21"/>
        </w:rPr>
      </w:pPr>
      <w:r>
        <w:rPr>
          <w:rFonts w:hint="eastAsia" w:ascii="宋体" w:hAnsi="宋体" w:cs="宋体"/>
          <w:szCs w:val="21"/>
          <w:lang w:eastAsia="zh-Hans"/>
        </w:rPr>
        <w:t>乙方所提供的项目交付物包括： 《信息系统等级保护备案证》、  《信息系统等保整改建议方案》、  《信息系统网络安全等级测评报告》</w:t>
      </w:r>
    </w:p>
    <w:p>
      <w:pPr>
        <w:spacing w:line="600" w:lineRule="exact"/>
        <w:ind w:firstLine="420" w:firstLineChars="200"/>
        <w:rPr>
          <w:rFonts w:ascii="宋体" w:hAnsi="宋体" w:cs="宋体"/>
          <w:szCs w:val="21"/>
        </w:rPr>
      </w:pPr>
      <w:r>
        <w:rPr>
          <w:rFonts w:hint="eastAsia" w:ascii="宋体" w:hAnsi="宋体" w:cs="宋体"/>
          <w:szCs w:val="21"/>
        </w:rPr>
        <w:t>2.2. 服务期限</w:t>
      </w:r>
    </w:p>
    <w:p>
      <w:pPr>
        <w:spacing w:line="600" w:lineRule="exact"/>
        <w:ind w:firstLine="420" w:firstLineChars="200"/>
        <w:rPr>
          <w:rFonts w:ascii="宋体" w:hAnsi="宋体" w:cs="宋体"/>
          <w:szCs w:val="21"/>
        </w:rPr>
      </w:pPr>
      <w:r>
        <w:rPr>
          <w:rFonts w:hint="eastAsia" w:ascii="宋体" w:hAnsi="宋体" w:cs="宋体"/>
          <w:szCs w:val="21"/>
        </w:rPr>
        <w:t>2.2.1本项目委托服务期限自</w:t>
      </w:r>
      <w:r>
        <w:rPr>
          <w:rFonts w:hint="eastAsia" w:ascii="宋体" w:hAnsi="宋体" w:cs="宋体"/>
          <w:szCs w:val="21"/>
          <w:u w:val="single"/>
        </w:rPr>
        <w:t xml:space="preserve">      </w:t>
      </w:r>
      <w:r>
        <w:rPr>
          <w:rFonts w:hint="eastAsia" w:ascii="宋体" w:hAnsi="宋体" w:cs="宋体"/>
          <w:szCs w:val="21"/>
        </w:rPr>
        <w:t xml:space="preserve">年 </w:t>
      </w:r>
      <w:r>
        <w:rPr>
          <w:rFonts w:hint="eastAsia" w:ascii="宋体" w:hAnsi="宋体" w:cs="宋体"/>
          <w:szCs w:val="21"/>
          <w:u w:val="single"/>
        </w:rPr>
        <w:t xml:space="preserve">     </w:t>
      </w:r>
      <w:r>
        <w:rPr>
          <w:rFonts w:hint="eastAsia" w:ascii="宋体" w:hAnsi="宋体" w:cs="宋体"/>
          <w:szCs w:val="21"/>
        </w:rPr>
        <w:t xml:space="preserve"> 月</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cs="宋体"/>
          <w:szCs w:val="21"/>
          <w:u w:val="single"/>
        </w:rPr>
        <w:t>日</w:t>
      </w:r>
      <w:r>
        <w:rPr>
          <w:rFonts w:hint="eastAsia" w:ascii="宋体" w:hAnsi="宋体" w:cs="宋体"/>
          <w:szCs w:val="21"/>
        </w:rPr>
        <w:t>至</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 xml:space="preserve">月 </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cs="宋体"/>
          <w:szCs w:val="21"/>
          <w:u w:val="single"/>
        </w:rPr>
        <w:t>日</w:t>
      </w:r>
      <w:r>
        <w:rPr>
          <w:rFonts w:hint="eastAsia" w:ascii="宋体" w:hAnsi="宋体" w:cs="宋体"/>
          <w:szCs w:val="21"/>
        </w:rPr>
        <w:t>止，并于  年   月   日前向甲方交付本合同约定的测评成果。</w:t>
      </w:r>
    </w:p>
    <w:p>
      <w:pPr>
        <w:pStyle w:val="2"/>
        <w:spacing w:line="360" w:lineRule="auto"/>
        <w:ind w:firstLine="420" w:firstLineChars="200"/>
      </w:pPr>
      <w:r>
        <w:rPr>
          <w:rFonts w:hint="eastAsia" w:ascii="宋体" w:hAnsi="宋体" w:cs="宋体"/>
          <w:szCs w:val="21"/>
        </w:rPr>
        <w:t xml:space="preserve">2.2.2服务期间，乙方必须提供7*24小时电话服务热线，保证在接到甲方通知后2小时内到达甲方现场。遇不可抗力，不能按规定到达的，应及时通知甲方并说明原因。如乙方未能及时响应，应向甲方支付违约金（标准：2000元/次，累计计算）。 </w:t>
      </w:r>
    </w:p>
    <w:p>
      <w:pPr>
        <w:spacing w:line="600" w:lineRule="exact"/>
        <w:ind w:firstLine="420" w:firstLineChars="200"/>
        <w:rPr>
          <w:rFonts w:ascii="宋体" w:hAnsi="宋体" w:cs="宋体"/>
          <w:szCs w:val="21"/>
        </w:rPr>
      </w:pPr>
      <w:r>
        <w:rPr>
          <w:rFonts w:hint="eastAsia" w:ascii="宋体" w:hAnsi="宋体" w:cs="宋体"/>
          <w:szCs w:val="21"/>
        </w:rPr>
        <w:t>2.3. 最终验收</w:t>
      </w:r>
    </w:p>
    <w:p>
      <w:pPr>
        <w:spacing w:line="600" w:lineRule="exact"/>
        <w:ind w:firstLine="420" w:firstLineChars="200"/>
        <w:rPr>
          <w:rFonts w:ascii="宋体" w:hAnsi="宋体" w:cs="宋体"/>
          <w:szCs w:val="21"/>
        </w:rPr>
      </w:pPr>
      <w:r>
        <w:rPr>
          <w:rFonts w:hint="eastAsia" w:ascii="宋体" w:hAnsi="宋体" w:cs="宋体"/>
          <w:szCs w:val="21"/>
        </w:rPr>
        <w:t>2.3.1.验收标准和验收方式以《验收要求》（附件2）中的约定为准。</w:t>
      </w:r>
    </w:p>
    <w:p>
      <w:pPr>
        <w:spacing w:line="600" w:lineRule="exact"/>
        <w:ind w:firstLine="420" w:firstLineChars="200"/>
        <w:rPr>
          <w:rFonts w:ascii="宋体" w:hAnsi="宋体" w:cs="宋体"/>
          <w:szCs w:val="21"/>
        </w:rPr>
      </w:pPr>
      <w:r>
        <w:rPr>
          <w:rFonts w:hint="eastAsia" w:ascii="宋体" w:hAnsi="宋体" w:cs="宋体"/>
          <w:szCs w:val="21"/>
        </w:rPr>
        <w:t>2.3.2.乙方应按本合同约定及时申请验收，甲方应按本合同约定及时组织验收。</w:t>
      </w:r>
    </w:p>
    <w:p>
      <w:pPr>
        <w:spacing w:line="600" w:lineRule="exact"/>
        <w:ind w:firstLine="420" w:firstLineChars="200"/>
        <w:rPr>
          <w:rFonts w:ascii="宋体" w:hAnsi="宋体" w:cs="宋体"/>
          <w:szCs w:val="21"/>
        </w:rPr>
      </w:pPr>
      <w:r>
        <w:rPr>
          <w:rFonts w:hint="eastAsia" w:ascii="宋体" w:hAnsi="宋体" w:cs="宋体"/>
          <w:szCs w:val="21"/>
        </w:rPr>
        <w:t>2.3.3.验收活动组织按甲方项目验收管理工作要求执行，乙方应无条件配合甲方的验收工作，并按甲方要求的形式提供相应的验收材料。</w:t>
      </w:r>
    </w:p>
    <w:p>
      <w:pPr>
        <w:spacing w:line="600" w:lineRule="exact"/>
        <w:ind w:firstLine="420" w:firstLineChars="200"/>
        <w:rPr>
          <w:rFonts w:ascii="宋体" w:hAnsi="宋体" w:cs="宋体"/>
          <w:szCs w:val="21"/>
        </w:rPr>
      </w:pPr>
      <w:r>
        <w:rPr>
          <w:rFonts w:hint="eastAsia" w:ascii="宋体" w:hAnsi="宋体" w:cs="宋体"/>
          <w:szCs w:val="21"/>
        </w:rPr>
        <w:t>3. 双方权利义务</w:t>
      </w:r>
    </w:p>
    <w:p>
      <w:pPr>
        <w:spacing w:line="600" w:lineRule="exact"/>
        <w:ind w:firstLine="420" w:firstLineChars="200"/>
        <w:rPr>
          <w:rFonts w:ascii="宋体" w:hAnsi="宋体" w:cs="宋体"/>
          <w:szCs w:val="21"/>
        </w:rPr>
      </w:pPr>
      <w:r>
        <w:rPr>
          <w:rFonts w:hint="eastAsia" w:ascii="宋体" w:hAnsi="宋体" w:cs="宋体"/>
          <w:szCs w:val="21"/>
        </w:rPr>
        <w:t>3.1. 甲方权利义务</w:t>
      </w:r>
    </w:p>
    <w:p>
      <w:pPr>
        <w:spacing w:line="600" w:lineRule="exact"/>
        <w:ind w:firstLine="420" w:firstLineChars="200"/>
        <w:rPr>
          <w:rFonts w:ascii="宋体" w:hAnsi="宋体" w:cs="宋体"/>
          <w:szCs w:val="21"/>
        </w:rPr>
      </w:pPr>
      <w:r>
        <w:rPr>
          <w:rFonts w:hint="eastAsia" w:ascii="宋体" w:hAnsi="宋体" w:cs="宋体"/>
          <w:szCs w:val="21"/>
        </w:rPr>
        <w:t>3.1.1.乙方因自身原因导致合同无法继续履行，则视为乙方违约，甲方有权单方解除合同，并向乙方追偿损失。</w:t>
      </w:r>
    </w:p>
    <w:p>
      <w:pPr>
        <w:spacing w:line="600" w:lineRule="exact"/>
        <w:ind w:firstLine="420" w:firstLineChars="200"/>
        <w:rPr>
          <w:rFonts w:ascii="宋体" w:hAnsi="宋体" w:cs="宋体"/>
          <w:szCs w:val="21"/>
        </w:rPr>
      </w:pPr>
      <w:r>
        <w:rPr>
          <w:rFonts w:hint="eastAsia" w:ascii="宋体" w:hAnsi="宋体" w:cs="宋体"/>
          <w:szCs w:val="21"/>
        </w:rPr>
        <w:t>3.1.2.如因乙方原因导致甲方被行政处分或行政处罚，甲方保留向乙方追究法律责任、经济责任的权利。</w:t>
      </w:r>
    </w:p>
    <w:p>
      <w:pPr>
        <w:spacing w:line="600" w:lineRule="exact"/>
        <w:ind w:firstLine="420" w:firstLineChars="200"/>
        <w:rPr>
          <w:rFonts w:ascii="宋体" w:hAnsi="宋体" w:cs="宋体"/>
          <w:szCs w:val="21"/>
        </w:rPr>
      </w:pPr>
      <w:r>
        <w:rPr>
          <w:rFonts w:hint="eastAsia" w:ascii="宋体" w:hAnsi="宋体" w:cs="宋体"/>
          <w:szCs w:val="21"/>
        </w:rPr>
        <w:t>3.1.3.甲方应依照《测评服务说明书》（附件1）中的约定，向乙方提供技术服务所必须的信息、数据、资料、系统/设备权限、系统/软件，并负责为乙方提供必要的设备、工作场地、后勤设施等。</w:t>
      </w:r>
    </w:p>
    <w:p>
      <w:pPr>
        <w:spacing w:line="600" w:lineRule="exact"/>
        <w:ind w:firstLine="420" w:firstLineChars="200"/>
        <w:rPr>
          <w:rFonts w:ascii="宋体" w:hAnsi="宋体" w:cs="宋体"/>
          <w:szCs w:val="21"/>
        </w:rPr>
      </w:pPr>
      <w:r>
        <w:rPr>
          <w:rFonts w:hint="eastAsia" w:ascii="宋体" w:hAnsi="宋体" w:cs="宋体"/>
          <w:szCs w:val="21"/>
        </w:rPr>
        <w:t>3.1.4.甲方充分知晓并认可，甲方的支持与配合是乙方如期完成服务内容的必要条件。甲方承诺在制度上、人力上、系统环境上以及乙方人员的工作条件方面给予乙方充分的配合和支持，确保项目的顺利实施。</w:t>
      </w:r>
    </w:p>
    <w:p>
      <w:pPr>
        <w:spacing w:line="600" w:lineRule="exact"/>
        <w:ind w:firstLine="420" w:firstLineChars="200"/>
        <w:rPr>
          <w:rFonts w:ascii="宋体" w:hAnsi="宋体" w:cs="宋体"/>
          <w:szCs w:val="21"/>
        </w:rPr>
      </w:pPr>
      <w:r>
        <w:rPr>
          <w:rFonts w:hint="eastAsia" w:ascii="宋体" w:hAnsi="宋体" w:cs="宋体"/>
          <w:szCs w:val="21"/>
        </w:rPr>
        <w:t>3.1.5.甲方应在项目小组指派一名甲方人员作为项目负责人，负责对乙方服务进行协调、监督，项目负责人应定期向甲方汇报，与乙方项目负责人沟通，并负责本合同项下服务和/或可交付成果物的验收组织工作。如乙方提供的服务达不到甲方要求的，甲方应及时将不符合要求的内容和原因通知乙方。</w:t>
      </w:r>
    </w:p>
    <w:p>
      <w:pPr>
        <w:spacing w:line="600" w:lineRule="exact"/>
        <w:ind w:firstLine="420" w:firstLineChars="200"/>
        <w:rPr>
          <w:rFonts w:ascii="宋体" w:hAnsi="宋体" w:cs="宋体"/>
          <w:szCs w:val="21"/>
        </w:rPr>
      </w:pPr>
      <w:r>
        <w:rPr>
          <w:rFonts w:hint="eastAsia" w:ascii="宋体" w:hAnsi="宋体" w:cs="宋体"/>
          <w:szCs w:val="21"/>
        </w:rPr>
        <w:t>3.1.6.按照本合同的约定向乙方支付合同金额。</w:t>
      </w:r>
    </w:p>
    <w:p>
      <w:pPr>
        <w:spacing w:line="600" w:lineRule="exact"/>
        <w:ind w:firstLine="420" w:firstLineChars="200"/>
        <w:rPr>
          <w:rFonts w:ascii="宋体" w:hAnsi="宋体" w:cs="宋体"/>
          <w:szCs w:val="21"/>
        </w:rPr>
      </w:pPr>
      <w:r>
        <w:rPr>
          <w:rFonts w:hint="eastAsia" w:ascii="宋体" w:hAnsi="宋体" w:cs="宋体"/>
          <w:szCs w:val="21"/>
        </w:rPr>
        <w:t>3.1.7.若甲方在其他合同中为本项目指定咨询监理单位，甲方应当将授予咨询监理单位的监理权利及时通知乙方。</w:t>
      </w:r>
    </w:p>
    <w:p>
      <w:pPr>
        <w:spacing w:line="600" w:lineRule="exact"/>
        <w:ind w:firstLine="420" w:firstLineChars="200"/>
        <w:rPr>
          <w:rFonts w:ascii="宋体" w:hAnsi="宋体" w:cs="宋体"/>
          <w:szCs w:val="21"/>
        </w:rPr>
      </w:pPr>
      <w:r>
        <w:rPr>
          <w:rFonts w:hint="eastAsia" w:ascii="宋体" w:hAnsi="宋体" w:cs="宋体"/>
          <w:szCs w:val="21"/>
        </w:rPr>
        <w:t>3.1.8.法律、法规规定的以及本合同项下的其他权利义务。</w:t>
      </w:r>
    </w:p>
    <w:p>
      <w:pPr>
        <w:spacing w:line="600" w:lineRule="exact"/>
        <w:ind w:firstLine="420" w:firstLineChars="200"/>
        <w:rPr>
          <w:rFonts w:ascii="宋体" w:hAnsi="宋体" w:cs="宋体"/>
          <w:szCs w:val="21"/>
        </w:rPr>
      </w:pPr>
      <w:r>
        <w:rPr>
          <w:rFonts w:hint="eastAsia" w:ascii="宋体" w:hAnsi="宋体" w:cs="宋体"/>
          <w:szCs w:val="21"/>
        </w:rPr>
        <w:t>3.2. 乙方权利义务</w:t>
      </w:r>
    </w:p>
    <w:p>
      <w:pPr>
        <w:spacing w:line="600" w:lineRule="exact"/>
        <w:ind w:firstLine="420" w:firstLineChars="200"/>
        <w:rPr>
          <w:rFonts w:ascii="宋体" w:hAnsi="宋体" w:cs="宋体"/>
          <w:szCs w:val="21"/>
        </w:rPr>
      </w:pPr>
      <w:r>
        <w:rPr>
          <w:rFonts w:hint="eastAsia" w:ascii="宋体" w:hAnsi="宋体" w:cs="宋体"/>
          <w:szCs w:val="21"/>
        </w:rPr>
        <w:t>3.2.1.要求甲方按本合同的约定支付合同金额的权利。</w:t>
      </w:r>
    </w:p>
    <w:p>
      <w:pPr>
        <w:spacing w:line="600" w:lineRule="exact"/>
        <w:ind w:firstLine="420" w:firstLineChars="200"/>
        <w:rPr>
          <w:rFonts w:ascii="宋体" w:hAnsi="宋体" w:cs="宋体"/>
          <w:szCs w:val="21"/>
        </w:rPr>
      </w:pPr>
      <w:r>
        <w:rPr>
          <w:rFonts w:hint="eastAsia" w:ascii="宋体" w:hAnsi="宋体" w:cs="宋体"/>
          <w:szCs w:val="21"/>
        </w:rPr>
        <w:t>3.2.2.由于某些测评测试项目对系统可能具有破坏性，故乙方在实施该类测试项目之前，应向甲方说明测试情况及可能出现的破坏性结果，并在得到甲方的确认及许可后，进行该类项目的测试。乙方应确保项目测评人员严格按照测评流程的要求实施操作，以避免在测评过程中对甲方系统造成损害。</w:t>
      </w:r>
    </w:p>
    <w:p>
      <w:pPr>
        <w:spacing w:line="600" w:lineRule="exact"/>
        <w:ind w:firstLine="420" w:firstLineChars="200"/>
        <w:rPr>
          <w:rFonts w:ascii="宋体" w:hAnsi="宋体" w:cs="宋体"/>
          <w:szCs w:val="21"/>
        </w:rPr>
      </w:pPr>
      <w:r>
        <w:rPr>
          <w:rFonts w:hint="eastAsia" w:ascii="宋体" w:hAnsi="宋体" w:cs="宋体"/>
          <w:szCs w:val="21"/>
        </w:rPr>
        <w:t>3.2.3.乙方应尽勤勉义务，严格执行项目服务计划，依照《测评服务说明书》的约定交付服务和/或可交付成果。</w:t>
      </w:r>
    </w:p>
    <w:p>
      <w:pPr>
        <w:spacing w:line="600" w:lineRule="exact"/>
        <w:ind w:firstLine="420" w:firstLineChars="200"/>
        <w:rPr>
          <w:rFonts w:ascii="宋体" w:hAnsi="宋体" w:cs="宋体"/>
          <w:szCs w:val="21"/>
        </w:rPr>
      </w:pPr>
      <w:r>
        <w:rPr>
          <w:rFonts w:hint="eastAsia" w:ascii="宋体" w:hAnsi="宋体" w:cs="宋体"/>
          <w:szCs w:val="21"/>
        </w:rPr>
        <w:t>3.2.4.未经双方项目负责人书面确认或者甲方书面同意，乙方不得延迟或进行内容上的变更。如果乙方在提供技术服务的过程中发现影响计划执行的不利因素的，乙方应及时通报给甲方。</w:t>
      </w:r>
    </w:p>
    <w:p>
      <w:pPr>
        <w:spacing w:line="600" w:lineRule="exact"/>
        <w:ind w:firstLine="420" w:firstLineChars="200"/>
        <w:rPr>
          <w:rFonts w:ascii="宋体" w:hAnsi="宋体" w:cs="宋体"/>
          <w:szCs w:val="21"/>
        </w:rPr>
      </w:pPr>
      <w:r>
        <w:rPr>
          <w:rFonts w:hint="eastAsia" w:ascii="宋体" w:hAnsi="宋体" w:cs="宋体"/>
          <w:szCs w:val="21"/>
        </w:rPr>
        <w:t>3.2.5.如政府审计部门或政府审计部门委托的第三方审计单位需对涉及本合同的事项进行审计时，乙方应按照政府审计有关法律法规和政策要求，支持、协助审计部门或其委托的跟踪审计单位开展工作。</w:t>
      </w:r>
    </w:p>
    <w:p>
      <w:pPr>
        <w:spacing w:line="600" w:lineRule="exact"/>
        <w:ind w:firstLine="420" w:firstLineChars="200"/>
        <w:rPr>
          <w:rFonts w:ascii="宋体" w:hAnsi="宋体" w:cs="宋体"/>
          <w:szCs w:val="21"/>
        </w:rPr>
      </w:pPr>
      <w:r>
        <w:rPr>
          <w:rFonts w:hint="eastAsia" w:ascii="宋体" w:hAnsi="宋体" w:cs="宋体"/>
          <w:szCs w:val="21"/>
        </w:rPr>
        <w:t>3.2.6.乙方应保证所提供的产品或服务没有侵害任何第三方的知识产权或其他正当权益。如有第三方指控甲方接受乙方提供的产品或服务侵犯了该方的知识产权或其他合法权利，乙方应自费就上述指控为甲方辩护或进行妥善处理，并承担给甲方及第三方造成的一切损失（包括但不限于赔偿金、律师费、诉讼费等）。如乙方不为甲方辩护或不进行妥善处理，甲方可自行处理，甲方与第三方达成的和解协议或法院、仲裁机构作出的生效法律文书确定由甲方承担的责任，及甲方自行处理所支出的费用（包括但不限于律师费、案件受理费、执行费、差旅费等）由乙方承担。</w:t>
      </w:r>
    </w:p>
    <w:p>
      <w:pPr>
        <w:spacing w:line="600" w:lineRule="exact"/>
        <w:ind w:firstLine="420" w:firstLineChars="200"/>
        <w:rPr>
          <w:rFonts w:ascii="宋体" w:hAnsi="宋体" w:cs="宋体"/>
          <w:szCs w:val="21"/>
        </w:rPr>
      </w:pPr>
      <w:r>
        <w:rPr>
          <w:rFonts w:hint="eastAsia" w:ascii="宋体" w:hAnsi="宋体" w:cs="宋体"/>
          <w:szCs w:val="21"/>
        </w:rPr>
        <w:t>3.2.7.若甲方在其他合同中为本项目指定咨询监理单位，乙方应无条件接受甲方或甲方指定的咨询监理单位的统一管理和监督检查，并按要求完成相关配合工作。</w:t>
      </w:r>
    </w:p>
    <w:p>
      <w:pPr>
        <w:spacing w:line="600" w:lineRule="exact"/>
        <w:ind w:firstLine="420" w:firstLineChars="200"/>
        <w:rPr>
          <w:rFonts w:ascii="宋体" w:hAnsi="宋体" w:cs="宋体"/>
          <w:szCs w:val="21"/>
        </w:rPr>
      </w:pPr>
      <w:r>
        <w:rPr>
          <w:rFonts w:hint="eastAsia" w:ascii="宋体" w:hAnsi="宋体" w:cs="宋体"/>
          <w:szCs w:val="21"/>
        </w:rPr>
        <w:t>3.2.8.乙方应对其履行本合同所雇佣、安排的全部人员的安全事故承担责任。由于乙方或乙方人员原因在甲方办公场所内及其毗邻造成的第三者人身伤亡和财产损失，由乙方负责赔偿。</w:t>
      </w:r>
    </w:p>
    <w:p>
      <w:pPr>
        <w:spacing w:line="600" w:lineRule="exact"/>
        <w:ind w:firstLine="420" w:firstLineChars="200"/>
        <w:rPr>
          <w:rFonts w:ascii="宋体" w:hAnsi="宋体" w:cs="宋体"/>
          <w:szCs w:val="21"/>
        </w:rPr>
      </w:pPr>
      <w:r>
        <w:rPr>
          <w:rFonts w:hint="eastAsia" w:ascii="宋体" w:hAnsi="宋体" w:cs="宋体"/>
          <w:szCs w:val="21"/>
        </w:rPr>
        <w:t>3.2.9乙方应配备具备本项目实施服务技能和资质的技术人员负责本项目的实施，并保证人员的稳定性、专业性。合同签订后，如乙方发生或可能发生丧失履行本合同所应具备的能力的，乙方应及时书面告知甲方，并提供切实可行的解决方案。如该解决方案未能获得甲方书面同意的，则甲方有权单方通知解除合同，委托第三方提供服务。乙方除应向甲方退还甲方已付款项外，</w:t>
      </w:r>
      <w:r>
        <w:rPr>
          <w:rFonts w:hint="eastAsia" w:ascii="宋体" w:hAnsi="宋体" w:cs="宋体"/>
          <w:szCs w:val="21"/>
          <w:lang w:eastAsia="zh-Hans"/>
        </w:rPr>
        <w:t>还</w:t>
      </w:r>
      <w:r>
        <w:rPr>
          <w:rFonts w:hint="eastAsia" w:ascii="宋体" w:hAnsi="宋体" w:cs="宋体"/>
          <w:szCs w:val="21"/>
        </w:rPr>
        <w:t>应向甲方支付合同总价20%的违约金，且甲方另行委托第三方的费用（超出合同总价的部分）由乙方承担。</w:t>
      </w:r>
    </w:p>
    <w:p>
      <w:pPr>
        <w:spacing w:line="600" w:lineRule="exact"/>
        <w:ind w:firstLine="420" w:firstLineChars="200"/>
        <w:rPr>
          <w:rFonts w:ascii="宋体" w:hAnsi="宋体" w:cs="宋体"/>
          <w:szCs w:val="21"/>
        </w:rPr>
      </w:pPr>
      <w:r>
        <w:rPr>
          <w:rFonts w:hint="eastAsia" w:ascii="宋体" w:hAnsi="宋体" w:cs="宋体"/>
          <w:szCs w:val="21"/>
        </w:rPr>
        <w:t>3.2.10.疫情期间，乙方及乙方工作人员应做好疫情防护工作，遵守甲方单位的防疫规定，严禁安排已感染人员或与已感染人员具有密切接触史或有传播病毒风险的人员进入甲方办公场所。乙方违反本条约定而造成甲方损失的，乙方应当赔偿甲方因此而遭受的所有损失。</w:t>
      </w:r>
    </w:p>
    <w:p>
      <w:pPr>
        <w:spacing w:line="600" w:lineRule="exact"/>
        <w:ind w:firstLine="420" w:firstLineChars="200"/>
        <w:rPr>
          <w:rFonts w:ascii="宋体" w:hAnsi="宋体" w:cs="宋体"/>
          <w:szCs w:val="21"/>
        </w:rPr>
      </w:pPr>
      <w:r>
        <w:rPr>
          <w:rFonts w:hint="eastAsia" w:ascii="宋体" w:hAnsi="宋体" w:cs="宋体"/>
          <w:szCs w:val="21"/>
        </w:rPr>
        <w:t>3.2.11.除甲方事先书面同意外，乙方不得部分或全部转让其应履行的合同项下的义务。</w:t>
      </w:r>
    </w:p>
    <w:p>
      <w:pPr>
        <w:spacing w:line="600" w:lineRule="exact"/>
        <w:ind w:firstLine="420" w:firstLineChars="200"/>
        <w:rPr>
          <w:rFonts w:ascii="宋体" w:hAnsi="宋体" w:cs="宋体"/>
          <w:szCs w:val="21"/>
        </w:rPr>
      </w:pPr>
      <w:r>
        <w:rPr>
          <w:rFonts w:hint="eastAsia" w:ascii="宋体" w:hAnsi="宋体" w:cs="宋体"/>
          <w:szCs w:val="21"/>
        </w:rPr>
        <w:t>3.2.12.法律、法规规定的以及本合同项下的其他权利义务。</w:t>
      </w:r>
    </w:p>
    <w:p>
      <w:pPr>
        <w:spacing w:line="600" w:lineRule="exact"/>
        <w:ind w:firstLine="420" w:firstLineChars="200"/>
        <w:rPr>
          <w:rFonts w:ascii="宋体" w:hAnsi="宋体" w:cs="宋体"/>
          <w:szCs w:val="21"/>
        </w:rPr>
      </w:pPr>
      <w:r>
        <w:rPr>
          <w:rFonts w:hint="eastAsia" w:ascii="宋体" w:hAnsi="宋体" w:cs="宋体"/>
          <w:szCs w:val="21"/>
        </w:rPr>
        <w:t>4. 合同金额与结算方式</w:t>
      </w:r>
    </w:p>
    <w:p>
      <w:pPr>
        <w:spacing w:line="600" w:lineRule="exact"/>
        <w:ind w:firstLine="420" w:firstLineChars="200"/>
        <w:rPr>
          <w:rFonts w:ascii="宋体" w:hAnsi="宋体" w:cs="宋体"/>
          <w:szCs w:val="21"/>
        </w:rPr>
      </w:pPr>
      <w:r>
        <w:rPr>
          <w:rFonts w:hint="eastAsia" w:ascii="宋体" w:hAnsi="宋体" w:cs="宋体"/>
          <w:szCs w:val="21"/>
        </w:rPr>
        <w:t>4.1. 合同金额</w:t>
      </w:r>
    </w:p>
    <w:p>
      <w:pPr>
        <w:spacing w:line="600" w:lineRule="exact"/>
        <w:ind w:firstLine="420" w:firstLineChars="200"/>
        <w:rPr>
          <w:rFonts w:ascii="宋体" w:hAnsi="宋体" w:cs="宋体"/>
          <w:szCs w:val="21"/>
        </w:rPr>
      </w:pPr>
      <w:r>
        <w:rPr>
          <w:rFonts w:hint="eastAsia" w:ascii="宋体" w:hAnsi="宋体" w:cs="宋体"/>
          <w:szCs w:val="21"/>
        </w:rPr>
        <w:t>合同总金额为（大写）：人民币</w:t>
      </w:r>
      <w:r>
        <w:rPr>
          <w:rFonts w:hint="eastAsia" w:ascii="宋体" w:hAnsi="宋体" w:cs="宋体"/>
          <w:szCs w:val="21"/>
          <w:u w:val="single"/>
        </w:rPr>
        <w:t xml:space="preserve">        </w:t>
      </w:r>
      <w:r>
        <w:rPr>
          <w:rFonts w:hint="eastAsia" w:ascii="宋体" w:hAnsi="宋体" w:cs="宋体"/>
          <w:szCs w:val="21"/>
        </w:rPr>
        <w:t xml:space="preserve">元整（¥ </w:t>
      </w:r>
      <w:r>
        <w:rPr>
          <w:rFonts w:hint="eastAsia" w:ascii="宋体" w:hAnsi="宋体" w:cs="宋体"/>
          <w:szCs w:val="21"/>
          <w:u w:val="single"/>
        </w:rPr>
        <w:t>0,000.00</w:t>
      </w:r>
      <w:r>
        <w:rPr>
          <w:rFonts w:hint="eastAsia" w:ascii="宋体" w:hAnsi="宋体" w:cs="宋体"/>
          <w:szCs w:val="21"/>
        </w:rPr>
        <w:t>），本合同总金额为乙方按照合同约定完成合同全部义务后所适用的含税总价格。</w:t>
      </w:r>
    </w:p>
    <w:p>
      <w:pPr>
        <w:spacing w:line="600" w:lineRule="exact"/>
        <w:ind w:firstLine="420" w:firstLineChars="200"/>
        <w:rPr>
          <w:rFonts w:ascii="宋体" w:hAnsi="宋体" w:cs="宋体"/>
          <w:szCs w:val="21"/>
        </w:rPr>
      </w:pPr>
      <w:r>
        <w:rPr>
          <w:rFonts w:hint="eastAsia" w:ascii="宋体" w:hAnsi="宋体" w:cs="宋体"/>
          <w:szCs w:val="21"/>
        </w:rPr>
        <w:t>4.2. 费用结算方式</w:t>
      </w:r>
    </w:p>
    <w:p>
      <w:pPr>
        <w:spacing w:line="600" w:lineRule="exact"/>
        <w:ind w:firstLine="420" w:firstLineChars="200"/>
        <w:rPr>
          <w:rFonts w:ascii="宋体" w:hAnsi="宋体" w:cs="宋体"/>
          <w:szCs w:val="21"/>
        </w:rPr>
      </w:pPr>
      <w:r>
        <w:rPr>
          <w:rFonts w:hint="eastAsia" w:ascii="宋体" w:hAnsi="宋体" w:cs="宋体"/>
          <w:szCs w:val="21"/>
        </w:rPr>
        <w:t>4.2.1.合同款由甲方分期支付给乙方，原则上合同约定的资金支付条件与验收成果挂钩，具体支付方式和时间如下：</w:t>
      </w:r>
    </w:p>
    <w:p>
      <w:pPr>
        <w:spacing w:line="600" w:lineRule="exact"/>
        <w:ind w:firstLine="420" w:firstLineChars="200"/>
        <w:rPr>
          <w:rFonts w:ascii="宋体" w:hAnsi="宋体" w:cs="宋体"/>
          <w:szCs w:val="21"/>
        </w:rPr>
      </w:pPr>
      <w:r>
        <w:rPr>
          <w:rFonts w:hint="eastAsia" w:ascii="宋体" w:hAnsi="宋体" w:cs="宋体"/>
          <w:szCs w:val="21"/>
        </w:rPr>
        <w:t>（1）首期款：合同签订生效后，乙方向甲方开具等额有效的增值税发票后</w:t>
      </w:r>
      <w:r>
        <w:rPr>
          <w:rFonts w:hint="eastAsia" w:ascii="宋体" w:hAnsi="宋体" w:cs="宋体"/>
          <w:szCs w:val="21"/>
          <w:u w:val="single"/>
        </w:rPr>
        <w:t>15</w:t>
      </w:r>
      <w:r>
        <w:rPr>
          <w:rFonts w:hint="eastAsia" w:ascii="宋体" w:hAnsi="宋体" w:cs="宋体"/>
          <w:szCs w:val="21"/>
        </w:rPr>
        <w:t>个工作日内，甲方向乙方支付本合同价款的</w:t>
      </w:r>
      <w:r>
        <w:rPr>
          <w:rFonts w:hint="eastAsia" w:ascii="宋体" w:hAnsi="宋体" w:cs="宋体"/>
          <w:szCs w:val="21"/>
          <w:u w:val="single"/>
        </w:rPr>
        <w:t xml:space="preserve">  </w:t>
      </w:r>
      <w:r>
        <w:rPr>
          <w:rFonts w:hint="eastAsia" w:ascii="宋体" w:hAnsi="宋体" w:cs="宋体"/>
          <w:szCs w:val="21"/>
        </w:rPr>
        <w:t>%即人民币</w:t>
      </w:r>
      <w:r>
        <w:rPr>
          <w:rFonts w:hint="eastAsia" w:ascii="宋体" w:hAnsi="宋体" w:cs="宋体"/>
          <w:szCs w:val="21"/>
          <w:u w:val="single"/>
        </w:rPr>
        <w:t xml:space="preserve">         整 </w:t>
      </w:r>
      <w:r>
        <w:rPr>
          <w:rFonts w:hint="eastAsia" w:ascii="宋体" w:hAnsi="宋体" w:cs="宋体"/>
          <w:szCs w:val="21"/>
        </w:rPr>
        <w:t>（¥,000.00 ）作为首期款。</w:t>
      </w:r>
    </w:p>
    <w:p>
      <w:pPr>
        <w:spacing w:line="600" w:lineRule="exact"/>
        <w:ind w:firstLine="420" w:firstLineChars="200"/>
        <w:rPr>
          <w:rFonts w:ascii="宋体" w:hAnsi="宋体" w:cs="宋体"/>
          <w:szCs w:val="21"/>
        </w:rPr>
      </w:pPr>
      <w:r>
        <w:rPr>
          <w:rFonts w:hint="eastAsia" w:ascii="宋体" w:hAnsi="宋体" w:cs="宋体"/>
          <w:szCs w:val="21"/>
        </w:rPr>
        <w:t>（2）尾款：本项目经甲方验收通过后，乙方向甲方开具等额有效的增值税发票后</w:t>
      </w:r>
      <w:r>
        <w:rPr>
          <w:rFonts w:hint="eastAsia" w:ascii="宋体" w:hAnsi="宋体" w:cs="宋体"/>
          <w:szCs w:val="21"/>
          <w:u w:val="single"/>
        </w:rPr>
        <w:t>15</w:t>
      </w:r>
      <w:r>
        <w:rPr>
          <w:rFonts w:hint="eastAsia" w:ascii="宋体" w:hAnsi="宋体" w:cs="宋体"/>
          <w:szCs w:val="21"/>
        </w:rPr>
        <w:t>个工作日内，甲方向乙方支付本合同价款的  %即人民币</w:t>
      </w:r>
      <w:r>
        <w:rPr>
          <w:rFonts w:hint="eastAsia" w:ascii="宋体" w:hAnsi="宋体" w:cs="宋体"/>
          <w:szCs w:val="21"/>
          <w:u w:val="single"/>
        </w:rPr>
        <w:t xml:space="preserve">       元整</w:t>
      </w:r>
      <w:r>
        <w:rPr>
          <w:rFonts w:hint="eastAsia" w:ascii="宋体" w:hAnsi="宋体" w:cs="宋体"/>
          <w:szCs w:val="21"/>
        </w:rPr>
        <w:t>（¥</w:t>
      </w:r>
      <w:r>
        <w:rPr>
          <w:rFonts w:hint="eastAsia" w:ascii="宋体" w:hAnsi="宋体" w:cs="宋体"/>
          <w:szCs w:val="21"/>
          <w:u w:val="single"/>
        </w:rPr>
        <w:t>,000.00</w:t>
      </w:r>
      <w:r>
        <w:rPr>
          <w:rFonts w:hint="eastAsia" w:ascii="宋体" w:hAnsi="宋体" w:cs="宋体"/>
          <w:szCs w:val="21"/>
        </w:rPr>
        <w:t>）。</w:t>
      </w:r>
    </w:p>
    <w:p>
      <w:pPr>
        <w:spacing w:line="600" w:lineRule="exact"/>
        <w:ind w:firstLine="420" w:firstLineChars="200"/>
        <w:rPr>
          <w:rFonts w:ascii="宋体" w:hAnsi="宋体" w:cs="宋体"/>
          <w:szCs w:val="21"/>
        </w:rPr>
      </w:pPr>
      <w:r>
        <w:rPr>
          <w:rFonts w:hint="eastAsia" w:ascii="宋体" w:hAnsi="宋体" w:cs="宋体"/>
          <w:szCs w:val="21"/>
        </w:rPr>
        <w:t>4.2.2. 乙方在向甲方申请支付合同价款时需同时提供应付金额等额的增值税发票，因乙方未提供发票或提供的发票不符合规定的，甲方有权拒绝支付款项且不视为违约。</w:t>
      </w:r>
    </w:p>
    <w:p>
      <w:pPr>
        <w:pStyle w:val="2"/>
        <w:spacing w:line="360" w:lineRule="auto"/>
      </w:pPr>
      <w:r>
        <w:rPr>
          <w:rFonts w:hint="eastAsia" w:ascii="宋体" w:hAnsi="宋体" w:cs="宋体"/>
          <w:szCs w:val="21"/>
        </w:rPr>
        <w:t xml:space="preserve">    4.2.3  因甲方使用财政资金付款，需执行财政国库集中支付制度及单位内部资金支付管理审批等有关规定。乙方同意如因财政支付审查、财政支付管理流程、预算下达及单位内部支付审批流程等非甲方主观原因导致合同价款实际到达乙方账户时间延迟的，甲方不承担延迟付款的违约责任，乙方不得以此为由迟延履行或不履行合同义务。</w:t>
      </w:r>
    </w:p>
    <w:p>
      <w:pPr>
        <w:spacing w:line="600" w:lineRule="exact"/>
        <w:ind w:firstLine="420" w:firstLineChars="200"/>
        <w:rPr>
          <w:rFonts w:ascii="宋体" w:hAnsi="宋体" w:cs="宋体"/>
          <w:szCs w:val="21"/>
        </w:rPr>
      </w:pPr>
      <w:r>
        <w:rPr>
          <w:rFonts w:hint="eastAsia" w:ascii="宋体" w:hAnsi="宋体" w:cs="宋体"/>
          <w:szCs w:val="21"/>
        </w:rPr>
        <w:t>4.3. 乙方账号信息</w:t>
      </w:r>
    </w:p>
    <w:p>
      <w:pPr>
        <w:spacing w:line="600" w:lineRule="exact"/>
        <w:ind w:firstLine="420" w:firstLineChars="200"/>
        <w:rPr>
          <w:rFonts w:ascii="宋体" w:hAnsi="宋体" w:cs="宋体"/>
          <w:szCs w:val="21"/>
        </w:rPr>
      </w:pPr>
      <w:r>
        <w:rPr>
          <w:rFonts w:hint="eastAsia" w:ascii="宋体" w:hAnsi="宋体" w:cs="宋体"/>
          <w:szCs w:val="21"/>
        </w:rPr>
        <w:t xml:space="preserve">开户名称：                                </w:t>
      </w:r>
    </w:p>
    <w:p>
      <w:pPr>
        <w:spacing w:line="600" w:lineRule="exact"/>
        <w:ind w:firstLine="420" w:firstLineChars="200"/>
        <w:rPr>
          <w:rFonts w:ascii="宋体" w:hAnsi="宋体" w:cs="宋体"/>
          <w:szCs w:val="21"/>
        </w:rPr>
      </w:pPr>
      <w:r>
        <w:rPr>
          <w:rFonts w:hint="eastAsia" w:ascii="宋体" w:hAnsi="宋体" w:cs="宋体"/>
          <w:szCs w:val="21"/>
        </w:rPr>
        <w:t xml:space="preserve">开户银行：                           </w:t>
      </w:r>
    </w:p>
    <w:p>
      <w:pPr>
        <w:spacing w:line="600" w:lineRule="exact"/>
        <w:ind w:firstLine="420" w:firstLineChars="200"/>
        <w:rPr>
          <w:rFonts w:ascii="宋体" w:hAnsi="宋体" w:cs="宋体"/>
          <w:szCs w:val="21"/>
        </w:rPr>
      </w:pPr>
      <w:r>
        <w:rPr>
          <w:rFonts w:hint="eastAsia" w:ascii="宋体" w:hAnsi="宋体" w:cs="宋体"/>
          <w:szCs w:val="21"/>
        </w:rPr>
        <w:t xml:space="preserve">银行账号：                              </w:t>
      </w:r>
    </w:p>
    <w:p>
      <w:pPr>
        <w:spacing w:line="600" w:lineRule="exact"/>
        <w:ind w:firstLine="420" w:firstLineChars="200"/>
        <w:rPr>
          <w:rFonts w:ascii="宋体" w:hAnsi="宋体" w:cs="宋体"/>
          <w:szCs w:val="21"/>
        </w:rPr>
      </w:pPr>
      <w:r>
        <w:rPr>
          <w:rFonts w:hint="eastAsia" w:ascii="宋体" w:hAnsi="宋体" w:cs="宋体"/>
          <w:szCs w:val="21"/>
        </w:rPr>
        <w:t>甲方向上述账户汇出款项后，即视为甲方已履行付款义务，在汇款过程中因乙方账户原因（包括但不限于账号被注销、被冻结等）导致其无法收取款项的，由乙方承担相应后果。甲方有权直接在应付款项中扣除乙方应承担的违约金或赔偿金等对应款项。</w:t>
      </w:r>
    </w:p>
    <w:p>
      <w:pPr>
        <w:spacing w:line="600" w:lineRule="exact"/>
        <w:ind w:firstLine="420" w:firstLineChars="200"/>
        <w:rPr>
          <w:rFonts w:ascii="宋体" w:hAnsi="宋体" w:cs="宋体"/>
          <w:szCs w:val="21"/>
        </w:rPr>
      </w:pPr>
      <w:r>
        <w:rPr>
          <w:rFonts w:hint="eastAsia" w:ascii="宋体" w:hAnsi="宋体" w:cs="宋体"/>
          <w:szCs w:val="21"/>
        </w:rPr>
        <w:t>4.4. 其他</w:t>
      </w:r>
    </w:p>
    <w:p>
      <w:pPr>
        <w:spacing w:line="600" w:lineRule="exact"/>
        <w:ind w:firstLine="420" w:firstLineChars="200"/>
        <w:rPr>
          <w:rFonts w:ascii="宋体" w:hAnsi="宋体" w:cs="宋体"/>
          <w:szCs w:val="21"/>
        </w:rPr>
      </w:pPr>
      <w:r>
        <w:rPr>
          <w:rFonts w:hint="eastAsia" w:ascii="宋体" w:hAnsi="宋体" w:cs="宋体"/>
          <w:szCs w:val="21"/>
        </w:rPr>
        <w:t>除本合同明确约定的费用外，甲方无需对乙方支付任何额外费用和承担任何额外义务。在实际合同履行过程中，如果乙方未完全履行合同义务或履行的合同义务不符合约定的，则未履行或履行不符合合同约定的内容所对应的价款由甲方直接从上述约定的合同金额中扣除。</w:t>
      </w:r>
    </w:p>
    <w:p>
      <w:pPr>
        <w:spacing w:line="600" w:lineRule="exact"/>
        <w:ind w:firstLine="420" w:firstLineChars="200"/>
        <w:rPr>
          <w:rFonts w:ascii="宋体" w:hAnsi="宋体" w:cs="宋体"/>
          <w:szCs w:val="21"/>
        </w:rPr>
      </w:pPr>
      <w:r>
        <w:rPr>
          <w:rFonts w:hint="eastAsia" w:ascii="宋体" w:hAnsi="宋体" w:cs="宋体"/>
          <w:szCs w:val="21"/>
        </w:rPr>
        <w:t>5. 保密</w:t>
      </w:r>
    </w:p>
    <w:p>
      <w:pPr>
        <w:spacing w:line="600" w:lineRule="exact"/>
        <w:ind w:firstLine="420" w:firstLineChars="200"/>
        <w:rPr>
          <w:rFonts w:ascii="宋体" w:hAnsi="宋体" w:cs="宋体"/>
          <w:szCs w:val="21"/>
        </w:rPr>
      </w:pPr>
      <w:r>
        <w:rPr>
          <w:rFonts w:hint="eastAsia" w:ascii="宋体" w:hAnsi="宋体" w:cs="宋体"/>
          <w:szCs w:val="21"/>
        </w:rPr>
        <w:t>5.1. 保密信息范围</w:t>
      </w:r>
    </w:p>
    <w:p>
      <w:pPr>
        <w:spacing w:line="600" w:lineRule="exact"/>
        <w:ind w:firstLine="420" w:firstLineChars="200"/>
        <w:rPr>
          <w:rFonts w:ascii="宋体" w:hAnsi="宋体" w:cs="宋体"/>
          <w:szCs w:val="21"/>
        </w:rPr>
      </w:pPr>
      <w:r>
        <w:rPr>
          <w:rFonts w:hint="eastAsia" w:ascii="宋体" w:hAnsi="宋体" w:cs="宋体"/>
          <w:szCs w:val="21"/>
        </w:rPr>
        <w:t>5.1.1.在本合同执行过程中乙方接触的甲方所有业务信息（包括但不限于合同、文档、方案、图纸、数据等）。</w:t>
      </w:r>
    </w:p>
    <w:p>
      <w:pPr>
        <w:spacing w:line="600" w:lineRule="exact"/>
        <w:ind w:firstLine="420" w:firstLineChars="200"/>
        <w:rPr>
          <w:rFonts w:ascii="宋体" w:hAnsi="宋体" w:cs="宋体"/>
          <w:szCs w:val="21"/>
        </w:rPr>
      </w:pPr>
      <w:r>
        <w:rPr>
          <w:rFonts w:hint="eastAsia" w:ascii="宋体" w:hAnsi="宋体" w:cs="宋体"/>
          <w:szCs w:val="21"/>
        </w:rPr>
        <w:t>5.1.2.在本合同执行过程中接触的政府机关文件（包括但不限于内部发文、各类通知及会议记录等）。</w:t>
      </w:r>
    </w:p>
    <w:p>
      <w:pPr>
        <w:spacing w:line="600" w:lineRule="exact"/>
        <w:ind w:firstLine="420" w:firstLineChars="200"/>
        <w:rPr>
          <w:rFonts w:ascii="宋体" w:hAnsi="宋体" w:cs="宋体"/>
          <w:szCs w:val="21"/>
        </w:rPr>
      </w:pPr>
      <w:r>
        <w:rPr>
          <w:rFonts w:hint="eastAsia" w:ascii="宋体" w:hAnsi="宋体" w:cs="宋体"/>
          <w:szCs w:val="21"/>
        </w:rPr>
        <w:t>5.1.3.其他详细保密协议条款内容见附件（附件3）。</w:t>
      </w:r>
    </w:p>
    <w:p>
      <w:pPr>
        <w:spacing w:line="600" w:lineRule="exact"/>
        <w:ind w:firstLine="420" w:firstLineChars="200"/>
        <w:rPr>
          <w:rFonts w:ascii="宋体" w:hAnsi="宋体" w:cs="宋体"/>
          <w:szCs w:val="21"/>
        </w:rPr>
      </w:pPr>
      <w:r>
        <w:rPr>
          <w:rFonts w:hint="eastAsia" w:ascii="宋体" w:hAnsi="宋体" w:cs="宋体"/>
          <w:szCs w:val="21"/>
        </w:rPr>
        <w:t>5.2. 保密责任</w:t>
      </w:r>
    </w:p>
    <w:p>
      <w:pPr>
        <w:spacing w:line="600" w:lineRule="exact"/>
        <w:ind w:firstLine="420" w:firstLineChars="200"/>
        <w:rPr>
          <w:rFonts w:ascii="宋体" w:hAnsi="宋体" w:cs="宋体"/>
          <w:szCs w:val="21"/>
        </w:rPr>
      </w:pPr>
      <w:r>
        <w:rPr>
          <w:rFonts w:hint="eastAsia" w:ascii="宋体" w:hAnsi="宋体" w:cs="宋体"/>
          <w:szCs w:val="21"/>
        </w:rPr>
        <w:t>5.2.1.乙方对其因身份、职务、职业或技术关系而知悉的甲方商业秘密和党政机关保密信息应严格保守，保证不被披露或使用，包括意外或过失。</w:t>
      </w:r>
    </w:p>
    <w:p>
      <w:pPr>
        <w:spacing w:line="600" w:lineRule="exact"/>
        <w:ind w:firstLine="420" w:firstLineChars="200"/>
        <w:rPr>
          <w:rFonts w:ascii="宋体" w:hAnsi="宋体" w:cs="宋体"/>
          <w:szCs w:val="21"/>
        </w:rPr>
      </w:pPr>
      <w:r>
        <w:rPr>
          <w:rFonts w:hint="eastAsia" w:ascii="宋体" w:hAnsi="宋体" w:cs="宋体"/>
          <w:szCs w:val="21"/>
        </w:rPr>
        <w:t>5.2.2.乙方不得以竞争为目的、或出于私利、或为第三人谋利而擅自保存、复制、披露、使用甲方商业秘密和党政机关保密信息；不得直接或间接地向无关人员泄露甲方的商业秘密和党政机关保密信息；不得向不承担保密义务的任何第三人披露甲方的商业秘密和党政机关保密信息。由此造成甲方损失的，乙方应负责赔偿。</w:t>
      </w:r>
    </w:p>
    <w:p>
      <w:pPr>
        <w:spacing w:line="600" w:lineRule="exact"/>
        <w:ind w:firstLine="420" w:firstLineChars="200"/>
        <w:rPr>
          <w:rFonts w:ascii="宋体" w:hAnsi="宋体" w:cs="宋体"/>
          <w:szCs w:val="21"/>
        </w:rPr>
      </w:pPr>
      <w:r>
        <w:rPr>
          <w:rFonts w:hint="eastAsia" w:ascii="宋体" w:hAnsi="宋体" w:cs="宋体"/>
          <w:szCs w:val="21"/>
        </w:rPr>
        <w:t>5.2.3.乙方在从事政府项目时，不得擅自记录、复制、拍摄、摘抄、收藏在工作中涉及的保密信息，严禁将涉及政府项目的任何资料、数据透露或以其他方式提供给本项目以外的其他方或乙方内部与本项目无关的任何人员。由此造成甲方损失的，乙方应负责赔偿。</w:t>
      </w:r>
    </w:p>
    <w:p>
      <w:pPr>
        <w:spacing w:line="600" w:lineRule="exact"/>
        <w:ind w:firstLine="420" w:firstLineChars="200"/>
        <w:rPr>
          <w:rFonts w:ascii="宋体" w:hAnsi="宋体" w:cs="宋体"/>
          <w:szCs w:val="21"/>
        </w:rPr>
      </w:pPr>
      <w:r>
        <w:rPr>
          <w:rFonts w:hint="eastAsia" w:ascii="宋体" w:hAnsi="宋体" w:cs="宋体"/>
          <w:szCs w:val="21"/>
        </w:rPr>
        <w:t>5.2.4.乙方对于工作期间知悉甲方的商业秘密和党政机关保密信息（包括业务信息在内）或工作过程中接触到的政府机关文件（包括内部发文、各类通知及会议记录等）的内容，同样承担保密责任，严禁将政府机关内部会议、谈话内容泄露给无关人员；不得翻阅与工作无关的文件和资料。乙方应当在完成委托事项或本合同终止或解除时将资料原件全部返还甲方，并销毁所有复制件。</w:t>
      </w:r>
    </w:p>
    <w:p>
      <w:pPr>
        <w:spacing w:line="600" w:lineRule="exact"/>
        <w:ind w:firstLine="420" w:firstLineChars="200"/>
        <w:rPr>
          <w:rFonts w:ascii="宋体" w:hAnsi="宋体" w:cs="宋体"/>
          <w:szCs w:val="21"/>
        </w:rPr>
      </w:pPr>
      <w:r>
        <w:rPr>
          <w:rFonts w:hint="eastAsia" w:ascii="宋体" w:hAnsi="宋体" w:cs="宋体"/>
          <w:szCs w:val="21"/>
        </w:rPr>
        <w:t>5.2.5.严禁泄露在工作中接触到的政府机关科技研究、发明、装备器材及其技术资料和政府工作信息。</w:t>
      </w:r>
    </w:p>
    <w:p>
      <w:pPr>
        <w:spacing w:line="600" w:lineRule="exact"/>
        <w:ind w:firstLine="420" w:firstLineChars="200"/>
        <w:rPr>
          <w:rFonts w:ascii="宋体" w:hAnsi="宋体" w:cs="宋体"/>
          <w:szCs w:val="21"/>
        </w:rPr>
      </w:pPr>
      <w:r>
        <w:rPr>
          <w:rFonts w:hint="eastAsia" w:ascii="宋体" w:hAnsi="宋体" w:cs="宋体"/>
          <w:szCs w:val="21"/>
        </w:rPr>
        <w:t>5.2.6.未经甲方书面同意，乙方不得带领无关人员进入甲方办公场所，若从事政府项目工作，未经政府机关工作人员允许，不得进入与项目服务无关的政府机关其他办公场所。</w:t>
      </w:r>
    </w:p>
    <w:p>
      <w:pPr>
        <w:spacing w:line="600" w:lineRule="exact"/>
        <w:ind w:firstLine="420" w:firstLineChars="200"/>
        <w:rPr>
          <w:rFonts w:ascii="宋体" w:hAnsi="宋体" w:cs="宋体"/>
          <w:szCs w:val="21"/>
        </w:rPr>
      </w:pPr>
      <w:r>
        <w:rPr>
          <w:rFonts w:hint="eastAsia" w:ascii="宋体" w:hAnsi="宋体" w:cs="宋体"/>
          <w:szCs w:val="21"/>
        </w:rPr>
        <w:t>5.2.7.乙方的保密义务延及乙方聘用的员工、工作人员，如因其员工、工作人员导致本合同保密义务的违反或商业秘密的泄露，由乙方承担全部违约责任。</w:t>
      </w:r>
    </w:p>
    <w:p>
      <w:pPr>
        <w:spacing w:line="600" w:lineRule="exact"/>
        <w:ind w:firstLine="420" w:firstLineChars="200"/>
        <w:rPr>
          <w:rFonts w:ascii="宋体" w:hAnsi="宋体" w:cs="宋体"/>
          <w:szCs w:val="21"/>
        </w:rPr>
      </w:pPr>
      <w:r>
        <w:rPr>
          <w:rFonts w:hint="eastAsia" w:ascii="宋体" w:hAnsi="宋体" w:cs="宋体"/>
          <w:szCs w:val="21"/>
        </w:rPr>
        <w:t>5.2.8.涉及政府机关项目的保密内容可根据政府机关意见，相应增加修改。</w:t>
      </w:r>
    </w:p>
    <w:p>
      <w:pPr>
        <w:spacing w:line="600" w:lineRule="exact"/>
        <w:ind w:firstLine="420" w:firstLineChars="200"/>
        <w:rPr>
          <w:rFonts w:ascii="宋体" w:hAnsi="宋体" w:cs="宋体"/>
          <w:szCs w:val="21"/>
        </w:rPr>
      </w:pPr>
      <w:r>
        <w:rPr>
          <w:rFonts w:hint="eastAsia" w:ascii="宋体" w:hAnsi="宋体" w:cs="宋体"/>
          <w:szCs w:val="21"/>
        </w:rPr>
        <w:t>5.3. 保密违约责任</w:t>
      </w:r>
    </w:p>
    <w:p>
      <w:pPr>
        <w:spacing w:line="600" w:lineRule="exact"/>
        <w:ind w:firstLine="420" w:firstLineChars="200"/>
        <w:rPr>
          <w:rFonts w:ascii="宋体" w:hAnsi="宋体" w:cs="宋体"/>
          <w:szCs w:val="21"/>
        </w:rPr>
      </w:pPr>
      <w:r>
        <w:rPr>
          <w:rFonts w:hint="eastAsia" w:ascii="宋体" w:hAnsi="宋体" w:cs="宋体"/>
          <w:szCs w:val="21"/>
        </w:rPr>
        <w:t>乙方违反本合同保密条款的，应承担违约责任。如果给甲方造成经济损失，乙方应赔偿甲方的经济损失及承担甲方因此而支出的一切费用（包括但不限于律师费、案件受理费、执行费、差旅费等），同时乙方须向甲方支付合同总金额20%的违约金。如果因乙方恶意泄露信息资料，给甲方造成严重后果的，除应赔偿甲方的经济损失及承担甲方因此而支出的一切费用外，甲方将通过法律手段追究乙方责任。</w:t>
      </w:r>
    </w:p>
    <w:p>
      <w:pPr>
        <w:spacing w:line="600" w:lineRule="exact"/>
        <w:ind w:firstLine="420" w:firstLineChars="200"/>
        <w:rPr>
          <w:rFonts w:ascii="宋体" w:hAnsi="宋体" w:cs="宋体"/>
          <w:szCs w:val="21"/>
        </w:rPr>
      </w:pPr>
      <w:r>
        <w:rPr>
          <w:rFonts w:hint="eastAsia" w:ascii="宋体" w:hAnsi="宋体" w:cs="宋体"/>
          <w:szCs w:val="21"/>
        </w:rPr>
        <w:t>6. 违约赔偿责任</w:t>
      </w:r>
    </w:p>
    <w:p>
      <w:pPr>
        <w:spacing w:line="600" w:lineRule="exact"/>
        <w:ind w:firstLine="420" w:firstLineChars="200"/>
        <w:rPr>
          <w:rFonts w:ascii="宋体" w:hAnsi="宋体" w:cs="宋体"/>
          <w:szCs w:val="21"/>
        </w:rPr>
      </w:pPr>
      <w:r>
        <w:rPr>
          <w:rFonts w:hint="eastAsia" w:ascii="宋体" w:hAnsi="宋体" w:cs="宋体"/>
          <w:szCs w:val="21"/>
        </w:rPr>
        <w:t>6.1.除不可抗力情形外，签订本合同的任一方不履行本合同的任一条款，均视为该方违约。</w:t>
      </w:r>
    </w:p>
    <w:p>
      <w:pPr>
        <w:spacing w:line="600" w:lineRule="exact"/>
        <w:ind w:firstLine="420" w:firstLineChars="200"/>
        <w:rPr>
          <w:rFonts w:ascii="宋体" w:hAnsi="宋体" w:cs="宋体"/>
          <w:szCs w:val="21"/>
        </w:rPr>
      </w:pPr>
      <w:r>
        <w:rPr>
          <w:rFonts w:hint="eastAsia" w:ascii="宋体" w:hAnsi="宋体" w:cs="宋体"/>
          <w:szCs w:val="21"/>
        </w:rPr>
        <w:t>6.2.甲方未按照本合同约定，及时足额向乙方支付相应的合同金额，则乙方有权向甲方发出书面催告，如甲方在收到书面催告通知后的7个工作日内仍未能支付的，则甲方除应支付应付未付的合同金额外，还应自逾期之日起每日按照应付未付金额</w:t>
      </w:r>
      <w:r>
        <w:rPr>
          <w:rFonts w:hint="eastAsia" w:ascii="宋体" w:hAnsi="宋体" w:cs="宋体"/>
          <w:szCs w:val="21"/>
          <w:u w:val="single"/>
        </w:rPr>
        <w:t>3</w:t>
      </w:r>
      <w:r>
        <w:rPr>
          <w:rFonts w:hint="eastAsia" w:ascii="宋体" w:hAnsi="宋体" w:cs="宋体"/>
          <w:szCs w:val="21"/>
        </w:rPr>
        <w:t xml:space="preserve"> ‰的数额向乙方支付违约金，因逾期履行产生的违约总金额不超过合同总金额的5%。但因政府财政支付管理流程导致的支付延期，甲方不承担责任。 </w:t>
      </w:r>
    </w:p>
    <w:p>
      <w:pPr>
        <w:spacing w:line="600" w:lineRule="exact"/>
        <w:ind w:firstLine="420" w:firstLineChars="200"/>
        <w:rPr>
          <w:rFonts w:ascii="宋体" w:hAnsi="宋体" w:cs="宋体"/>
          <w:szCs w:val="21"/>
        </w:rPr>
      </w:pPr>
      <w:r>
        <w:rPr>
          <w:rFonts w:hint="eastAsia" w:ascii="宋体" w:hAnsi="宋体" w:cs="宋体"/>
          <w:szCs w:val="21"/>
        </w:rPr>
        <w:t xml:space="preserve"> 6.3.乙方未按合同约定开展测试工作或提交工作成果，或提交的工作成果不符合合同约定，乙方应从逾期之日起每日按对应服务总价的 </w:t>
      </w:r>
      <w:r>
        <w:rPr>
          <w:rFonts w:hint="eastAsia" w:ascii="宋体" w:hAnsi="宋体" w:cs="宋体"/>
          <w:szCs w:val="21"/>
          <w:u w:val="single"/>
        </w:rPr>
        <w:t>3</w:t>
      </w:r>
      <w:r>
        <w:rPr>
          <w:rFonts w:hint="eastAsia" w:ascii="宋体" w:hAnsi="宋体" w:cs="宋体"/>
          <w:szCs w:val="21"/>
        </w:rPr>
        <w:t>‰ 的数额向甲方支付违约金，并向甲方出具书面文件说明延误原因，承诺加大投入以追赶项目进度。乙方逾期超过15日的，甲方有权单方解除合同，乙方应自接到甲方解除通知之日起10日内退还甲方已支付的费用，同时向甲方支付合同总金额20%的违约金。</w:t>
      </w:r>
    </w:p>
    <w:p>
      <w:pPr>
        <w:spacing w:line="600" w:lineRule="exact"/>
        <w:ind w:firstLine="420" w:firstLineChars="200"/>
        <w:rPr>
          <w:rFonts w:ascii="宋体" w:hAnsi="宋体" w:cs="宋体"/>
          <w:szCs w:val="21"/>
        </w:rPr>
      </w:pPr>
      <w:r>
        <w:rPr>
          <w:rFonts w:hint="eastAsia" w:ascii="宋体" w:hAnsi="宋体" w:cs="宋体"/>
          <w:szCs w:val="21"/>
        </w:rPr>
        <w:t>6.4.乙方服务期限内须严格遵守服务质量承诺及相关管理规定确保服务质量，对于违反服务质量承诺和服务水平约定造成服务质量下降的，乙方应向甲方承担相应的违约责任。</w:t>
      </w:r>
    </w:p>
    <w:p>
      <w:pPr>
        <w:spacing w:line="600" w:lineRule="exact"/>
        <w:ind w:firstLine="420" w:firstLineChars="200"/>
        <w:rPr>
          <w:rFonts w:ascii="宋体" w:hAnsi="宋体" w:cs="宋体"/>
          <w:szCs w:val="21"/>
        </w:rPr>
      </w:pPr>
      <w:r>
        <w:rPr>
          <w:rFonts w:hint="eastAsia" w:ascii="宋体" w:hAnsi="宋体" w:cs="宋体"/>
          <w:szCs w:val="21"/>
        </w:rPr>
        <w:t xml:space="preserve"> 6.5.乙方交付的服务成果不能满足甲方书面要求，甲方有权要求乙方整改，并由乙方承担由此产生的费用。乙方在甲方指定期限内拒绝整改或整改后仍不符合要求的，甲方有权解除合同，乙方应自接到甲方解除通知之日起10日内退还甲方已支付的费用，同时向甲方支付合同总金额20%的违约金。</w:t>
      </w:r>
    </w:p>
    <w:p>
      <w:pPr>
        <w:spacing w:line="600" w:lineRule="exact"/>
        <w:ind w:firstLine="420" w:firstLineChars="200"/>
        <w:rPr>
          <w:rFonts w:ascii="宋体" w:hAnsi="宋体" w:cs="宋体"/>
          <w:szCs w:val="21"/>
        </w:rPr>
      </w:pPr>
      <w:r>
        <w:rPr>
          <w:rFonts w:hint="eastAsia" w:ascii="宋体" w:hAnsi="宋体" w:cs="宋体"/>
          <w:szCs w:val="21"/>
        </w:rPr>
        <w:t xml:space="preserve"> 6.6.如因乙方提供的服务成果侵犯任何第三方的知识产权和其他合法权益，导致该第三方追究甲方责任的，乙方应负责解决并赔偿因此给甲方造成的全部损失，包括且不限于甲方因此支出的律师费、诉讼费、执行费、差旅费等，另应额外向甲方支付本合同总金额20%的违约金。。</w:t>
      </w:r>
    </w:p>
    <w:p>
      <w:pPr>
        <w:spacing w:line="600" w:lineRule="exact"/>
        <w:ind w:firstLine="420" w:firstLineChars="200"/>
        <w:rPr>
          <w:rFonts w:ascii="宋体" w:hAnsi="宋体" w:cs="宋体"/>
          <w:szCs w:val="21"/>
        </w:rPr>
      </w:pPr>
      <w:r>
        <w:rPr>
          <w:rFonts w:hint="eastAsia" w:ascii="宋体" w:hAnsi="宋体" w:cs="宋体"/>
          <w:szCs w:val="21"/>
        </w:rPr>
        <w:t xml:space="preserve"> 6.7. 乙方应按照本合同内约定的内容执行，如没有特别约定或约定未详尽，相应的违约责任或补充违约责任均为：甲方有权单方解除合同，未支付的费用不予支付，已支付的费用应予退还；同时乙方承担一切经济责任和法律责任，包括但不限于甲方为此支出的律师费、诉讼费、保全费、鉴定费用等，并向甲方支付合同总金额20%的违约金。</w:t>
      </w:r>
    </w:p>
    <w:p>
      <w:pPr>
        <w:pStyle w:val="2"/>
        <w:ind w:firstLine="630" w:firstLineChars="300"/>
      </w:pPr>
      <w:r>
        <w:rPr>
          <w:rFonts w:ascii="宋体" w:hAnsi="宋体" w:cs="宋体"/>
          <w:szCs w:val="21"/>
        </w:rPr>
        <w:t>6.8本合同项下乙方应付违约金或赔偿金的情形，均为甲方有权在未付款项中扣除，也可要求乙方另行支付。</w:t>
      </w:r>
    </w:p>
    <w:p>
      <w:pPr>
        <w:spacing w:line="600" w:lineRule="exact"/>
        <w:ind w:firstLine="420" w:firstLineChars="200"/>
        <w:rPr>
          <w:rFonts w:ascii="宋体" w:hAnsi="宋体" w:cs="宋体"/>
          <w:szCs w:val="21"/>
        </w:rPr>
      </w:pPr>
      <w:r>
        <w:rPr>
          <w:rFonts w:hint="eastAsia" w:ascii="宋体" w:hAnsi="宋体" w:cs="宋体"/>
          <w:szCs w:val="21"/>
        </w:rPr>
        <w:t>7. 争议解决</w:t>
      </w:r>
    </w:p>
    <w:p>
      <w:pPr>
        <w:spacing w:line="600" w:lineRule="exact"/>
        <w:ind w:firstLine="420" w:firstLineChars="200"/>
        <w:rPr>
          <w:rFonts w:ascii="宋体" w:hAnsi="宋体" w:cs="宋体"/>
          <w:szCs w:val="21"/>
        </w:rPr>
      </w:pPr>
      <w:r>
        <w:rPr>
          <w:rFonts w:hint="eastAsia" w:ascii="宋体" w:hAnsi="宋体" w:cs="宋体"/>
          <w:szCs w:val="21"/>
        </w:rPr>
        <w:t>7.1.因履行合同所发生的一切争议，双方应友好协商解决，协商不成的，应</w:t>
      </w:r>
      <w:r>
        <w:rPr>
          <w:rFonts w:hint="eastAsia" w:ascii="宋体" w:hAnsi="宋体" w:cs="宋体"/>
          <w:szCs w:val="21"/>
          <w:lang w:eastAsia="zh-Hans"/>
        </w:rPr>
        <w:t>向</w:t>
      </w:r>
      <w:r>
        <w:rPr>
          <w:rFonts w:hint="eastAsia" w:ascii="宋体" w:hAnsi="宋体" w:cs="宋体"/>
          <w:szCs w:val="21"/>
        </w:rPr>
        <w:t>甲方所在地的人民法院提起诉讼；守约方为解决纠纷、争议而产生的维权费用，包括且不限于律师费、诉讼费、鉴定费、交通费等，均由违约方承担。</w:t>
      </w:r>
    </w:p>
    <w:p>
      <w:pPr>
        <w:pStyle w:val="2"/>
        <w:spacing w:line="360" w:lineRule="auto"/>
        <w:ind w:firstLine="420" w:firstLineChars="200"/>
      </w:pPr>
      <w:r>
        <w:rPr>
          <w:rFonts w:hint="eastAsia" w:ascii="宋体" w:hAnsi="宋体" w:cs="宋体"/>
          <w:szCs w:val="21"/>
        </w:rPr>
        <w:t>7.2在争议解决期间，本协议中不涉及争议的条款仍须履行，双方均不得以解决争议为由拒不履行其在本协议项下的任何义务。</w:t>
      </w:r>
    </w:p>
    <w:p>
      <w:pPr>
        <w:spacing w:line="600" w:lineRule="exact"/>
        <w:ind w:firstLine="420" w:firstLineChars="200"/>
        <w:rPr>
          <w:rFonts w:ascii="宋体" w:hAnsi="宋体" w:cs="宋体"/>
          <w:szCs w:val="21"/>
        </w:rPr>
      </w:pPr>
      <w:r>
        <w:rPr>
          <w:rFonts w:hint="eastAsia" w:ascii="宋体" w:hAnsi="宋体" w:cs="宋体"/>
          <w:szCs w:val="21"/>
        </w:rPr>
        <w:t>8. 不可抗力</w:t>
      </w:r>
    </w:p>
    <w:p>
      <w:pPr>
        <w:spacing w:line="600" w:lineRule="exact"/>
        <w:ind w:firstLine="420" w:firstLineChars="200"/>
        <w:rPr>
          <w:rFonts w:ascii="宋体" w:hAnsi="宋体" w:cs="宋体"/>
          <w:szCs w:val="21"/>
        </w:rPr>
      </w:pPr>
      <w:r>
        <w:rPr>
          <w:rFonts w:hint="eastAsia" w:ascii="宋体" w:hAnsi="宋体" w:cs="宋体"/>
          <w:szCs w:val="21"/>
        </w:rPr>
        <w:t>8.1.不可抗力指任何一方无法预见、控制、且经合理努力仍无法避免或克服的、导致其无法履行合同项下的义务的情形，包括但不限于：台风、地震、洪水等自然灾害；战争、罢工、骚乱等社会异常现象；征收征用等政府行为；以及甲乙双方不能合理预见和控制的任何其他客观情形。</w:t>
      </w:r>
    </w:p>
    <w:p>
      <w:pPr>
        <w:spacing w:line="600" w:lineRule="exact"/>
        <w:ind w:firstLine="420" w:firstLineChars="200"/>
        <w:rPr>
          <w:rFonts w:ascii="宋体" w:hAnsi="宋体" w:cs="宋体"/>
          <w:szCs w:val="21"/>
        </w:rPr>
      </w:pPr>
      <w:r>
        <w:rPr>
          <w:rFonts w:hint="eastAsia" w:ascii="宋体" w:hAnsi="宋体" w:cs="宋体"/>
          <w:szCs w:val="21"/>
        </w:rPr>
        <w:t>8.2.合同生效后，由上述不可抗力因素造成的乙方服务期延误，则此类延误将被视为不可抗力，乙方不承担违约责任，但必须及时通知甲方。</w:t>
      </w:r>
    </w:p>
    <w:p>
      <w:pPr>
        <w:spacing w:line="600" w:lineRule="exact"/>
        <w:ind w:firstLine="420" w:firstLineChars="200"/>
        <w:rPr>
          <w:rFonts w:ascii="宋体" w:hAnsi="宋体" w:cs="宋体"/>
          <w:szCs w:val="21"/>
        </w:rPr>
      </w:pPr>
      <w:r>
        <w:rPr>
          <w:rFonts w:hint="eastAsia" w:ascii="宋体" w:hAnsi="宋体" w:cs="宋体"/>
          <w:szCs w:val="21"/>
        </w:rPr>
        <w:t>8.3.不可抗力因素致使甲方无法继续履行本协议或不能及时提供相应支援而致使项目延误，甲方不承担违约责任，但必须及时通知乙方。</w:t>
      </w:r>
    </w:p>
    <w:p>
      <w:pPr>
        <w:spacing w:line="600" w:lineRule="exact"/>
        <w:ind w:firstLine="420" w:firstLineChars="200"/>
        <w:rPr>
          <w:rFonts w:ascii="宋体" w:hAnsi="宋体" w:cs="宋体"/>
          <w:szCs w:val="21"/>
        </w:rPr>
      </w:pPr>
      <w:r>
        <w:rPr>
          <w:rFonts w:hint="eastAsia" w:ascii="宋体" w:hAnsi="宋体" w:cs="宋体"/>
          <w:szCs w:val="21"/>
        </w:rPr>
        <w:t>8.4.在不可抗力事件结束后十个工作日内，受不可抗力影响一方应以挂号或传真的方式将有关部门出具的证明送达至对方，否则对方可不予承认其遭受不可抗力影响，并要求其承担违约责任。</w:t>
      </w:r>
    </w:p>
    <w:p>
      <w:pPr>
        <w:spacing w:line="600" w:lineRule="exact"/>
        <w:ind w:firstLine="420" w:firstLineChars="200"/>
        <w:rPr>
          <w:rFonts w:ascii="宋体" w:hAnsi="宋体" w:cs="宋体"/>
          <w:szCs w:val="21"/>
        </w:rPr>
      </w:pPr>
      <w:r>
        <w:rPr>
          <w:rFonts w:hint="eastAsia" w:ascii="宋体" w:hAnsi="宋体" w:cs="宋体"/>
          <w:szCs w:val="21"/>
        </w:rPr>
        <w:t>8.5.如不可抗力事故连续六十天以上时，双方应通过友好协商解决本协议履行的问题。</w:t>
      </w:r>
    </w:p>
    <w:p>
      <w:pPr>
        <w:spacing w:line="600" w:lineRule="exact"/>
        <w:ind w:firstLine="420" w:firstLineChars="200"/>
        <w:rPr>
          <w:rFonts w:ascii="宋体" w:hAnsi="宋体" w:cs="宋体"/>
          <w:szCs w:val="21"/>
        </w:rPr>
      </w:pPr>
      <w:r>
        <w:rPr>
          <w:rFonts w:hint="eastAsia" w:ascii="宋体" w:hAnsi="宋体" w:cs="宋体"/>
          <w:szCs w:val="21"/>
        </w:rPr>
        <w:t>8.6.乙方无权将下述情况视作不可抗力事件而终止、中止履行本合同或不完全履行本合同项下义务：</w:t>
      </w:r>
    </w:p>
    <w:p>
      <w:pPr>
        <w:spacing w:line="600" w:lineRule="exact"/>
        <w:ind w:firstLine="420" w:firstLineChars="200"/>
        <w:rPr>
          <w:rFonts w:ascii="宋体" w:hAnsi="宋体" w:cs="宋体"/>
          <w:szCs w:val="21"/>
        </w:rPr>
      </w:pPr>
      <w:r>
        <w:rPr>
          <w:rFonts w:hint="eastAsia" w:ascii="宋体" w:hAnsi="宋体" w:cs="宋体"/>
          <w:szCs w:val="21"/>
        </w:rPr>
        <w:t>（1）乙方的分包商或其他与乙方建立合同关系的第三方在履行合同方面发生延误；</w:t>
      </w:r>
    </w:p>
    <w:p>
      <w:pPr>
        <w:spacing w:line="600" w:lineRule="exact"/>
        <w:ind w:firstLine="420" w:firstLineChars="200"/>
        <w:rPr>
          <w:rFonts w:ascii="宋体" w:hAnsi="宋体" w:cs="宋体"/>
          <w:szCs w:val="21"/>
        </w:rPr>
      </w:pPr>
      <w:r>
        <w:rPr>
          <w:rFonts w:hint="eastAsia" w:ascii="宋体" w:hAnsi="宋体" w:cs="宋体"/>
          <w:szCs w:val="21"/>
        </w:rPr>
        <w:t>（2）乙方提供服务的设施发生故障或正常磨损。</w:t>
      </w:r>
    </w:p>
    <w:p>
      <w:pPr>
        <w:spacing w:line="600" w:lineRule="exact"/>
        <w:ind w:firstLine="420" w:firstLineChars="200"/>
        <w:rPr>
          <w:rFonts w:ascii="宋体" w:hAnsi="宋体" w:cs="宋体"/>
          <w:szCs w:val="21"/>
        </w:rPr>
      </w:pPr>
      <w:r>
        <w:rPr>
          <w:rFonts w:hint="eastAsia" w:ascii="宋体" w:hAnsi="宋体" w:cs="宋体"/>
          <w:szCs w:val="21"/>
        </w:rPr>
        <w:t>8.7.甲方无权将下述情况视作不可抗力事件而终止、中止履行或不完全履行本合同项下义务：甲方因机构改革发生变更。</w:t>
      </w:r>
    </w:p>
    <w:p>
      <w:pPr>
        <w:spacing w:line="600" w:lineRule="exact"/>
        <w:ind w:firstLine="420" w:firstLineChars="200"/>
        <w:rPr>
          <w:rFonts w:ascii="宋体" w:hAnsi="宋体" w:cs="宋体"/>
          <w:szCs w:val="21"/>
        </w:rPr>
      </w:pPr>
      <w:r>
        <w:rPr>
          <w:rFonts w:hint="eastAsia" w:ascii="宋体" w:hAnsi="宋体" w:cs="宋体"/>
          <w:szCs w:val="21"/>
        </w:rPr>
        <w:t>9. 项目资产权属</w:t>
      </w:r>
    </w:p>
    <w:p>
      <w:pPr>
        <w:spacing w:line="600" w:lineRule="exact"/>
        <w:ind w:firstLine="420" w:firstLineChars="200"/>
        <w:rPr>
          <w:rFonts w:ascii="宋体" w:hAnsi="宋体" w:cs="宋体"/>
          <w:szCs w:val="21"/>
        </w:rPr>
      </w:pPr>
      <w:r>
        <w:rPr>
          <w:rFonts w:hint="eastAsia" w:ascii="宋体" w:hAnsi="宋体" w:cs="宋体"/>
          <w:szCs w:val="21"/>
        </w:rPr>
        <w:t>9.1.本合同不会引起任何已申请、登记的知识产权所有权的转移。</w:t>
      </w:r>
    </w:p>
    <w:p>
      <w:pPr>
        <w:spacing w:line="600" w:lineRule="exact"/>
        <w:ind w:firstLine="420" w:firstLineChars="200"/>
        <w:rPr>
          <w:rFonts w:ascii="宋体" w:hAnsi="宋体" w:cs="宋体"/>
          <w:szCs w:val="21"/>
        </w:rPr>
      </w:pPr>
      <w:r>
        <w:rPr>
          <w:rFonts w:hint="eastAsia" w:ascii="宋体" w:hAnsi="宋体" w:cs="宋体"/>
          <w:szCs w:val="21"/>
        </w:rPr>
        <w:t>9.2.乙方为履行本合同义务所形成的所有服务成果的知识产权归甲方所有。乙方不得在未征求甲方书面同意的情况下使用或者授权他人使用本合同项下的成果及相关信息，否则相关收益归甲方所有，乙方应另向甲方承担相应责任及违约责任（违约金标准：合同总额20%），并赔偿甲方全部损失（包括但不限于直接经济损失、间接经济损失、律师费、差旅费、鉴定费、保全费等）。</w:t>
      </w:r>
    </w:p>
    <w:p>
      <w:pPr>
        <w:spacing w:line="600" w:lineRule="exact"/>
        <w:ind w:firstLine="420" w:firstLineChars="200"/>
        <w:rPr>
          <w:rFonts w:ascii="宋体" w:hAnsi="宋体" w:cs="宋体"/>
          <w:szCs w:val="21"/>
        </w:rPr>
      </w:pPr>
      <w:r>
        <w:rPr>
          <w:rFonts w:hint="eastAsia" w:ascii="宋体" w:hAnsi="宋体" w:cs="宋体"/>
          <w:szCs w:val="21"/>
        </w:rPr>
        <w:t>9.3.本合同所涉及的数据所有权归甲方所有。乙方只能用于履行本合同之义务。</w:t>
      </w:r>
    </w:p>
    <w:p>
      <w:pPr>
        <w:spacing w:line="600" w:lineRule="exact"/>
        <w:ind w:firstLine="420" w:firstLineChars="200"/>
        <w:rPr>
          <w:rFonts w:ascii="宋体" w:hAnsi="宋体" w:cs="宋体"/>
          <w:szCs w:val="21"/>
        </w:rPr>
      </w:pPr>
      <w:r>
        <w:rPr>
          <w:rFonts w:hint="eastAsia" w:ascii="宋体" w:hAnsi="宋体" w:cs="宋体"/>
          <w:szCs w:val="21"/>
        </w:rPr>
        <w:t>9.4.乙方提供的相关软件应是自行开发的产品或具备合法、合规授权，满足知识产权、安全等保三级等方面的有关规定和要求。</w:t>
      </w:r>
    </w:p>
    <w:p>
      <w:pPr>
        <w:spacing w:line="600" w:lineRule="exact"/>
        <w:ind w:firstLine="420" w:firstLineChars="200"/>
        <w:rPr>
          <w:rFonts w:ascii="宋体" w:hAnsi="宋体" w:cs="宋体"/>
          <w:szCs w:val="21"/>
        </w:rPr>
      </w:pPr>
      <w:r>
        <w:rPr>
          <w:rFonts w:hint="eastAsia" w:ascii="宋体" w:hAnsi="宋体" w:cs="宋体"/>
          <w:szCs w:val="21"/>
        </w:rPr>
        <w:t>9.5.乙方保证向甲方提供的服务成果是其独立实施完成，不存在任何侵犯第三方专利权、商标权、著作权等合法权益的情形。如因乙方提供的服务成果侵犯任何第三方的合法权益，导致该第三方追究甲方责任的，乙方应负责解决并赔偿因此给甲方造成的全部损失，包括且不限于甲方因此支出的律师费、诉讼费、执行费、差旅费等，另应额外向甲方支付本合同总金额 20%的违约金。</w:t>
      </w:r>
    </w:p>
    <w:p>
      <w:pPr>
        <w:spacing w:line="600" w:lineRule="exact"/>
        <w:ind w:firstLine="420" w:firstLineChars="200"/>
        <w:rPr>
          <w:rFonts w:ascii="宋体" w:hAnsi="宋体" w:cs="宋体"/>
          <w:szCs w:val="21"/>
        </w:rPr>
      </w:pPr>
      <w:r>
        <w:rPr>
          <w:rFonts w:hint="eastAsia" w:ascii="宋体" w:hAnsi="宋体" w:cs="宋体"/>
          <w:szCs w:val="21"/>
        </w:rPr>
        <w:t>10. 其他约定</w:t>
      </w:r>
    </w:p>
    <w:p>
      <w:pPr>
        <w:spacing w:line="600" w:lineRule="exact"/>
        <w:ind w:firstLine="420" w:firstLineChars="200"/>
        <w:rPr>
          <w:rFonts w:ascii="宋体" w:hAnsi="宋体" w:cs="宋体"/>
          <w:szCs w:val="21"/>
        </w:rPr>
      </w:pPr>
      <w:r>
        <w:rPr>
          <w:rFonts w:hint="eastAsia" w:ascii="宋体" w:hAnsi="宋体" w:cs="宋体"/>
          <w:szCs w:val="21"/>
        </w:rPr>
        <w:t>10.1. 合同构成</w:t>
      </w:r>
    </w:p>
    <w:p>
      <w:pPr>
        <w:spacing w:line="600" w:lineRule="exact"/>
        <w:ind w:firstLine="420" w:firstLineChars="200"/>
        <w:rPr>
          <w:rFonts w:ascii="宋体" w:hAnsi="宋体" w:cs="宋体"/>
          <w:szCs w:val="21"/>
        </w:rPr>
      </w:pPr>
      <w:r>
        <w:rPr>
          <w:rFonts w:hint="eastAsia" w:ascii="宋体" w:hAnsi="宋体" w:cs="宋体"/>
          <w:szCs w:val="21"/>
        </w:rPr>
        <w:t>下列文件均为本合同不可分割的组成部分，具有同等法律效力：</w:t>
      </w:r>
    </w:p>
    <w:p>
      <w:pPr>
        <w:spacing w:line="600" w:lineRule="exact"/>
        <w:ind w:firstLine="420" w:firstLineChars="200"/>
        <w:rPr>
          <w:rFonts w:ascii="宋体" w:hAnsi="宋体" w:cs="宋体"/>
          <w:szCs w:val="21"/>
        </w:rPr>
      </w:pPr>
      <w:r>
        <w:rPr>
          <w:rFonts w:hint="eastAsia" w:ascii="宋体" w:hAnsi="宋体" w:cs="宋体"/>
          <w:szCs w:val="21"/>
        </w:rPr>
        <w:t>（1）成交通知书；</w:t>
      </w:r>
    </w:p>
    <w:p>
      <w:pPr>
        <w:spacing w:line="600" w:lineRule="exact"/>
        <w:ind w:firstLine="420" w:firstLineChars="200"/>
        <w:rPr>
          <w:rFonts w:ascii="宋体" w:hAnsi="宋体" w:cs="宋体"/>
          <w:szCs w:val="21"/>
        </w:rPr>
      </w:pPr>
      <w:r>
        <w:rPr>
          <w:rFonts w:hint="eastAsia" w:ascii="宋体" w:hAnsi="宋体" w:cs="宋体"/>
          <w:szCs w:val="21"/>
        </w:rPr>
        <w:t>（2）采购文件；</w:t>
      </w:r>
    </w:p>
    <w:p>
      <w:pPr>
        <w:spacing w:line="600" w:lineRule="exact"/>
        <w:ind w:firstLine="420" w:firstLineChars="200"/>
        <w:rPr>
          <w:rFonts w:ascii="宋体" w:hAnsi="宋体" w:cs="宋体"/>
          <w:szCs w:val="21"/>
        </w:rPr>
      </w:pPr>
      <w:r>
        <w:rPr>
          <w:rFonts w:hint="eastAsia" w:ascii="宋体" w:hAnsi="宋体" w:cs="宋体"/>
          <w:szCs w:val="21"/>
        </w:rPr>
        <w:t>（3）乙方成交的响应文件；</w:t>
      </w:r>
    </w:p>
    <w:p>
      <w:pPr>
        <w:spacing w:line="600" w:lineRule="exact"/>
        <w:ind w:firstLine="420" w:firstLineChars="200"/>
        <w:rPr>
          <w:rFonts w:ascii="宋体" w:hAnsi="宋体" w:cs="宋体"/>
          <w:szCs w:val="21"/>
        </w:rPr>
      </w:pPr>
      <w:r>
        <w:rPr>
          <w:rFonts w:hint="eastAsia" w:ascii="宋体" w:hAnsi="宋体" w:cs="宋体"/>
          <w:szCs w:val="21"/>
        </w:rPr>
        <w:t>（4）在合同实施过程中双方共同签署的补充文件；</w:t>
      </w:r>
    </w:p>
    <w:p>
      <w:pPr>
        <w:spacing w:line="600" w:lineRule="exact"/>
        <w:ind w:firstLine="420" w:firstLineChars="200"/>
        <w:rPr>
          <w:rFonts w:ascii="宋体" w:hAnsi="宋体" w:cs="宋体"/>
          <w:szCs w:val="21"/>
        </w:rPr>
      </w:pPr>
      <w:r>
        <w:rPr>
          <w:rFonts w:hint="eastAsia" w:ascii="宋体" w:hAnsi="宋体" w:cs="宋体"/>
          <w:szCs w:val="21"/>
        </w:rPr>
        <w:t>（5）附件。</w:t>
      </w:r>
    </w:p>
    <w:p>
      <w:pPr>
        <w:spacing w:line="600" w:lineRule="exact"/>
        <w:ind w:firstLine="420" w:firstLineChars="200"/>
        <w:rPr>
          <w:rFonts w:ascii="宋体" w:hAnsi="宋体" w:cs="宋体"/>
          <w:szCs w:val="21"/>
        </w:rPr>
      </w:pPr>
      <w:r>
        <w:rPr>
          <w:rFonts w:hint="eastAsia" w:ascii="宋体" w:hAnsi="宋体" w:cs="宋体"/>
          <w:szCs w:val="21"/>
        </w:rPr>
        <w:t>上述文件先后解释顺序为：在合同实施过程中双方共同签署的补充协议、本合同书及其附件、成交通知书、采购文件、乙方成交的响应文件。补充协议之间如有冲突，以对乙方要求较高或对甲方更有利的条款为准。</w:t>
      </w:r>
    </w:p>
    <w:p>
      <w:pPr>
        <w:spacing w:line="600" w:lineRule="exact"/>
        <w:ind w:firstLine="420" w:firstLineChars="200"/>
        <w:rPr>
          <w:rFonts w:ascii="宋体" w:hAnsi="宋体" w:cs="宋体"/>
          <w:szCs w:val="21"/>
        </w:rPr>
      </w:pPr>
      <w:r>
        <w:rPr>
          <w:rFonts w:hint="eastAsia" w:ascii="宋体" w:hAnsi="宋体" w:cs="宋体"/>
          <w:szCs w:val="21"/>
        </w:rPr>
        <w:t>10.2. 合同适用法律</w:t>
      </w:r>
    </w:p>
    <w:p>
      <w:pPr>
        <w:spacing w:line="600" w:lineRule="exact"/>
        <w:ind w:firstLine="420" w:firstLineChars="200"/>
        <w:rPr>
          <w:rFonts w:ascii="宋体" w:hAnsi="宋体" w:cs="宋体"/>
          <w:szCs w:val="21"/>
        </w:rPr>
      </w:pPr>
      <w:r>
        <w:rPr>
          <w:rFonts w:hint="eastAsia" w:ascii="宋体" w:hAnsi="宋体" w:cs="宋体"/>
          <w:szCs w:val="21"/>
        </w:rPr>
        <w:t>本合同的成立、有效性、解释、履行、签署、修订和终止以及争议的解决适用中华人民共和国法律。</w:t>
      </w:r>
    </w:p>
    <w:p>
      <w:pPr>
        <w:spacing w:line="600" w:lineRule="exact"/>
        <w:ind w:firstLine="420" w:firstLineChars="200"/>
        <w:rPr>
          <w:rFonts w:ascii="宋体" w:hAnsi="宋体" w:cs="宋体"/>
          <w:szCs w:val="21"/>
        </w:rPr>
      </w:pPr>
      <w:r>
        <w:rPr>
          <w:rFonts w:hint="eastAsia" w:ascii="宋体" w:hAnsi="宋体" w:cs="宋体"/>
          <w:szCs w:val="21"/>
        </w:rPr>
        <w:t>10.3. 合同生效条件</w:t>
      </w:r>
    </w:p>
    <w:p>
      <w:pPr>
        <w:spacing w:line="600" w:lineRule="exact"/>
        <w:ind w:firstLine="420" w:firstLineChars="200"/>
        <w:rPr>
          <w:rFonts w:ascii="宋体" w:hAnsi="宋体" w:cs="宋体"/>
          <w:szCs w:val="21"/>
        </w:rPr>
      </w:pPr>
      <w:r>
        <w:rPr>
          <w:rFonts w:hint="eastAsia" w:ascii="宋体" w:hAnsi="宋体" w:cs="宋体"/>
          <w:szCs w:val="21"/>
        </w:rPr>
        <w:t>本合同经甲乙双方法定代表人或授权委托代理人签字并盖章之日起生效。</w:t>
      </w:r>
    </w:p>
    <w:p>
      <w:pPr>
        <w:spacing w:line="600" w:lineRule="exact"/>
        <w:ind w:firstLine="420" w:firstLineChars="200"/>
        <w:rPr>
          <w:rFonts w:ascii="宋体" w:hAnsi="宋体" w:cs="宋体"/>
          <w:szCs w:val="21"/>
        </w:rPr>
      </w:pPr>
      <w:r>
        <w:rPr>
          <w:rFonts w:hint="eastAsia" w:ascii="宋体" w:hAnsi="宋体" w:cs="宋体"/>
          <w:szCs w:val="21"/>
        </w:rPr>
        <w:t>10.4. 合同变更与修订</w:t>
      </w:r>
    </w:p>
    <w:p>
      <w:pPr>
        <w:spacing w:line="600" w:lineRule="exact"/>
        <w:ind w:firstLine="420" w:firstLineChars="200"/>
        <w:rPr>
          <w:rFonts w:ascii="宋体" w:hAnsi="宋体" w:cs="宋体"/>
          <w:szCs w:val="21"/>
        </w:rPr>
      </w:pPr>
      <w:r>
        <w:rPr>
          <w:rFonts w:hint="eastAsia" w:ascii="宋体" w:hAnsi="宋体" w:cs="宋体"/>
          <w:szCs w:val="21"/>
        </w:rPr>
        <w:t>10.4.1.除另有约定，本合同任何修改、补充或变更必须经双方协商一致，并书面签订补充协议。</w:t>
      </w:r>
    </w:p>
    <w:p>
      <w:pPr>
        <w:spacing w:line="600" w:lineRule="exact"/>
        <w:ind w:firstLine="420" w:firstLineChars="200"/>
        <w:rPr>
          <w:rFonts w:ascii="宋体" w:hAnsi="宋体" w:cs="宋体"/>
          <w:szCs w:val="21"/>
        </w:rPr>
      </w:pPr>
      <w:r>
        <w:rPr>
          <w:rFonts w:hint="eastAsia" w:ascii="宋体" w:hAnsi="宋体" w:cs="宋体"/>
          <w:szCs w:val="21"/>
        </w:rPr>
        <w:t>10.4.2.如果本合同的任何条款不合法、无效或不能执行，则：</w:t>
      </w:r>
    </w:p>
    <w:p>
      <w:pPr>
        <w:spacing w:line="600" w:lineRule="exact"/>
        <w:ind w:firstLine="420" w:firstLineChars="200"/>
        <w:rPr>
          <w:rFonts w:ascii="宋体" w:hAnsi="宋体" w:cs="宋体"/>
          <w:szCs w:val="21"/>
        </w:rPr>
      </w:pPr>
      <w:r>
        <w:rPr>
          <w:rFonts w:hint="eastAsia" w:ascii="宋体" w:hAnsi="宋体" w:cs="宋体"/>
          <w:szCs w:val="21"/>
        </w:rPr>
        <w:t>（1）并不影响其他条款的效力和执行；</w:t>
      </w:r>
    </w:p>
    <w:p>
      <w:pPr>
        <w:spacing w:line="600" w:lineRule="exact"/>
        <w:ind w:firstLine="420" w:firstLineChars="200"/>
        <w:rPr>
          <w:rFonts w:ascii="宋体" w:hAnsi="宋体" w:cs="宋体"/>
          <w:szCs w:val="21"/>
        </w:rPr>
      </w:pPr>
      <w:r>
        <w:rPr>
          <w:rFonts w:hint="eastAsia" w:ascii="宋体" w:hAnsi="宋体" w:cs="宋体"/>
          <w:szCs w:val="21"/>
        </w:rPr>
        <w:t>（2）双方应商定对不合法、无效或不能执行的条款进行修改，使之合法、有效并可执行；修改或更改应尽可能平衡双方之间的利益。</w:t>
      </w:r>
    </w:p>
    <w:p>
      <w:pPr>
        <w:spacing w:line="600" w:lineRule="exact"/>
        <w:ind w:firstLine="420" w:firstLineChars="200"/>
        <w:rPr>
          <w:rFonts w:ascii="宋体" w:hAnsi="宋体" w:cs="宋体"/>
          <w:szCs w:val="21"/>
        </w:rPr>
      </w:pPr>
      <w:r>
        <w:rPr>
          <w:rFonts w:hint="eastAsia" w:ascii="宋体" w:hAnsi="宋体" w:cs="宋体"/>
          <w:szCs w:val="21"/>
        </w:rPr>
        <w:t>10.4.3.项目变更时为确保效率，如无涉及项目资金变动，服务项目可按照协商过程中确认的往来文件立即实施。如涉及项目资金变动，双方必须就相关变更事项签订补充协议。</w:t>
      </w:r>
    </w:p>
    <w:p>
      <w:pPr>
        <w:spacing w:line="600" w:lineRule="exact"/>
        <w:ind w:firstLine="420" w:firstLineChars="200"/>
        <w:rPr>
          <w:rFonts w:ascii="宋体" w:hAnsi="宋体" w:cs="宋体"/>
          <w:szCs w:val="21"/>
        </w:rPr>
      </w:pPr>
      <w:r>
        <w:rPr>
          <w:rFonts w:hint="eastAsia" w:ascii="宋体" w:hAnsi="宋体" w:cs="宋体"/>
          <w:szCs w:val="21"/>
        </w:rPr>
        <w:t>10.5. 不弃权</w:t>
      </w:r>
    </w:p>
    <w:p>
      <w:pPr>
        <w:spacing w:line="600" w:lineRule="exact"/>
        <w:ind w:firstLine="420" w:firstLineChars="200"/>
        <w:rPr>
          <w:rFonts w:ascii="宋体" w:hAnsi="宋体" w:cs="宋体"/>
          <w:szCs w:val="21"/>
        </w:rPr>
      </w:pPr>
      <w:r>
        <w:rPr>
          <w:rFonts w:hint="eastAsia" w:ascii="宋体" w:hAnsi="宋体" w:cs="宋体"/>
          <w:szCs w:val="21"/>
        </w:rPr>
        <w:t>除非另有规定，一方未行使或迟延行使本合同项下的权利、权力并不构成放弃这些权利、权力，而单一或部分行使这些权利、权力并不排斥行使任何其他权利、权力。</w:t>
      </w:r>
    </w:p>
    <w:p>
      <w:pPr>
        <w:spacing w:line="600" w:lineRule="exact"/>
        <w:ind w:firstLine="420" w:firstLineChars="200"/>
        <w:rPr>
          <w:rFonts w:ascii="宋体" w:hAnsi="宋体" w:cs="宋体"/>
          <w:szCs w:val="21"/>
        </w:rPr>
      </w:pPr>
      <w:r>
        <w:rPr>
          <w:rFonts w:hint="eastAsia" w:ascii="宋体" w:hAnsi="宋体" w:cs="宋体"/>
          <w:szCs w:val="21"/>
        </w:rPr>
        <w:t>10.6. 通知</w:t>
      </w:r>
    </w:p>
    <w:p>
      <w:pPr>
        <w:spacing w:line="600" w:lineRule="exact"/>
        <w:ind w:firstLine="420" w:firstLineChars="200"/>
        <w:rPr>
          <w:rFonts w:ascii="宋体" w:hAnsi="宋体" w:cs="宋体"/>
          <w:szCs w:val="21"/>
        </w:rPr>
      </w:pPr>
      <w:r>
        <w:rPr>
          <w:rFonts w:hint="eastAsia" w:ascii="宋体" w:hAnsi="宋体" w:cs="宋体"/>
          <w:szCs w:val="21"/>
        </w:rPr>
        <w:t>10.6.1.本合同约定的联系地址、联系方式为甲乙双方唯一联系地址、联系方式。甲、乙双方因履行本合同而需由一方发给对方的任何通知应以书面方式发出。该通知可以专人送达、传真、电子邮件、特快专递或挂号方式送达的方式发出。所有的通知应送达本合同项下对方当事人的地址或该方事先通知的其他地址或传真号码。该联系地址或联系方式有变动的，应至少提前三日书面通知对方。双方发生争议后，甚至进入诉讼程序，该联系地址、联系方式仍为有效。</w:t>
      </w:r>
    </w:p>
    <w:p>
      <w:pPr>
        <w:spacing w:line="600" w:lineRule="exact"/>
        <w:ind w:firstLine="420" w:firstLineChars="200"/>
        <w:rPr>
          <w:rFonts w:ascii="宋体" w:hAnsi="宋体" w:cs="宋体"/>
          <w:szCs w:val="21"/>
        </w:rPr>
      </w:pPr>
      <w:r>
        <w:rPr>
          <w:rFonts w:hint="eastAsia" w:ascii="宋体" w:hAnsi="宋体" w:cs="宋体"/>
          <w:szCs w:val="21"/>
        </w:rPr>
        <w:t>10.6.2.上述通知、要求或信息，以专人送达的，以受送达人在送达回执上的签收时间为送达日期；以传真方式送达的，以发送之日为送达日期；以电子邮件方式送达的，以到达受送达人特定系统的日期为送达日期；以特快专递或挂号方式送达的，以受送达人在相应邮寄凭证上签收之日为送达日期。上述联系地址或联系方式发生变动且未及时书面通知另一方的，另一方按原地址邮寄相关材料即视为已履行送达义务。</w:t>
      </w:r>
    </w:p>
    <w:p>
      <w:pPr>
        <w:spacing w:line="600" w:lineRule="exact"/>
        <w:ind w:firstLine="420" w:firstLineChars="200"/>
        <w:rPr>
          <w:rFonts w:ascii="宋体" w:hAnsi="宋体" w:cs="宋体"/>
          <w:szCs w:val="21"/>
        </w:rPr>
      </w:pPr>
      <w:r>
        <w:rPr>
          <w:rFonts w:hint="eastAsia" w:ascii="宋体" w:hAnsi="宋体" w:cs="宋体"/>
          <w:szCs w:val="21"/>
        </w:rPr>
        <w:t>10.7. 合同解除条件</w:t>
      </w:r>
    </w:p>
    <w:p>
      <w:pPr>
        <w:spacing w:line="600" w:lineRule="exact"/>
        <w:ind w:firstLine="420" w:firstLineChars="200"/>
        <w:rPr>
          <w:rFonts w:ascii="宋体" w:hAnsi="宋体" w:cs="宋体"/>
          <w:szCs w:val="21"/>
        </w:rPr>
      </w:pPr>
      <w:r>
        <w:rPr>
          <w:rFonts w:hint="eastAsia" w:ascii="宋体" w:hAnsi="宋体" w:cs="宋体"/>
          <w:szCs w:val="21"/>
        </w:rPr>
        <w:t>如果发生以下情况，可以视为合同解除或终止，有关责任方承担相应的责任：</w:t>
      </w:r>
    </w:p>
    <w:p>
      <w:pPr>
        <w:spacing w:line="600" w:lineRule="exact"/>
        <w:ind w:firstLine="420" w:firstLineChars="200"/>
        <w:rPr>
          <w:rFonts w:ascii="宋体" w:hAnsi="宋体" w:cs="宋体"/>
          <w:szCs w:val="21"/>
        </w:rPr>
      </w:pPr>
      <w:r>
        <w:rPr>
          <w:rFonts w:hint="eastAsia" w:ascii="宋体" w:hAnsi="宋体" w:cs="宋体"/>
          <w:szCs w:val="21"/>
        </w:rPr>
        <w:t>（1）一方进入解散或清算阶段；</w:t>
      </w:r>
    </w:p>
    <w:p>
      <w:pPr>
        <w:spacing w:line="600" w:lineRule="exact"/>
        <w:ind w:firstLine="420" w:firstLineChars="200"/>
        <w:rPr>
          <w:rFonts w:ascii="宋体" w:hAnsi="宋体" w:cs="宋体"/>
          <w:szCs w:val="21"/>
        </w:rPr>
      </w:pPr>
      <w:r>
        <w:rPr>
          <w:rFonts w:hint="eastAsia" w:ascii="宋体" w:hAnsi="宋体" w:cs="宋体"/>
          <w:szCs w:val="21"/>
        </w:rPr>
        <w:t>（2）一方被宣告破产或其它原因致使资不抵债；</w:t>
      </w:r>
    </w:p>
    <w:p>
      <w:pPr>
        <w:spacing w:line="600" w:lineRule="exact"/>
        <w:ind w:firstLine="420" w:firstLineChars="200"/>
        <w:rPr>
          <w:rFonts w:ascii="宋体" w:hAnsi="宋体" w:cs="宋体"/>
          <w:szCs w:val="21"/>
        </w:rPr>
      </w:pPr>
      <w:r>
        <w:rPr>
          <w:rFonts w:hint="eastAsia" w:ascii="宋体" w:hAnsi="宋体" w:cs="宋体"/>
          <w:szCs w:val="21"/>
        </w:rPr>
        <w:t>（3）本合同已有效、适当、全面得到履行；</w:t>
      </w:r>
    </w:p>
    <w:p>
      <w:pPr>
        <w:spacing w:line="600" w:lineRule="exact"/>
        <w:ind w:firstLine="420" w:firstLineChars="200"/>
        <w:rPr>
          <w:rFonts w:ascii="宋体" w:hAnsi="宋体" w:cs="宋体"/>
          <w:szCs w:val="21"/>
        </w:rPr>
      </w:pPr>
      <w:r>
        <w:rPr>
          <w:rFonts w:hint="eastAsia" w:ascii="宋体" w:hAnsi="宋体" w:cs="宋体"/>
          <w:szCs w:val="21"/>
        </w:rPr>
        <w:t>（4）双方共同同意以书面文件提前解除合同；</w:t>
      </w:r>
    </w:p>
    <w:p>
      <w:pPr>
        <w:spacing w:line="600" w:lineRule="exact"/>
        <w:ind w:firstLine="420" w:firstLineChars="200"/>
        <w:rPr>
          <w:rFonts w:ascii="宋体" w:hAnsi="宋体" w:cs="宋体"/>
          <w:szCs w:val="21"/>
        </w:rPr>
      </w:pPr>
      <w:r>
        <w:rPr>
          <w:rFonts w:hint="eastAsia" w:ascii="宋体" w:hAnsi="宋体" w:cs="宋体"/>
          <w:szCs w:val="21"/>
        </w:rPr>
        <w:t>（5）根据仲裁机构或司法机关作出的生效法律文书，本合同解除或终止。</w:t>
      </w:r>
    </w:p>
    <w:p>
      <w:pPr>
        <w:spacing w:line="600" w:lineRule="exact"/>
        <w:ind w:firstLine="420" w:firstLineChars="200"/>
        <w:rPr>
          <w:rFonts w:ascii="宋体" w:hAnsi="宋体" w:cs="宋体"/>
          <w:szCs w:val="21"/>
        </w:rPr>
      </w:pPr>
      <w:r>
        <w:rPr>
          <w:rFonts w:hint="eastAsia" w:ascii="宋体" w:hAnsi="宋体" w:cs="宋体"/>
          <w:szCs w:val="21"/>
        </w:rPr>
        <w:t>10.8. 合同份数</w:t>
      </w:r>
    </w:p>
    <w:p>
      <w:pPr>
        <w:spacing w:line="600" w:lineRule="exact"/>
        <w:ind w:firstLine="420" w:firstLineChars="200"/>
        <w:rPr>
          <w:rFonts w:ascii="宋体" w:hAnsi="宋体" w:cs="宋体"/>
          <w:szCs w:val="21"/>
        </w:rPr>
      </w:pPr>
      <w:r>
        <w:rPr>
          <w:rFonts w:hint="eastAsia" w:ascii="宋体" w:hAnsi="宋体" w:cs="宋体"/>
          <w:szCs w:val="21"/>
        </w:rPr>
        <w:t>本合同一式</w:t>
      </w:r>
      <w:r>
        <w:rPr>
          <w:rFonts w:hint="eastAsia" w:ascii="宋体" w:hAnsi="宋体" w:cs="宋体"/>
          <w:szCs w:val="21"/>
          <w:u w:val="single"/>
        </w:rPr>
        <w:t xml:space="preserve">   </w:t>
      </w:r>
      <w:r>
        <w:rPr>
          <w:rFonts w:hint="eastAsia" w:ascii="宋体" w:hAnsi="宋体" w:cs="宋体"/>
          <w:szCs w:val="21"/>
        </w:rPr>
        <w:t>份，甲方执</w:t>
      </w:r>
      <w:r>
        <w:rPr>
          <w:rFonts w:hint="eastAsia" w:ascii="宋体" w:hAnsi="宋体" w:cs="宋体"/>
          <w:szCs w:val="21"/>
          <w:u w:val="single"/>
        </w:rPr>
        <w:t xml:space="preserve">   </w:t>
      </w:r>
      <w:r>
        <w:rPr>
          <w:rFonts w:hint="eastAsia" w:ascii="宋体" w:hAnsi="宋体" w:cs="宋体"/>
          <w:szCs w:val="21"/>
        </w:rPr>
        <w:t>份，乙方执</w:t>
      </w:r>
      <w:r>
        <w:rPr>
          <w:rFonts w:hint="eastAsia" w:ascii="宋体" w:hAnsi="宋体" w:cs="宋体"/>
          <w:szCs w:val="21"/>
          <w:u w:val="single"/>
        </w:rPr>
        <w:t xml:space="preserve">    </w:t>
      </w:r>
      <w:r>
        <w:rPr>
          <w:rFonts w:hint="eastAsia" w:ascii="宋体" w:hAnsi="宋体" w:cs="宋体"/>
          <w:szCs w:val="21"/>
        </w:rPr>
        <w:t>份，具有同等法律效力。</w:t>
      </w:r>
    </w:p>
    <w:p>
      <w:pPr>
        <w:spacing w:line="600" w:lineRule="exact"/>
        <w:ind w:firstLine="420" w:firstLineChars="200"/>
        <w:rPr>
          <w:rFonts w:ascii="宋体" w:hAnsi="宋体" w:cs="宋体"/>
          <w:szCs w:val="21"/>
        </w:rPr>
      </w:pPr>
      <w:r>
        <w:rPr>
          <w:rFonts w:hint="eastAsia" w:ascii="宋体" w:hAnsi="宋体" w:cs="宋体"/>
          <w:szCs w:val="21"/>
        </w:rPr>
        <w:t>10.9. 合同页数</w:t>
      </w:r>
    </w:p>
    <w:p>
      <w:pPr>
        <w:spacing w:line="600" w:lineRule="exact"/>
        <w:ind w:firstLine="420" w:firstLineChars="200"/>
        <w:rPr>
          <w:rFonts w:ascii="宋体" w:hAnsi="宋体" w:cs="宋体"/>
          <w:szCs w:val="21"/>
        </w:rPr>
      </w:pPr>
      <w:r>
        <w:rPr>
          <w:rFonts w:hint="eastAsia" w:ascii="宋体" w:hAnsi="宋体" w:cs="宋体"/>
          <w:szCs w:val="21"/>
        </w:rPr>
        <w:t>本合同正文（不含封面、编写说明及签署页）合计</w:t>
      </w:r>
      <w:r>
        <w:rPr>
          <w:rFonts w:hint="eastAsia" w:ascii="宋体" w:hAnsi="宋体" w:cs="宋体"/>
          <w:szCs w:val="21"/>
          <w:u w:val="single"/>
        </w:rPr>
        <w:t xml:space="preserve">  </w:t>
      </w:r>
      <w:r>
        <w:rPr>
          <w:rFonts w:hint="eastAsia" w:ascii="宋体" w:hAnsi="宋体" w:cs="宋体"/>
          <w:szCs w:val="21"/>
        </w:rPr>
        <w:t>页A4纸张，附件</w:t>
      </w:r>
      <w:r>
        <w:rPr>
          <w:rFonts w:hint="eastAsia" w:ascii="宋体" w:hAnsi="宋体" w:cs="宋体"/>
          <w:szCs w:val="21"/>
          <w:u w:val="single"/>
        </w:rPr>
        <w:t xml:space="preserve">   </w:t>
      </w:r>
      <w:r>
        <w:rPr>
          <w:rFonts w:hint="eastAsia" w:ascii="宋体" w:hAnsi="宋体" w:cs="宋体"/>
          <w:szCs w:val="21"/>
        </w:rPr>
        <w:t>份共</w:t>
      </w:r>
      <w:r>
        <w:rPr>
          <w:rFonts w:hint="eastAsia" w:ascii="宋体" w:hAnsi="宋体" w:cs="宋体"/>
          <w:szCs w:val="21"/>
          <w:u w:val="single"/>
        </w:rPr>
        <w:t xml:space="preserve">  </w:t>
      </w:r>
      <w:r>
        <w:rPr>
          <w:rFonts w:hint="eastAsia" w:ascii="宋体" w:hAnsi="宋体" w:cs="宋体"/>
          <w:szCs w:val="21"/>
        </w:rPr>
        <w:t>页A4纸张。缺页之合同为无效合同。</w:t>
      </w:r>
    </w:p>
    <w:p>
      <w:pPr>
        <w:rPr>
          <w:rFonts w:ascii="宋体" w:hAnsi="宋体" w:cs="宋体"/>
          <w:szCs w:val="21"/>
        </w:rPr>
      </w:pPr>
    </w:p>
    <w:p>
      <w:pPr>
        <w:spacing w:line="600" w:lineRule="exact"/>
        <w:rPr>
          <w:rFonts w:ascii="宋体" w:hAnsi="宋体" w:cs="宋体"/>
          <w:szCs w:val="21"/>
        </w:rPr>
      </w:pPr>
      <w:r>
        <w:rPr>
          <w:rFonts w:hint="eastAsia" w:ascii="宋体" w:hAnsi="宋体" w:cs="宋体"/>
          <w:szCs w:val="21"/>
        </w:rPr>
        <w:t>委托方（甲方）：</w:t>
      </w:r>
      <w:r>
        <w:rPr>
          <w:rFonts w:hint="eastAsia" w:ascii="宋体" w:hAnsi="宋体" w:cs="宋体"/>
          <w:szCs w:val="21"/>
          <w:u w:val="single"/>
        </w:rPr>
        <w:t xml:space="preserve">                                     </w:t>
      </w:r>
      <w:r>
        <w:rPr>
          <w:rFonts w:hint="eastAsia" w:ascii="宋体" w:hAnsi="宋体" w:cs="宋体"/>
          <w:szCs w:val="21"/>
        </w:rPr>
        <w:t>（盖章）</w:t>
      </w:r>
    </w:p>
    <w:p>
      <w:pPr>
        <w:spacing w:line="600" w:lineRule="exact"/>
        <w:rPr>
          <w:rFonts w:ascii="宋体" w:hAnsi="宋体" w:cs="宋体"/>
          <w:szCs w:val="21"/>
        </w:rPr>
      </w:pPr>
      <w:r>
        <w:rPr>
          <w:rFonts w:hint="eastAsia" w:ascii="宋体" w:hAnsi="宋体" w:cs="宋体"/>
          <w:szCs w:val="21"/>
        </w:rPr>
        <w:t xml:space="preserve">住所地： </w:t>
      </w:r>
      <w:r>
        <w:rPr>
          <w:rFonts w:hint="eastAsia" w:ascii="宋体" w:hAnsi="宋体" w:cs="宋体"/>
          <w:szCs w:val="21"/>
          <w:u w:val="single"/>
        </w:rPr>
        <w:t xml:space="preserve">                                             </w:t>
      </w:r>
      <w:r>
        <w:rPr>
          <w:rFonts w:hint="eastAsia" w:ascii="宋体" w:hAnsi="宋体" w:cs="宋体"/>
          <w:szCs w:val="21"/>
        </w:rPr>
        <w:t xml:space="preserve">            </w:t>
      </w:r>
    </w:p>
    <w:p>
      <w:pPr>
        <w:spacing w:line="600" w:lineRule="exact"/>
        <w:rPr>
          <w:rFonts w:ascii="宋体" w:hAnsi="宋体" w:cs="宋体"/>
          <w:szCs w:val="21"/>
        </w:rPr>
      </w:pPr>
      <w:r>
        <w:rPr>
          <w:rFonts w:hint="eastAsia" w:ascii="宋体" w:hAnsi="宋体" w:cs="宋体"/>
          <w:szCs w:val="21"/>
        </w:rPr>
        <w:t>法定代表人/委托代理人：</w:t>
      </w:r>
      <w:r>
        <w:rPr>
          <w:rFonts w:hint="eastAsia" w:ascii="宋体" w:hAnsi="宋体" w:cs="宋体"/>
          <w:szCs w:val="21"/>
          <w:u w:val="single"/>
        </w:rPr>
        <w:t xml:space="preserve">               </w:t>
      </w:r>
      <w:r>
        <w:rPr>
          <w:rFonts w:hint="eastAsia" w:ascii="宋体" w:hAnsi="宋体" w:cs="宋体"/>
          <w:szCs w:val="21"/>
        </w:rPr>
        <w:t>（签名）</w:t>
      </w:r>
    </w:p>
    <w:p>
      <w:pPr>
        <w:spacing w:line="600" w:lineRule="exact"/>
        <w:rPr>
          <w:rFonts w:ascii="宋体" w:hAnsi="宋体" w:cs="宋体"/>
          <w:szCs w:val="21"/>
        </w:rPr>
      </w:pPr>
      <w:r>
        <w:rPr>
          <w:rFonts w:hint="eastAsia" w:ascii="宋体" w:hAnsi="宋体" w:cs="宋体"/>
          <w:szCs w:val="21"/>
        </w:rPr>
        <w:t>项目联系人：</w:t>
      </w:r>
      <w:r>
        <w:rPr>
          <w:rFonts w:hint="eastAsia" w:ascii="宋体" w:hAnsi="宋体" w:cs="宋体"/>
          <w:szCs w:val="21"/>
          <w:u w:val="single"/>
        </w:rPr>
        <w:t xml:space="preserve">                                         </w:t>
      </w:r>
      <w:r>
        <w:rPr>
          <w:rFonts w:hint="eastAsia" w:ascii="宋体" w:hAnsi="宋体" w:cs="宋体"/>
          <w:szCs w:val="21"/>
        </w:rPr>
        <w:t xml:space="preserve">                        </w:t>
      </w:r>
    </w:p>
    <w:p>
      <w:pPr>
        <w:spacing w:line="600" w:lineRule="exact"/>
        <w:rPr>
          <w:rFonts w:ascii="宋体" w:hAnsi="宋体" w:cs="宋体"/>
          <w:szCs w:val="21"/>
        </w:rPr>
      </w:pPr>
      <w:r>
        <w:rPr>
          <w:rFonts w:hint="eastAsia" w:ascii="宋体" w:hAnsi="宋体" w:cs="宋体"/>
          <w:szCs w:val="21"/>
        </w:rPr>
        <w:t>联系方式：</w:t>
      </w:r>
      <w:r>
        <w:rPr>
          <w:rFonts w:hint="eastAsia" w:ascii="宋体" w:hAnsi="宋体" w:cs="宋体"/>
          <w:szCs w:val="21"/>
          <w:u w:val="single"/>
        </w:rPr>
        <w:t xml:space="preserve">                                      </w:t>
      </w:r>
      <w:r>
        <w:rPr>
          <w:rFonts w:hint="eastAsia" w:ascii="宋体" w:hAnsi="宋体" w:cs="宋体"/>
          <w:szCs w:val="21"/>
        </w:rPr>
        <w:t xml:space="preserve">                            </w:t>
      </w:r>
    </w:p>
    <w:p>
      <w:pPr>
        <w:spacing w:line="600" w:lineRule="exact"/>
        <w:rPr>
          <w:rFonts w:ascii="宋体" w:hAnsi="宋体" w:cs="宋体"/>
          <w:szCs w:val="21"/>
        </w:rPr>
      </w:pPr>
      <w:r>
        <w:rPr>
          <w:rFonts w:hint="eastAsia" w:ascii="宋体" w:hAnsi="宋体" w:cs="宋体"/>
          <w:szCs w:val="21"/>
        </w:rPr>
        <w:t>通讯地址：</w:t>
      </w:r>
      <w:r>
        <w:rPr>
          <w:rFonts w:hint="eastAsia" w:ascii="宋体" w:hAnsi="宋体" w:cs="宋体"/>
          <w:szCs w:val="21"/>
          <w:u w:val="single"/>
        </w:rPr>
        <w:t xml:space="preserve">                                           </w:t>
      </w:r>
      <w:r>
        <w:rPr>
          <w:rFonts w:hint="eastAsia" w:ascii="宋体" w:hAnsi="宋体" w:cs="宋体"/>
          <w:szCs w:val="21"/>
        </w:rPr>
        <w:t xml:space="preserve">                </w:t>
      </w:r>
    </w:p>
    <w:p>
      <w:pPr>
        <w:spacing w:line="600" w:lineRule="exact"/>
        <w:rPr>
          <w:rFonts w:ascii="宋体" w:hAnsi="宋体" w:cs="宋体"/>
          <w:szCs w:val="21"/>
        </w:rPr>
      </w:pPr>
      <w:r>
        <w:rPr>
          <w:rFonts w:hint="eastAsia" w:ascii="宋体" w:hAnsi="宋体" w:cs="宋体"/>
          <w:szCs w:val="21"/>
        </w:rPr>
        <w:t xml:space="preserve">电　　话： </w:t>
      </w:r>
      <w:r>
        <w:rPr>
          <w:rFonts w:hint="eastAsia" w:ascii="宋体" w:hAnsi="宋体" w:cs="宋体"/>
          <w:szCs w:val="21"/>
          <w:u w:val="single"/>
        </w:rPr>
        <w:t xml:space="preserve">                                    </w:t>
      </w:r>
      <w:r>
        <w:rPr>
          <w:rFonts w:hint="eastAsia" w:ascii="宋体" w:hAnsi="宋体" w:cs="宋体"/>
          <w:szCs w:val="21"/>
        </w:rPr>
        <w:t xml:space="preserve">                             </w:t>
      </w:r>
    </w:p>
    <w:p>
      <w:pPr>
        <w:spacing w:line="600" w:lineRule="exact"/>
        <w:rPr>
          <w:rFonts w:ascii="宋体" w:hAnsi="宋体" w:cs="宋体"/>
          <w:szCs w:val="21"/>
        </w:rPr>
      </w:pPr>
      <w:r>
        <w:rPr>
          <w:rFonts w:hint="eastAsia" w:ascii="宋体" w:hAnsi="宋体" w:cs="宋体"/>
          <w:szCs w:val="21"/>
          <w:u w:val="single"/>
        </w:rPr>
        <w:t>2022</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600" w:lineRule="exact"/>
        <w:rPr>
          <w:rFonts w:ascii="宋体" w:hAnsi="宋体" w:cs="宋体"/>
          <w:szCs w:val="21"/>
        </w:rPr>
      </w:pPr>
    </w:p>
    <w:p>
      <w:pPr>
        <w:spacing w:line="600" w:lineRule="exact"/>
        <w:rPr>
          <w:rFonts w:ascii="宋体" w:hAnsi="宋体" w:cs="宋体"/>
          <w:szCs w:val="21"/>
        </w:rPr>
      </w:pPr>
      <w:r>
        <w:rPr>
          <w:rFonts w:hint="eastAsia" w:ascii="宋体" w:hAnsi="宋体" w:cs="宋体"/>
          <w:szCs w:val="21"/>
        </w:rPr>
        <w:t>委托方（</w:t>
      </w:r>
      <w:r>
        <w:rPr>
          <w:rFonts w:hint="eastAsia" w:ascii="宋体" w:hAnsi="宋体" w:cs="宋体"/>
          <w:szCs w:val="21"/>
          <w:lang w:eastAsia="zh-Hans"/>
        </w:rPr>
        <w:t>乙</w:t>
      </w:r>
      <w:r>
        <w:rPr>
          <w:rFonts w:hint="eastAsia" w:ascii="宋体" w:hAnsi="宋体" w:cs="宋体"/>
          <w:szCs w:val="21"/>
        </w:rPr>
        <w:t>方）：</w:t>
      </w:r>
      <w:r>
        <w:rPr>
          <w:rFonts w:hint="eastAsia" w:ascii="宋体" w:hAnsi="宋体" w:cs="宋体"/>
          <w:szCs w:val="21"/>
          <w:u w:val="single"/>
        </w:rPr>
        <w:t xml:space="preserve">                                     </w:t>
      </w:r>
      <w:r>
        <w:rPr>
          <w:rFonts w:hint="eastAsia" w:ascii="宋体" w:hAnsi="宋体" w:cs="宋体"/>
          <w:szCs w:val="21"/>
        </w:rPr>
        <w:t>（盖章）</w:t>
      </w:r>
    </w:p>
    <w:p>
      <w:pPr>
        <w:spacing w:line="600" w:lineRule="exact"/>
        <w:rPr>
          <w:rFonts w:ascii="宋体" w:hAnsi="宋体" w:cs="宋体"/>
          <w:szCs w:val="21"/>
        </w:rPr>
      </w:pPr>
      <w:r>
        <w:rPr>
          <w:rFonts w:hint="eastAsia" w:ascii="宋体" w:hAnsi="宋体" w:cs="宋体"/>
          <w:szCs w:val="21"/>
        </w:rPr>
        <w:t xml:space="preserve">住所地： </w:t>
      </w:r>
      <w:r>
        <w:rPr>
          <w:rFonts w:hint="eastAsia" w:ascii="宋体" w:hAnsi="宋体" w:cs="宋体"/>
          <w:szCs w:val="21"/>
          <w:u w:val="single"/>
        </w:rPr>
        <w:t xml:space="preserve">                                             </w:t>
      </w:r>
      <w:r>
        <w:rPr>
          <w:rFonts w:hint="eastAsia" w:ascii="宋体" w:hAnsi="宋体" w:cs="宋体"/>
          <w:szCs w:val="21"/>
        </w:rPr>
        <w:t xml:space="preserve">            </w:t>
      </w:r>
    </w:p>
    <w:p>
      <w:pPr>
        <w:spacing w:line="600" w:lineRule="exact"/>
        <w:rPr>
          <w:rFonts w:ascii="宋体" w:hAnsi="宋体" w:cs="宋体"/>
          <w:szCs w:val="21"/>
        </w:rPr>
      </w:pPr>
      <w:r>
        <w:rPr>
          <w:rFonts w:hint="eastAsia" w:ascii="宋体" w:hAnsi="宋体" w:cs="宋体"/>
          <w:szCs w:val="21"/>
        </w:rPr>
        <w:t>法定代表人/委托代理人：</w:t>
      </w:r>
      <w:r>
        <w:rPr>
          <w:rFonts w:hint="eastAsia" w:ascii="宋体" w:hAnsi="宋体" w:cs="宋体"/>
          <w:szCs w:val="21"/>
          <w:u w:val="single"/>
        </w:rPr>
        <w:t xml:space="preserve">               </w:t>
      </w:r>
      <w:r>
        <w:rPr>
          <w:rFonts w:hint="eastAsia" w:ascii="宋体" w:hAnsi="宋体" w:cs="宋体"/>
          <w:szCs w:val="21"/>
        </w:rPr>
        <w:t>（签名）</w:t>
      </w:r>
    </w:p>
    <w:p>
      <w:pPr>
        <w:spacing w:line="600" w:lineRule="exact"/>
        <w:rPr>
          <w:rFonts w:ascii="宋体" w:hAnsi="宋体" w:cs="宋体"/>
          <w:szCs w:val="21"/>
        </w:rPr>
      </w:pPr>
      <w:r>
        <w:rPr>
          <w:rFonts w:hint="eastAsia" w:ascii="宋体" w:hAnsi="宋体" w:cs="宋体"/>
          <w:szCs w:val="21"/>
        </w:rPr>
        <w:t>项目联系人：</w:t>
      </w:r>
      <w:r>
        <w:rPr>
          <w:rFonts w:hint="eastAsia" w:ascii="宋体" w:hAnsi="宋体" w:cs="宋体"/>
          <w:szCs w:val="21"/>
          <w:u w:val="single"/>
        </w:rPr>
        <w:t xml:space="preserve">                                         </w:t>
      </w:r>
      <w:r>
        <w:rPr>
          <w:rFonts w:hint="eastAsia" w:ascii="宋体" w:hAnsi="宋体" w:cs="宋体"/>
          <w:szCs w:val="21"/>
        </w:rPr>
        <w:t xml:space="preserve">                        </w:t>
      </w:r>
    </w:p>
    <w:p>
      <w:pPr>
        <w:spacing w:line="600" w:lineRule="exact"/>
        <w:rPr>
          <w:rFonts w:ascii="宋体" w:hAnsi="宋体" w:cs="宋体"/>
          <w:szCs w:val="21"/>
        </w:rPr>
      </w:pPr>
      <w:r>
        <w:rPr>
          <w:rFonts w:hint="eastAsia" w:ascii="宋体" w:hAnsi="宋体" w:cs="宋体"/>
          <w:szCs w:val="21"/>
        </w:rPr>
        <w:t>联系方式：</w:t>
      </w:r>
      <w:r>
        <w:rPr>
          <w:rFonts w:hint="eastAsia" w:ascii="宋体" w:hAnsi="宋体" w:cs="宋体"/>
          <w:szCs w:val="21"/>
          <w:u w:val="single"/>
        </w:rPr>
        <w:t xml:space="preserve">                                      </w:t>
      </w:r>
      <w:r>
        <w:rPr>
          <w:rFonts w:hint="eastAsia" w:ascii="宋体" w:hAnsi="宋体" w:cs="宋体"/>
          <w:szCs w:val="21"/>
        </w:rPr>
        <w:t xml:space="preserve">                            </w:t>
      </w:r>
    </w:p>
    <w:p>
      <w:pPr>
        <w:spacing w:line="600" w:lineRule="exact"/>
        <w:rPr>
          <w:rFonts w:ascii="宋体" w:hAnsi="宋体" w:cs="宋体"/>
          <w:szCs w:val="21"/>
        </w:rPr>
      </w:pPr>
      <w:r>
        <w:rPr>
          <w:rFonts w:hint="eastAsia" w:ascii="宋体" w:hAnsi="宋体" w:cs="宋体"/>
          <w:szCs w:val="21"/>
        </w:rPr>
        <w:t>通讯地址：</w:t>
      </w:r>
      <w:r>
        <w:rPr>
          <w:rFonts w:hint="eastAsia" w:ascii="宋体" w:hAnsi="宋体" w:cs="宋体"/>
          <w:szCs w:val="21"/>
          <w:u w:val="single"/>
        </w:rPr>
        <w:t xml:space="preserve">                                           </w:t>
      </w:r>
      <w:r>
        <w:rPr>
          <w:rFonts w:hint="eastAsia" w:ascii="宋体" w:hAnsi="宋体" w:cs="宋体"/>
          <w:szCs w:val="21"/>
        </w:rPr>
        <w:t xml:space="preserve">                </w:t>
      </w:r>
    </w:p>
    <w:p>
      <w:pPr>
        <w:spacing w:line="600" w:lineRule="exact"/>
        <w:rPr>
          <w:rFonts w:ascii="宋体" w:hAnsi="宋体" w:cs="宋体"/>
          <w:szCs w:val="21"/>
        </w:rPr>
      </w:pPr>
      <w:r>
        <w:rPr>
          <w:rFonts w:hint="eastAsia" w:ascii="宋体" w:hAnsi="宋体" w:cs="宋体"/>
          <w:szCs w:val="21"/>
        </w:rPr>
        <w:t xml:space="preserve">电　　话： </w:t>
      </w:r>
      <w:r>
        <w:rPr>
          <w:rFonts w:hint="eastAsia" w:ascii="宋体" w:hAnsi="宋体" w:cs="宋体"/>
          <w:szCs w:val="21"/>
          <w:u w:val="single"/>
        </w:rPr>
        <w:t xml:space="preserve">                                    </w:t>
      </w:r>
      <w:r>
        <w:rPr>
          <w:rFonts w:hint="eastAsia" w:ascii="宋体" w:hAnsi="宋体" w:cs="宋体"/>
          <w:szCs w:val="21"/>
        </w:rPr>
        <w:t xml:space="preserve">                             </w:t>
      </w:r>
    </w:p>
    <w:p>
      <w:pPr>
        <w:spacing w:line="600" w:lineRule="exact"/>
        <w:rPr>
          <w:rFonts w:ascii="宋体" w:hAnsi="宋体" w:cs="宋体"/>
          <w:szCs w:val="21"/>
        </w:rPr>
      </w:pPr>
      <w:r>
        <w:rPr>
          <w:rFonts w:hint="eastAsia" w:ascii="宋体" w:hAnsi="宋体" w:cs="宋体"/>
          <w:szCs w:val="21"/>
          <w:u w:val="single"/>
        </w:rPr>
        <w:t>2022</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pStyle w:val="3"/>
        <w:rPr>
          <w:szCs w:val="22"/>
        </w:rPr>
      </w:pPr>
    </w:p>
    <w:p>
      <w:pPr>
        <w:pStyle w:val="3"/>
        <w:spacing w:line="360" w:lineRule="auto"/>
      </w:pPr>
      <w:r>
        <w:rPr>
          <w:rFonts w:hint="eastAsia"/>
          <w:szCs w:val="22"/>
        </w:rPr>
        <w:t>合同附件1</w:t>
      </w:r>
      <w:r>
        <w:rPr>
          <w:rFonts w:hint="eastAsia"/>
        </w:rPr>
        <w:t>测评服务说明书</w:t>
      </w:r>
    </w:p>
    <w:p>
      <w:pPr>
        <w:pStyle w:val="3"/>
        <w:spacing w:line="360" w:lineRule="auto"/>
        <w:jc w:val="center"/>
      </w:pPr>
      <w:r>
        <w:rPr>
          <w:rFonts w:hint="eastAsia"/>
        </w:rPr>
        <w:t>测评服务说明书包括但不限于以下内容：</w:t>
      </w:r>
    </w:p>
    <w:p>
      <w:pPr>
        <w:pStyle w:val="3"/>
        <w:spacing w:line="360" w:lineRule="auto"/>
      </w:pPr>
      <w:r>
        <w:rPr>
          <w:rFonts w:hint="eastAsia"/>
        </w:rPr>
        <w:t>一、服务目标</w:t>
      </w:r>
    </w:p>
    <w:p>
      <w:pPr>
        <w:pStyle w:val="3"/>
        <w:spacing w:line="360" w:lineRule="auto"/>
      </w:pPr>
      <w:r>
        <w:rPr>
          <w:rFonts w:hint="eastAsia"/>
        </w:rPr>
        <w:t>________是________单位的重要系统，通过对该系统进行等保测评，全面掌握平台的安全技术状态及安全管理状况，进而根据测评结论优化平台安全防护能力，预防和减少平台网络安全、数据安全事件，保障平台安全稳定运行。</w:t>
      </w:r>
    </w:p>
    <w:p>
      <w:pPr>
        <w:pStyle w:val="3"/>
        <w:spacing w:line="360" w:lineRule="auto"/>
      </w:pPr>
      <w:r>
        <w:rPr>
          <w:rFonts w:hint="eastAsia"/>
        </w:rPr>
        <w:t>二、服务的内容和范围</w:t>
      </w:r>
    </w:p>
    <w:p>
      <w:pPr>
        <w:pStyle w:val="3"/>
        <w:spacing w:line="360" w:lineRule="auto"/>
      </w:pPr>
      <w:r>
        <w:rPr>
          <w:rFonts w:hint="eastAsia"/>
        </w:rPr>
        <w:t>服务内容：网络安全等级保护测评</w:t>
      </w:r>
    </w:p>
    <w:p>
      <w:pPr>
        <w:pStyle w:val="3"/>
        <w:spacing w:line="360" w:lineRule="auto"/>
      </w:pPr>
      <w:r>
        <w:rPr>
          <w:rFonts w:hint="eastAsia"/>
        </w:rPr>
        <w:t>1.网络安全等级保护测评服务</w:t>
      </w:r>
    </w:p>
    <w:p>
      <w:pPr>
        <w:pStyle w:val="3"/>
        <w:spacing w:line="360" w:lineRule="auto"/>
      </w:pPr>
      <w:r>
        <w:rPr>
          <w:rFonts w:hint="eastAsia"/>
        </w:rPr>
        <w:t>根据《信息安全技术-网络安全等级保护定级指南》（GB/T22240-2020）的要求，对XXXX平台进行网络安全等级保护测评，开展定级和测评工作，出具网络安全等级保护测评报告。</w:t>
      </w:r>
    </w:p>
    <w:p>
      <w:pPr>
        <w:pStyle w:val="3"/>
        <w:spacing w:line="360" w:lineRule="auto"/>
      </w:pPr>
      <w:r>
        <w:rPr>
          <w:rFonts w:hint="eastAsia"/>
        </w:rPr>
        <w:t>1.1.网络安全等级保护测评目标</w:t>
      </w:r>
    </w:p>
    <w:p>
      <w:pPr>
        <w:pStyle w:val="3"/>
        <w:spacing w:line="360" w:lineRule="auto"/>
      </w:pPr>
      <w:r>
        <w:rPr>
          <w:rFonts w:hint="eastAsia"/>
        </w:rPr>
        <w:t>通过等级保护测评评估信息系统安全威胁和安全风险，提出防范对策和改进措施，切实保障网络与信息安全，维护国家安全和公共利益。</w:t>
      </w:r>
    </w:p>
    <w:p>
      <w:pPr>
        <w:pStyle w:val="3"/>
        <w:spacing w:line="360" w:lineRule="auto"/>
      </w:pPr>
      <w:r>
        <w:rPr>
          <w:rFonts w:hint="eastAsia"/>
        </w:rPr>
        <w:t>1.2.网络安全等级保护测评对象</w:t>
      </w:r>
    </w:p>
    <w:p>
      <w:pPr>
        <w:pStyle w:val="3"/>
        <w:spacing w:line="360" w:lineRule="auto"/>
      </w:pPr>
      <w:r>
        <w:rPr>
          <w:rFonts w:hint="eastAsia"/>
        </w:rPr>
        <w:t>本项目网络安全等级保护测评对象为XXXX</w:t>
      </w:r>
    </w:p>
    <w:p>
      <w:pPr>
        <w:pStyle w:val="3"/>
        <w:spacing w:line="360" w:lineRule="auto"/>
      </w:pPr>
      <w:r>
        <w:rPr>
          <w:rFonts w:hint="eastAsia"/>
        </w:rPr>
        <w:t>1.3.网络安全等级保护测评内容</w:t>
      </w:r>
    </w:p>
    <w:p>
      <w:pPr>
        <w:pStyle w:val="3"/>
        <w:spacing w:line="360" w:lineRule="auto"/>
      </w:pPr>
      <w:r>
        <w:rPr>
          <w:rFonts w:hint="eastAsia"/>
        </w:rPr>
        <w:t>（1）定级备案</w:t>
      </w:r>
    </w:p>
    <w:p>
      <w:pPr>
        <w:pStyle w:val="3"/>
        <w:spacing w:line="360" w:lineRule="auto"/>
      </w:pPr>
      <w:r>
        <w:rPr>
          <w:rFonts w:hint="eastAsia"/>
        </w:rPr>
        <w:t>定级备案由甲方组织、乙方协助，共同负责实施。甲方整理并提供纳入等保的信息系统有关建设使用、设备部署、网络拓扑、数据存储、运行维护、安全管理等方面的文档资料，安全测评机构按照等保工作管理规定，对系统相关文档进行整理，综合分析安全保护需求，乙方提出定级建议并协助甲方完成向公安机关申报信息系统安全等级保护备案工作。</w:t>
      </w:r>
    </w:p>
    <w:p>
      <w:pPr>
        <w:pStyle w:val="3"/>
        <w:spacing w:line="360" w:lineRule="auto"/>
      </w:pPr>
      <w:r>
        <w:rPr>
          <w:rFonts w:hint="eastAsia"/>
        </w:rPr>
        <w:t>（2）差距测评</w:t>
      </w:r>
    </w:p>
    <w:p>
      <w:pPr>
        <w:pStyle w:val="3"/>
        <w:spacing w:line="360" w:lineRule="auto"/>
      </w:pPr>
      <w:r>
        <w:rPr>
          <w:rFonts w:hint="eastAsia"/>
        </w:rPr>
        <w:t>差距测评主要由乙方负责实施，按照系统确定的保护级别，依据等保测评要求对信息系统存在的安全漏洞及风险威胁进行综合测评。测评完成后由乙方对每个测评系统出具差距测评报告，作为下一步开展系统安全整改的主要依据。</w:t>
      </w:r>
    </w:p>
    <w:p>
      <w:pPr>
        <w:pStyle w:val="3"/>
        <w:spacing w:line="360" w:lineRule="auto"/>
      </w:pPr>
      <w:r>
        <w:rPr>
          <w:rFonts w:hint="eastAsia"/>
        </w:rPr>
        <w:t>（3）等保测评</w:t>
      </w:r>
    </w:p>
    <w:p>
      <w:pPr>
        <w:pStyle w:val="3"/>
        <w:spacing w:line="360" w:lineRule="auto"/>
      </w:pPr>
      <w:r>
        <w:rPr>
          <w:rFonts w:hint="eastAsia"/>
        </w:rPr>
        <w:t>等保测评由安全测评机构负责实施。在信息系统完成安全整改的基础上，对照安全整改报告，由乙方依据信息系统对应安全等级保护的相关标准，对系统安全性进行复评复测，并对达到等保安全标准的系统出具安全等级保护测评报告。</w:t>
      </w:r>
    </w:p>
    <w:p>
      <w:pPr>
        <w:pStyle w:val="3"/>
        <w:spacing w:line="360" w:lineRule="auto"/>
      </w:pPr>
      <w:r>
        <w:rPr>
          <w:rFonts w:hint="eastAsia"/>
        </w:rPr>
        <w:t>三、服务要求和原则</w:t>
      </w:r>
    </w:p>
    <w:p>
      <w:pPr>
        <w:pStyle w:val="3"/>
        <w:spacing w:line="360" w:lineRule="auto"/>
      </w:pPr>
      <w:r>
        <w:rPr>
          <w:rFonts w:hint="eastAsia"/>
        </w:rPr>
        <w:t>3.1技术要求</w:t>
      </w:r>
    </w:p>
    <w:p>
      <w:pPr>
        <w:pStyle w:val="3"/>
        <w:spacing w:line="360" w:lineRule="auto"/>
      </w:pPr>
      <w:r>
        <w:rPr>
          <w:rFonts w:hint="eastAsia"/>
        </w:rPr>
        <w:t>3.1.1.相关依据</w:t>
      </w:r>
    </w:p>
    <w:p>
      <w:pPr>
        <w:pStyle w:val="3"/>
        <w:spacing w:line="360" w:lineRule="auto"/>
      </w:pPr>
      <w:r>
        <w:rPr>
          <w:rFonts w:hint="eastAsia"/>
        </w:rPr>
        <w:t>(1)GB/T 22239-2019 《信息安全技术 网络安全等级保护基本要求》</w:t>
      </w:r>
    </w:p>
    <w:p>
      <w:pPr>
        <w:pStyle w:val="3"/>
        <w:spacing w:line="360" w:lineRule="auto"/>
      </w:pPr>
      <w:r>
        <w:rPr>
          <w:rFonts w:hint="eastAsia"/>
        </w:rPr>
        <w:t>(2)GB/T 28448-2019 《信息安全技术 网络安全等级保护测评要求》</w:t>
      </w:r>
    </w:p>
    <w:p>
      <w:pPr>
        <w:pStyle w:val="3"/>
        <w:spacing w:line="360" w:lineRule="auto"/>
      </w:pPr>
      <w:r>
        <w:rPr>
          <w:rFonts w:hint="eastAsia"/>
        </w:rPr>
        <w:t>(3)GB/T 37988-2019 《信息安全技术 数据安全能力成熟度模型》</w:t>
      </w:r>
    </w:p>
    <w:p>
      <w:pPr>
        <w:pStyle w:val="3"/>
        <w:spacing w:line="360" w:lineRule="auto"/>
      </w:pPr>
      <w:r>
        <w:rPr>
          <w:rFonts w:hint="eastAsia"/>
        </w:rPr>
        <w:t>(4)GB/T 20984-2007 《信息安全技术 信息安全风险评估规范》</w:t>
      </w:r>
    </w:p>
    <w:p>
      <w:pPr>
        <w:pStyle w:val="3"/>
        <w:spacing w:line="360" w:lineRule="auto"/>
      </w:pPr>
      <w:r>
        <w:rPr>
          <w:rFonts w:hint="eastAsia"/>
        </w:rPr>
        <w:t>(5)T/ISEAA 002-2021 《信息安全技术 网络安全等级保护大数据基本要求》</w:t>
      </w:r>
    </w:p>
    <w:p>
      <w:pPr>
        <w:pStyle w:val="3"/>
        <w:spacing w:line="360" w:lineRule="auto"/>
      </w:pPr>
      <w:r>
        <w:rPr>
          <w:rFonts w:hint="eastAsia"/>
        </w:rPr>
        <w:t>(6)GB/T 20984-2007《信息安全技术 信息安全风险评估规范》</w:t>
      </w:r>
    </w:p>
    <w:p>
      <w:pPr>
        <w:pStyle w:val="3"/>
        <w:spacing w:line="360" w:lineRule="auto"/>
      </w:pPr>
      <w:r>
        <w:rPr>
          <w:rFonts w:hint="eastAsia"/>
        </w:rPr>
        <w:t>(7)GB/T 39477-2020 《信息安全技术 政务信息共享 数据安全技术要求》</w:t>
      </w:r>
    </w:p>
    <w:p>
      <w:pPr>
        <w:pStyle w:val="3"/>
        <w:spacing w:line="360" w:lineRule="auto"/>
      </w:pPr>
      <w:r>
        <w:rPr>
          <w:rFonts w:hint="eastAsia"/>
        </w:rPr>
        <w:t>3.2.技术路线</w:t>
      </w:r>
    </w:p>
    <w:p>
      <w:pPr>
        <w:pStyle w:val="3"/>
        <w:spacing w:line="360" w:lineRule="auto"/>
      </w:pPr>
      <w:r>
        <w:rPr>
          <w:rFonts w:hint="eastAsia"/>
        </w:rPr>
        <w:t>3.2.1.网络安全等级保护测评服务</w:t>
      </w:r>
    </w:p>
    <w:p>
      <w:pPr>
        <w:pStyle w:val="3"/>
        <w:spacing w:line="360" w:lineRule="auto"/>
      </w:pPr>
      <w:r>
        <w:rPr>
          <w:rFonts w:hint="eastAsia"/>
        </w:rPr>
        <w:t>等级保护测评服务需严格按照《信息安全技术 网络安全等级保护测评要求》(GB/T28448-2019)等要求开展。根据信息安全测评特点和要求，乙方应提供信息安全等级保护测评实施文档，包括信息安全等级保护测评方案模板、各类指标记录表、信息安全等级保护测评结果分析报告模板及信息安全整改建议模板。</w:t>
      </w:r>
    </w:p>
    <w:p>
      <w:pPr>
        <w:pStyle w:val="3"/>
        <w:spacing w:line="360" w:lineRule="auto"/>
      </w:pPr>
      <w:r>
        <w:rPr>
          <w:rFonts w:hint="eastAsia"/>
        </w:rPr>
        <w:t>按照等级保护2.0相关标准的要求：</w:t>
      </w:r>
    </w:p>
    <w:p>
      <w:pPr>
        <w:pStyle w:val="3"/>
        <w:spacing w:line="360" w:lineRule="auto"/>
      </w:pPr>
      <w:r>
        <w:rPr>
          <w:rFonts w:hint="eastAsia"/>
        </w:rPr>
        <w:t>第一步：测评机构协助完成系统定级备案工作；</w:t>
      </w:r>
    </w:p>
    <w:p>
      <w:pPr>
        <w:pStyle w:val="3"/>
        <w:spacing w:line="360" w:lineRule="auto"/>
      </w:pPr>
      <w:r>
        <w:rPr>
          <w:rFonts w:hint="eastAsia"/>
        </w:rPr>
        <w:t>第二步：测评机构对信息系统进行测试评估、差距分析、输出差距测评报告和安全整改建议；</w:t>
      </w:r>
    </w:p>
    <w:p>
      <w:pPr>
        <w:pStyle w:val="3"/>
        <w:spacing w:line="360" w:lineRule="auto"/>
      </w:pPr>
      <w:r>
        <w:rPr>
          <w:rFonts w:hint="eastAsia"/>
        </w:rPr>
        <w:t>第三步：系统承建单位根据差距测评报告与安全整改建议实施安全整改：</w:t>
      </w:r>
    </w:p>
    <w:p>
      <w:pPr>
        <w:pStyle w:val="3"/>
        <w:spacing w:line="360" w:lineRule="auto"/>
      </w:pPr>
      <w:r>
        <w:rPr>
          <w:rFonts w:hint="eastAsia"/>
        </w:rPr>
        <w:t>第四步：测评机构再次对系统进行测试评估、输出测评报告，并协助通过公安机关的备案与检查。</w:t>
      </w:r>
    </w:p>
    <w:p>
      <w:pPr>
        <w:pStyle w:val="3"/>
        <w:spacing w:line="360" w:lineRule="auto"/>
      </w:pPr>
      <w:r>
        <w:rPr>
          <w:rFonts w:hint="eastAsia"/>
        </w:rPr>
        <w:t>3.服务质量保证</w:t>
      </w:r>
    </w:p>
    <w:p>
      <w:pPr>
        <w:pStyle w:val="3"/>
        <w:spacing w:line="360" w:lineRule="auto"/>
      </w:pPr>
      <w:r>
        <w:rPr>
          <w:rFonts w:hint="eastAsia"/>
        </w:rPr>
        <w:t>乙方应保证本项目的服务质量，具备专业的检测技术和管理能力，提供符合等级保护测评相关标准规范的测评服务过程和报告。乙方应当遵守国家有关法律法规和技术标准，提供安全、客观、公正的检测评估服务，保证测评的质量和效果；保守在测评活动中知悉的国家秘密、商业秘密和个人隐私，防范测评风险；对测评人员进行安全保密教育，与其签订安全保密责任书，规定应当履行的安全保密义务和承担的法律责任，并负责检查落实。</w:t>
      </w:r>
    </w:p>
    <w:p>
      <w:pPr>
        <w:pStyle w:val="3"/>
        <w:spacing w:line="360" w:lineRule="auto"/>
      </w:pPr>
      <w:r>
        <w:rPr>
          <w:rFonts w:hint="eastAsia"/>
        </w:rPr>
        <w:t>4.服务交付物</w:t>
      </w:r>
    </w:p>
    <w:p>
      <w:pPr>
        <w:pStyle w:val="3"/>
        <w:spacing w:line="360" w:lineRule="auto"/>
      </w:pPr>
      <w:r>
        <w:rPr>
          <w:rFonts w:hint="eastAsia"/>
        </w:rPr>
        <w:t>根据本项目工作内容与特点，本项目验收直接进行终验。项目终验在乙方完成本项目规定的所有服务内容且提出终验申请，并经甲方同意后开展。</w:t>
      </w:r>
    </w:p>
    <w:p>
      <w:pPr>
        <w:pStyle w:val="3"/>
        <w:spacing w:line="360" w:lineRule="auto"/>
      </w:pPr>
      <w:r>
        <w:rPr>
          <w:rFonts w:hint="eastAsia"/>
        </w:rPr>
        <w:t>服务验收应达到如下标准：</w:t>
      </w:r>
    </w:p>
    <w:p>
      <w:pPr>
        <w:pStyle w:val="3"/>
        <w:spacing w:line="360" w:lineRule="auto"/>
      </w:pPr>
      <w:r>
        <w:rPr>
          <w:rFonts w:hint="eastAsia"/>
        </w:rPr>
        <w:t>（1）实现合同和根据采购文件所编写的响应文件中列举的全部工作内容。</w:t>
      </w:r>
    </w:p>
    <w:p>
      <w:pPr>
        <w:pStyle w:val="3"/>
        <w:spacing w:line="360" w:lineRule="auto"/>
      </w:pPr>
      <w:r>
        <w:rPr>
          <w:rFonts w:hint="eastAsia"/>
        </w:rPr>
        <w:t>（2）服务期间，乙方应按照合同、采购文件的要求和响应文件的服务承诺提供稳定、可靠、优质的服务，提交《网络安全等级保护测评报告》，以及服务总结报告。</w:t>
      </w:r>
    </w:p>
    <w:p>
      <w:pPr>
        <w:pStyle w:val="3"/>
        <w:spacing w:line="360" w:lineRule="auto"/>
      </w:pPr>
      <w:r>
        <w:t> </w:t>
      </w:r>
    </w:p>
    <w:p>
      <w:pPr>
        <w:pStyle w:val="3"/>
        <w:spacing w:line="360" w:lineRule="auto"/>
      </w:pPr>
      <w:r>
        <w:rPr>
          <w:rFonts w:hint="eastAsia"/>
        </w:rPr>
        <w:t>合同附件2：验收要求</w:t>
      </w:r>
    </w:p>
    <w:p>
      <w:pPr>
        <w:pStyle w:val="3"/>
        <w:spacing w:line="360" w:lineRule="auto"/>
      </w:pPr>
      <w:r>
        <w:rPr>
          <w:rFonts w:hint="eastAsia"/>
        </w:rPr>
        <w:t>提出阶段性服务确认、最终验收成果及要求。</w:t>
      </w:r>
    </w:p>
    <w:p>
      <w:pPr>
        <w:pStyle w:val="3"/>
        <w:spacing w:line="360" w:lineRule="auto"/>
      </w:pPr>
      <w:r>
        <w:rPr>
          <w:rFonts w:hint="eastAsia"/>
        </w:rPr>
        <w:t>根据本项目工作内容与特点，本项目验收直接进行终验。项目终验在乙方完成本项目规定的所有服务内容且提出终验申请，并经甲方同意后开展。</w:t>
      </w:r>
    </w:p>
    <w:p>
      <w:pPr>
        <w:pStyle w:val="3"/>
        <w:spacing w:line="360" w:lineRule="auto"/>
      </w:pPr>
      <w:r>
        <w:rPr>
          <w:rFonts w:hint="eastAsia"/>
        </w:rPr>
        <w:t>服务验收应达到如下标准：</w:t>
      </w:r>
    </w:p>
    <w:p>
      <w:pPr>
        <w:pStyle w:val="3"/>
        <w:spacing w:line="360" w:lineRule="auto"/>
      </w:pPr>
      <w:r>
        <w:rPr>
          <w:rFonts w:hint="eastAsia"/>
        </w:rPr>
        <w:t>（1）实现合同和根据采购文件所编写的响应文件中列举的全部工作内容。</w:t>
      </w:r>
    </w:p>
    <w:p>
      <w:pPr>
        <w:pStyle w:val="3"/>
        <w:spacing w:line="360" w:lineRule="auto"/>
      </w:pPr>
      <w:r>
        <w:rPr>
          <w:rFonts w:hint="eastAsia"/>
        </w:rPr>
        <w:t>（2）服务期间，乙方应按照合同、采购文件的要求和响应文件的服务承诺提供稳定、可靠、优质的服务，提交《网络安全等级保护测评报告》以及服务总结报告。</w:t>
      </w:r>
    </w:p>
    <w:p>
      <w:pPr>
        <w:pStyle w:val="3"/>
        <w:spacing w:line="360" w:lineRule="auto"/>
      </w:pPr>
    </w:p>
    <w:p>
      <w:pPr>
        <w:pStyle w:val="3"/>
        <w:spacing w:line="360" w:lineRule="auto"/>
      </w:pPr>
      <w:r>
        <w:rPr>
          <w:rFonts w:hint="eastAsia"/>
        </w:rPr>
        <w:t>附件3：保密协议</w:t>
      </w:r>
    </w:p>
    <w:p>
      <w:pPr>
        <w:pStyle w:val="3"/>
        <w:spacing w:line="360" w:lineRule="auto"/>
      </w:pPr>
      <w:r>
        <w:rPr>
          <w:rFonts w:hint="eastAsia"/>
        </w:rPr>
        <w:t xml:space="preserve">甲方：                             </w:t>
      </w:r>
    </w:p>
    <w:p>
      <w:pPr>
        <w:pStyle w:val="3"/>
        <w:spacing w:line="360" w:lineRule="auto"/>
      </w:pPr>
      <w:r>
        <w:rPr>
          <w:rFonts w:hint="eastAsia"/>
        </w:rPr>
        <w:t xml:space="preserve">乙方：                             </w:t>
      </w:r>
    </w:p>
    <w:p>
      <w:pPr>
        <w:pStyle w:val="3"/>
        <w:spacing w:line="360" w:lineRule="auto"/>
      </w:pPr>
      <w:r>
        <w:rPr>
          <w:rFonts w:hint="eastAsia"/>
        </w:rPr>
        <w:t>鉴于甲乙双方在</w:t>
      </w:r>
      <w:r>
        <w:rPr>
          <w:rFonts w:hint="eastAsia"/>
          <w:u w:val="single"/>
        </w:rPr>
        <w:t xml:space="preserve">                          </w:t>
      </w:r>
      <w:r>
        <w:rPr>
          <w:rFonts w:hint="eastAsia"/>
        </w:rPr>
        <w:t>合作中，一方可能向另一方透漏一些保密信息，双方同意并达成以下协议：</w:t>
      </w:r>
    </w:p>
    <w:p>
      <w:pPr>
        <w:pStyle w:val="3"/>
        <w:spacing w:line="360" w:lineRule="auto"/>
      </w:pPr>
      <w:r>
        <w:rPr>
          <w:rFonts w:hint="eastAsia"/>
        </w:rPr>
        <w:t>1.</w:t>
      </w:r>
      <w:r>
        <w:rPr>
          <w:rFonts w:hint="eastAsia"/>
        </w:rPr>
        <w:tab/>
      </w:r>
      <w:r>
        <w:rPr>
          <w:rFonts w:hint="eastAsia"/>
        </w:rPr>
        <w:t>本协议适用于甲乙双方在</w:t>
      </w:r>
      <w:r>
        <w:rPr>
          <w:rFonts w:hint="eastAsia"/>
          <w:u w:val="single"/>
        </w:rPr>
        <w:t xml:space="preserve">                        </w:t>
      </w:r>
      <w:r>
        <w:rPr>
          <w:rFonts w:hint="eastAsia"/>
        </w:rPr>
        <w:t>合作中一方向另一方透漏的保密信息。</w:t>
      </w:r>
    </w:p>
    <w:p>
      <w:pPr>
        <w:pStyle w:val="3"/>
        <w:spacing w:line="360" w:lineRule="auto"/>
        <w:rPr>
          <w:u w:val="single"/>
        </w:rPr>
      </w:pPr>
      <w:r>
        <w:rPr>
          <w:rFonts w:hint="eastAsia"/>
        </w:rPr>
        <w:t>2.</w:t>
      </w:r>
      <w:r>
        <w:rPr>
          <w:rFonts w:hint="eastAsia"/>
        </w:rPr>
        <w:tab/>
      </w:r>
      <w:r>
        <w:rPr>
          <w:rFonts w:hint="eastAsia"/>
        </w:rPr>
        <w:t>本协议中的“保密信息”是指：</w:t>
      </w:r>
      <w:r>
        <w:rPr>
          <w:rFonts w:hint="eastAsia"/>
          <w:u w:val="single"/>
        </w:rPr>
        <w:t xml:space="preserve">                                                  </w:t>
      </w:r>
    </w:p>
    <w:p>
      <w:pPr>
        <w:pStyle w:val="3"/>
        <w:spacing w:line="360" w:lineRule="auto"/>
      </w:pPr>
      <w:r>
        <w:rPr>
          <w:rFonts w:hint="eastAsia"/>
          <w:u w:val="single"/>
        </w:rPr>
        <w:t xml:space="preserve">         </w:t>
      </w:r>
      <w:r>
        <w:rPr>
          <w:rFonts w:hint="eastAsia"/>
        </w:rPr>
        <w:t>协议的一方（“披露方”）以书面、口头或电子的形式提供给另一方（“接受方”）的任何信息或数据，包括但不限于商业秘密、技术诀窍、研究成果、商业计划、客户信息、财务数据、文档模版、编程规范、开发流程、质量标准、双方订立的合同条款以及其它技术和商业信息。披露此类保密信息的方式包括但不限于信函、传真、备忘录、纪要、协议、合同、报告、手册、软件代码、图纸、电子邮件等，或以口头方式披露并以书面方式确认为保密信息。</w:t>
      </w:r>
    </w:p>
    <w:p>
      <w:pPr>
        <w:pStyle w:val="3"/>
        <w:spacing w:line="360" w:lineRule="auto"/>
      </w:pPr>
      <w:r>
        <w:rPr>
          <w:rFonts w:hint="eastAsia"/>
        </w:rPr>
        <w:t>3.</w:t>
      </w:r>
      <w:r>
        <w:rPr>
          <w:rFonts w:hint="eastAsia"/>
        </w:rPr>
        <w:tab/>
      </w:r>
      <w:r>
        <w:rPr>
          <w:rFonts w:hint="eastAsia"/>
        </w:rPr>
        <w:t>本协议中的“保密信息”不包括：</w:t>
      </w:r>
    </w:p>
    <w:p>
      <w:pPr>
        <w:pStyle w:val="3"/>
        <w:spacing w:line="360" w:lineRule="auto"/>
      </w:pPr>
      <w:r>
        <w:rPr>
          <w:rFonts w:hint="eastAsia"/>
        </w:rPr>
        <w:t>（1）</w:t>
      </w:r>
      <w:r>
        <w:rPr>
          <w:rFonts w:hint="eastAsia"/>
        </w:rPr>
        <w:tab/>
      </w:r>
      <w:r>
        <w:rPr>
          <w:rFonts w:hint="eastAsia"/>
        </w:rPr>
        <w:t>任何已出版的或以其它形式处于公共领域的信息，以及在披露时接受方通过其它合法途径已获得的信息。</w:t>
      </w:r>
    </w:p>
    <w:p>
      <w:pPr>
        <w:pStyle w:val="3"/>
        <w:spacing w:line="360" w:lineRule="auto"/>
      </w:pPr>
      <w:r>
        <w:rPr>
          <w:rFonts w:hint="eastAsia"/>
        </w:rPr>
        <w:t>（2）</w:t>
      </w:r>
      <w:r>
        <w:rPr>
          <w:rFonts w:hint="eastAsia"/>
        </w:rPr>
        <w:tab/>
      </w:r>
      <w:r>
        <w:rPr>
          <w:rFonts w:hint="eastAsia"/>
        </w:rPr>
        <w:t>接受方在从披露方获得这些信息前已获得的信息，并且没有附加不准使用和透漏的限制。</w:t>
      </w:r>
    </w:p>
    <w:p>
      <w:pPr>
        <w:pStyle w:val="3"/>
        <w:spacing w:line="360" w:lineRule="auto"/>
      </w:pPr>
      <w:r>
        <w:rPr>
          <w:rFonts w:hint="eastAsia"/>
        </w:rPr>
        <w:t>（3）</w:t>
      </w:r>
      <w:r>
        <w:rPr>
          <w:rFonts w:hint="eastAsia"/>
        </w:rPr>
        <w:tab/>
      </w:r>
      <w:r>
        <w:rPr>
          <w:rFonts w:hint="eastAsia"/>
        </w:rPr>
        <w:t>由第三方在不侵犯他人权利及不违反与他人的保密义务的前提下提供给接受方的信息，并且没有附加不准使用和透漏的限制。</w:t>
      </w:r>
    </w:p>
    <w:p>
      <w:pPr>
        <w:pStyle w:val="3"/>
        <w:spacing w:line="360" w:lineRule="auto"/>
      </w:pPr>
      <w:r>
        <w:rPr>
          <w:rFonts w:hint="eastAsia"/>
        </w:rPr>
        <w:t>（4）</w:t>
      </w:r>
      <w:r>
        <w:rPr>
          <w:rFonts w:hint="eastAsia"/>
        </w:rPr>
        <w:tab/>
      </w:r>
      <w:r>
        <w:rPr>
          <w:rFonts w:hint="eastAsia"/>
        </w:rPr>
        <w:t>能够证明是由接受方独立开发的信息。</w:t>
      </w:r>
    </w:p>
    <w:p>
      <w:pPr>
        <w:pStyle w:val="3"/>
        <w:spacing w:line="360" w:lineRule="auto"/>
      </w:pPr>
      <w:r>
        <w:rPr>
          <w:rFonts w:hint="eastAsia"/>
        </w:rPr>
        <w:t>（5）</w:t>
      </w:r>
      <w:r>
        <w:rPr>
          <w:rFonts w:hint="eastAsia"/>
        </w:rPr>
        <w:tab/>
      </w:r>
      <w:r>
        <w:rPr>
          <w:rFonts w:hint="eastAsia"/>
        </w:rPr>
        <w:t>事先有披露方的书面允许。</w:t>
      </w:r>
    </w:p>
    <w:p>
      <w:pPr>
        <w:pStyle w:val="3"/>
        <w:spacing w:line="360" w:lineRule="auto"/>
      </w:pPr>
      <w:r>
        <w:rPr>
          <w:rFonts w:hint="eastAsia"/>
        </w:rPr>
        <w:t>4.</w:t>
      </w:r>
      <w:r>
        <w:rPr>
          <w:rFonts w:hint="eastAsia"/>
        </w:rPr>
        <w:tab/>
      </w:r>
      <w:r>
        <w:rPr>
          <w:rFonts w:hint="eastAsia"/>
        </w:rPr>
        <w:t>接受方同意只在本合作的目的范围内使用对方的保密信息。</w:t>
      </w:r>
    </w:p>
    <w:p>
      <w:pPr>
        <w:pStyle w:val="3"/>
        <w:spacing w:line="360" w:lineRule="auto"/>
      </w:pPr>
      <w:r>
        <w:rPr>
          <w:rFonts w:hint="eastAsia"/>
        </w:rPr>
        <w:t>接受方：</w:t>
      </w:r>
    </w:p>
    <w:p>
      <w:pPr>
        <w:pStyle w:val="3"/>
        <w:spacing w:line="360" w:lineRule="auto"/>
      </w:pPr>
      <w:r>
        <w:rPr>
          <w:rFonts w:hint="eastAsia"/>
        </w:rPr>
        <w:t>（1）</w:t>
      </w:r>
      <w:r>
        <w:rPr>
          <w:rFonts w:hint="eastAsia"/>
        </w:rPr>
        <w:tab/>
      </w:r>
      <w:r>
        <w:rPr>
          <w:rFonts w:hint="eastAsia"/>
        </w:rPr>
        <w:t xml:space="preserve"> 应采取足够的措施，保护披露方的保密信息，不将对方的保密信息向任何第三方公开、转让、许可，也不以其它方式让无权接触该信息的单位或个人接触该信息。</w:t>
      </w:r>
    </w:p>
    <w:p>
      <w:pPr>
        <w:pStyle w:val="3"/>
        <w:spacing w:line="360" w:lineRule="auto"/>
      </w:pPr>
      <w:r>
        <w:rPr>
          <w:rFonts w:hint="eastAsia"/>
        </w:rPr>
        <w:t>（2）</w:t>
      </w:r>
      <w:r>
        <w:rPr>
          <w:rFonts w:hint="eastAsia"/>
        </w:rPr>
        <w:tab/>
      </w:r>
      <w:r>
        <w:rPr>
          <w:rFonts w:hint="eastAsia"/>
        </w:rPr>
        <w:t xml:space="preserve"> 如为本合作的目的确实需要向第三方披露对方的保密信息，需事先得到对方的书面许可，并与该第三方签定保密协议。</w:t>
      </w:r>
    </w:p>
    <w:p>
      <w:pPr>
        <w:pStyle w:val="3"/>
        <w:spacing w:line="360" w:lineRule="auto"/>
      </w:pPr>
      <w:r>
        <w:rPr>
          <w:rFonts w:hint="eastAsia"/>
        </w:rPr>
        <w:t>（3）</w:t>
      </w:r>
      <w:r>
        <w:rPr>
          <w:rFonts w:hint="eastAsia"/>
        </w:rPr>
        <w:tab/>
      </w:r>
      <w:r>
        <w:rPr>
          <w:rFonts w:hint="eastAsia"/>
        </w:rPr>
        <w:t xml:space="preserve"> 接受方只能在因工作需要必须使用的情况下提供给可靠的员工，并应事先与员工签署与本协议充分相似的保密协议，提供程度仅限于可执行一定的商业目的。接受方保证这些雇员应遵守本协议中约定的义务。不在无披露方许可的前提下向第三方（包括顾问）透漏这些秘密信息。应约束其接触本保密信息的员工遵守保密义务。</w:t>
      </w:r>
    </w:p>
    <w:p>
      <w:pPr>
        <w:pStyle w:val="3"/>
        <w:spacing w:line="360" w:lineRule="auto"/>
      </w:pPr>
      <w:r>
        <w:rPr>
          <w:rFonts w:hint="eastAsia"/>
        </w:rPr>
        <w:t>（4）</w:t>
      </w:r>
      <w:r>
        <w:rPr>
          <w:rFonts w:hint="eastAsia"/>
        </w:rPr>
        <w:tab/>
      </w:r>
      <w:r>
        <w:rPr>
          <w:rFonts w:hint="eastAsia"/>
        </w:rPr>
        <w:t xml:space="preserve"> 如果双方经探讨后未建立合作关系，则接受方不能使用披露方的保密信息。</w:t>
      </w:r>
    </w:p>
    <w:p>
      <w:pPr>
        <w:pStyle w:val="3"/>
        <w:spacing w:line="360" w:lineRule="auto"/>
      </w:pPr>
      <w:r>
        <w:rPr>
          <w:rFonts w:hint="eastAsia"/>
        </w:rPr>
        <w:t>（5）</w:t>
      </w:r>
      <w:r>
        <w:rPr>
          <w:rFonts w:hint="eastAsia"/>
        </w:rPr>
        <w:tab/>
      </w:r>
      <w:r>
        <w:rPr>
          <w:rFonts w:hint="eastAsia"/>
        </w:rPr>
        <w:t xml:space="preserve"> 如合作关系未建立或终止，接受方应按照披露方的要求将保密信息及其载体返还给披露方。</w:t>
      </w:r>
    </w:p>
    <w:p>
      <w:pPr>
        <w:pStyle w:val="3"/>
        <w:spacing w:line="360" w:lineRule="auto"/>
      </w:pPr>
      <w:r>
        <w:rPr>
          <w:rFonts w:hint="eastAsia"/>
        </w:rPr>
        <w:t>5.</w:t>
      </w:r>
      <w:r>
        <w:rPr>
          <w:rFonts w:hint="eastAsia"/>
        </w:rPr>
        <w:tab/>
      </w:r>
      <w:r>
        <w:rPr>
          <w:rFonts w:hint="eastAsia"/>
        </w:rPr>
        <w:t>如果接受方根据法律程序或行政要求必须披露保密信息，接受方应事先书面通知披露方一并说明披露的依据，接收方应协助披露方采取必要的保护措施，防止或限制保密信息的进一步扩散。</w:t>
      </w:r>
    </w:p>
    <w:p>
      <w:pPr>
        <w:pStyle w:val="3"/>
        <w:spacing w:line="360" w:lineRule="auto"/>
      </w:pPr>
      <w:r>
        <w:rPr>
          <w:rFonts w:hint="eastAsia"/>
        </w:rPr>
        <w:t>6.</w:t>
      </w:r>
      <w:r>
        <w:rPr>
          <w:rFonts w:hint="eastAsia"/>
        </w:rPr>
        <w:tab/>
      </w:r>
      <w:r>
        <w:rPr>
          <w:rFonts w:hint="eastAsia"/>
        </w:rPr>
        <w:t>双方确认，本协议任何条款不构成对保密信息的转让或许可，接受方也不能在本协议目的之外使用本保密信息。</w:t>
      </w:r>
    </w:p>
    <w:p>
      <w:pPr>
        <w:pStyle w:val="3"/>
        <w:spacing w:line="360" w:lineRule="auto"/>
      </w:pPr>
      <w:r>
        <w:rPr>
          <w:rFonts w:hint="eastAsia"/>
        </w:rPr>
        <w:t>7.</w:t>
      </w:r>
      <w:r>
        <w:rPr>
          <w:rFonts w:hint="eastAsia"/>
        </w:rPr>
        <w:tab/>
      </w:r>
      <w:r>
        <w:rPr>
          <w:rFonts w:hint="eastAsia"/>
        </w:rPr>
        <w:t>双方确认本协议下保密信息的所有权归披露方所有。但保密信息属于第三方的专利权、商标权版权或其它权利的除外。</w:t>
      </w:r>
    </w:p>
    <w:p>
      <w:pPr>
        <w:pStyle w:val="3"/>
        <w:spacing w:line="360" w:lineRule="auto"/>
      </w:pPr>
      <w:r>
        <w:rPr>
          <w:rFonts w:hint="eastAsia"/>
        </w:rPr>
        <w:t>8.</w:t>
      </w:r>
      <w:r>
        <w:rPr>
          <w:rFonts w:hint="eastAsia"/>
        </w:rPr>
        <w:tab/>
      </w:r>
      <w:r>
        <w:rPr>
          <w:rFonts w:hint="eastAsia"/>
        </w:rPr>
        <w:t>本协议自双方有权人签字盖章之日起生效。本协议中约定的保密义务自披露方向接受方透漏保密信息之日起长期有效。</w:t>
      </w:r>
    </w:p>
    <w:p>
      <w:pPr>
        <w:pStyle w:val="3"/>
        <w:spacing w:line="360" w:lineRule="auto"/>
      </w:pPr>
      <w:r>
        <w:rPr>
          <w:rFonts w:hint="eastAsia"/>
        </w:rPr>
        <w:t>9.</w:t>
      </w:r>
      <w:r>
        <w:rPr>
          <w:rFonts w:hint="eastAsia"/>
        </w:rPr>
        <w:tab/>
      </w:r>
      <w:r>
        <w:rPr>
          <w:rFonts w:hint="eastAsia"/>
        </w:rPr>
        <w:t>本协议包含双方关于此事项的全部约定。双方在此之前达成的任何口头或书面的协议或约定，如果与本协议冲突，则以本协议内容为准。本协议的任何修改须以书面方式作出并经双方有权人签字才能生效。</w:t>
      </w:r>
    </w:p>
    <w:p>
      <w:pPr>
        <w:pStyle w:val="3"/>
        <w:spacing w:line="360" w:lineRule="auto"/>
      </w:pPr>
      <w:r>
        <w:rPr>
          <w:rFonts w:hint="eastAsia"/>
        </w:rPr>
        <w:t>10.</w:t>
      </w:r>
      <w:r>
        <w:rPr>
          <w:rFonts w:hint="eastAsia"/>
        </w:rPr>
        <w:tab/>
      </w:r>
      <w:r>
        <w:rPr>
          <w:rFonts w:hint="eastAsia"/>
        </w:rPr>
        <w:t>一方未行使、迟延行使或部分行使其权利，并不意味该权利被放弃；某一权利不行使并不意味着其它权利被放弃。如果本协议任何条款经法院判决或经仲裁机构裁决无效，其它条款继续有效。</w:t>
      </w:r>
    </w:p>
    <w:p>
      <w:pPr>
        <w:pStyle w:val="3"/>
        <w:spacing w:line="360" w:lineRule="auto"/>
      </w:pPr>
      <w:r>
        <w:rPr>
          <w:rFonts w:hint="eastAsia"/>
        </w:rPr>
        <w:t>11.</w:t>
      </w:r>
      <w:r>
        <w:rPr>
          <w:rFonts w:hint="eastAsia"/>
        </w:rPr>
        <w:tab/>
      </w:r>
      <w:r>
        <w:rPr>
          <w:rFonts w:hint="eastAsia"/>
        </w:rPr>
        <w:t>如果一方违反本协议，另一方有权要求赔偿经济损失，并可采取其它必要的补救措施。</w:t>
      </w:r>
    </w:p>
    <w:p>
      <w:pPr>
        <w:pStyle w:val="3"/>
        <w:spacing w:line="360" w:lineRule="auto"/>
      </w:pPr>
      <w:r>
        <w:rPr>
          <w:rFonts w:hint="eastAsia"/>
        </w:rPr>
        <w:t>12.</w:t>
      </w:r>
      <w:r>
        <w:rPr>
          <w:rFonts w:hint="eastAsia"/>
        </w:rPr>
        <w:tab/>
      </w:r>
      <w:r>
        <w:rPr>
          <w:rFonts w:hint="eastAsia"/>
        </w:rPr>
        <w:t>与本协议有关的任何纠纷或争议应通过友好协商解决。如不能协商解决，任何一方可提交仲裁委员会进行仲裁，仲裁决定是终局的，对双方均有约束力。本协议受中华人民共和国法律管辖。</w:t>
      </w:r>
    </w:p>
    <w:p>
      <w:pPr>
        <w:pStyle w:val="3"/>
        <w:spacing w:line="360" w:lineRule="auto"/>
      </w:pPr>
      <w:r>
        <w:rPr>
          <w:rFonts w:hint="eastAsia"/>
        </w:rPr>
        <w:t>13.</w:t>
      </w:r>
      <w:r>
        <w:rPr>
          <w:rFonts w:hint="eastAsia"/>
        </w:rPr>
        <w:tab/>
      </w:r>
      <w:r>
        <w:rPr>
          <w:rFonts w:hint="eastAsia"/>
        </w:rPr>
        <w:t>本协议一式 肆 份，双方各执贰份，具有同等法律效力。</w:t>
      </w:r>
    </w:p>
    <w:p>
      <w:pPr>
        <w:pStyle w:val="3"/>
        <w:spacing w:line="360" w:lineRule="auto"/>
      </w:pPr>
      <w:r>
        <w:rPr>
          <w:rFonts w:hint="eastAsia"/>
        </w:rPr>
        <w:t>（以下无内容）</w:t>
      </w:r>
    </w:p>
    <w:p>
      <w:pPr>
        <w:pStyle w:val="3"/>
        <w:spacing w:line="360" w:lineRule="auto"/>
      </w:pPr>
    </w:p>
    <w:p>
      <w:pPr>
        <w:pStyle w:val="3"/>
        <w:spacing w:line="360" w:lineRule="auto"/>
      </w:pPr>
    </w:p>
    <w:p>
      <w:pPr>
        <w:pStyle w:val="3"/>
        <w:spacing w:line="360" w:lineRule="auto"/>
      </w:pPr>
      <w:r>
        <w:rPr>
          <w:rFonts w:hint="eastAsia"/>
        </w:rPr>
        <w:t xml:space="preserve">甲方（公章）：                              </w:t>
      </w:r>
    </w:p>
    <w:p>
      <w:pPr>
        <w:pStyle w:val="3"/>
        <w:spacing w:line="360" w:lineRule="auto"/>
      </w:pPr>
    </w:p>
    <w:p>
      <w:pPr>
        <w:pStyle w:val="3"/>
        <w:spacing w:line="360" w:lineRule="auto"/>
      </w:pPr>
      <w:r>
        <w:rPr>
          <w:rFonts w:hint="eastAsia"/>
        </w:rPr>
        <w:t>法定代表人（授权委托人）（签字）：</w:t>
      </w:r>
    </w:p>
    <w:p>
      <w:pPr>
        <w:pStyle w:val="3"/>
        <w:spacing w:line="360" w:lineRule="auto"/>
      </w:pPr>
      <w:r>
        <w:rPr>
          <w:rFonts w:hint="eastAsia"/>
        </w:rPr>
        <w:t>日期：</w:t>
      </w:r>
    </w:p>
    <w:p>
      <w:pPr>
        <w:pStyle w:val="3"/>
        <w:spacing w:line="360" w:lineRule="auto"/>
      </w:pPr>
    </w:p>
    <w:p>
      <w:pPr>
        <w:pStyle w:val="3"/>
        <w:spacing w:line="360" w:lineRule="auto"/>
      </w:pPr>
      <w:r>
        <w:rPr>
          <w:rFonts w:hint="eastAsia"/>
        </w:rPr>
        <w:t xml:space="preserve">乙方（公章）：                              </w:t>
      </w:r>
    </w:p>
    <w:p>
      <w:pPr>
        <w:pStyle w:val="3"/>
        <w:spacing w:line="360" w:lineRule="auto"/>
      </w:pPr>
    </w:p>
    <w:p>
      <w:pPr>
        <w:pStyle w:val="3"/>
        <w:spacing w:line="360" w:lineRule="auto"/>
      </w:pPr>
      <w:r>
        <w:rPr>
          <w:rFonts w:hint="eastAsia"/>
        </w:rPr>
        <w:t>法定代表人（授权委托人）（签字）：</w:t>
      </w:r>
    </w:p>
    <w:p>
      <w:pPr>
        <w:pStyle w:val="3"/>
        <w:spacing w:line="360" w:lineRule="auto"/>
        <w:ind w:firstLine="420" w:firstLineChars="200"/>
      </w:pPr>
      <w:r>
        <w:rPr>
          <w:rFonts w:hint="eastAsia"/>
        </w:rPr>
        <w:t>日期：</w:t>
      </w:r>
    </w:p>
    <w:p>
      <w:pPr>
        <w:pStyle w:val="3"/>
        <w:spacing w:line="360" w:lineRule="auto"/>
      </w:pPr>
      <w:r>
        <w:t> </w:t>
      </w:r>
    </w:p>
    <w:p>
      <w:pPr>
        <w:pStyle w:val="4"/>
        <w:numPr>
          <w:ilvl w:val="0"/>
          <w:numId w:val="0"/>
        </w:numPr>
        <w:ind w:left="854"/>
      </w:pPr>
      <w:r>
        <w:rPr>
          <w:rFonts w:hint="eastAsia" w:ascii="宋体" w:hAnsi="宋体" w:cs="宋体"/>
          <w:sz w:val="21"/>
          <w:szCs w:val="21"/>
        </w:rPr>
        <w:br w:type="page"/>
      </w:r>
      <w:bookmarkStart w:id="22" w:name="_Toc119527905"/>
      <w:r>
        <w:rPr>
          <w:rFonts w:hint="eastAsia"/>
        </w:rPr>
        <w:t>第六章  参评文件格式</w:t>
      </w:r>
      <w:bookmarkEnd w:id="22"/>
    </w:p>
    <w:p>
      <w:pPr>
        <w:widowControl/>
        <w:spacing w:line="360" w:lineRule="auto"/>
        <w:jc w:val="left"/>
        <w:rPr>
          <w:rFonts w:ascii="宋体" w:hAnsi="宋体"/>
          <w:b/>
          <w:sz w:val="28"/>
          <w:szCs w:val="28"/>
        </w:rPr>
      </w:pPr>
      <w:bookmarkStart w:id="23" w:name="_Toc388351003"/>
      <w:bookmarkStart w:id="24" w:name="_Toc368513821"/>
      <w:bookmarkStart w:id="25" w:name="_Toc323374313"/>
      <w:bookmarkStart w:id="26" w:name="_Toc42951053"/>
    </w:p>
    <w:p>
      <w:pPr>
        <w:jc w:val="center"/>
        <w:rPr>
          <w:rFonts w:ascii="黑体" w:eastAsia="黑体"/>
          <w:sz w:val="57"/>
        </w:rPr>
      </w:pPr>
      <w:r>
        <w:br w:type="page"/>
      </w:r>
    </w:p>
    <w:p>
      <w:pPr>
        <w:jc w:val="center"/>
        <w:rPr>
          <w:rFonts w:ascii="黑体" w:eastAsia="黑体"/>
          <w:sz w:val="80"/>
          <w:szCs w:val="80"/>
        </w:rPr>
      </w:pPr>
    </w:p>
    <w:p>
      <w:pPr>
        <w:jc w:val="center"/>
        <w:rPr>
          <w:rFonts w:ascii="黑体" w:eastAsia="黑体"/>
          <w:sz w:val="57"/>
        </w:rPr>
      </w:pPr>
    </w:p>
    <w:p>
      <w:pPr>
        <w:jc w:val="center"/>
        <w:rPr>
          <w:rFonts w:ascii="黑体" w:eastAsia="黑体"/>
          <w:sz w:val="80"/>
          <w:szCs w:val="80"/>
        </w:rPr>
      </w:pPr>
      <w:r>
        <w:rPr>
          <w:rFonts w:hint="eastAsia" w:ascii="黑体" w:eastAsia="黑体"/>
          <w:sz w:val="80"/>
          <w:szCs w:val="80"/>
        </w:rPr>
        <w:t>参评文件</w:t>
      </w:r>
    </w:p>
    <w:p>
      <w:pPr>
        <w:jc w:val="center"/>
        <w:outlineLvl w:val="0"/>
        <w:rPr>
          <w:rFonts w:ascii="黑体" w:eastAsia="黑体"/>
          <w:sz w:val="60"/>
          <w:szCs w:val="60"/>
        </w:rPr>
      </w:pPr>
    </w:p>
    <w:p>
      <w:pPr>
        <w:jc w:val="center"/>
        <w:rPr>
          <w:sz w:val="47"/>
        </w:rPr>
      </w:pPr>
    </w:p>
    <w:p>
      <w:pPr>
        <w:jc w:val="center"/>
        <w:rPr>
          <w:sz w:val="50"/>
          <w:szCs w:val="50"/>
        </w:rPr>
      </w:pPr>
      <w:r>
        <w:rPr>
          <w:rFonts w:hint="eastAsia"/>
          <w:sz w:val="50"/>
          <w:szCs w:val="50"/>
        </w:rPr>
        <w:t>（正本/副本）</w:t>
      </w:r>
    </w:p>
    <w:p/>
    <w:p/>
    <w:p/>
    <w:p>
      <w:pPr>
        <w:adjustRightInd w:val="0"/>
        <w:snapToGrid w:val="0"/>
        <w:spacing w:line="360" w:lineRule="auto"/>
        <w:rPr>
          <w:sz w:val="28"/>
          <w:szCs w:val="28"/>
        </w:rPr>
      </w:pPr>
    </w:p>
    <w:p>
      <w:pPr>
        <w:adjustRightInd w:val="0"/>
        <w:snapToGrid w:val="0"/>
        <w:spacing w:line="360" w:lineRule="auto"/>
        <w:rPr>
          <w:sz w:val="28"/>
          <w:szCs w:val="28"/>
        </w:rPr>
      </w:pPr>
    </w:p>
    <w:p>
      <w:pPr>
        <w:adjustRightInd w:val="0"/>
        <w:snapToGrid w:val="0"/>
        <w:spacing w:line="360" w:lineRule="auto"/>
        <w:rPr>
          <w:sz w:val="28"/>
          <w:szCs w:val="28"/>
        </w:rPr>
      </w:pPr>
      <w:r>
        <w:rPr>
          <w:rFonts w:hint="eastAsia"/>
          <w:sz w:val="28"/>
          <w:szCs w:val="28"/>
        </w:rPr>
        <w:t>项目名称：</w:t>
      </w:r>
      <w:r>
        <w:rPr>
          <w:sz w:val="28"/>
          <w:szCs w:val="28"/>
        </w:rPr>
        <w:t>广东省消防救援总队信息安全等级保护测评服务（2022年）</w:t>
      </w:r>
      <w:r>
        <w:rPr>
          <w:rFonts w:hint="eastAsia"/>
          <w:sz w:val="28"/>
          <w:szCs w:val="28"/>
        </w:rPr>
        <w:t>。</w:t>
      </w:r>
    </w:p>
    <w:p>
      <w:pPr>
        <w:adjustRightInd w:val="0"/>
        <w:snapToGrid w:val="0"/>
        <w:spacing w:line="360" w:lineRule="auto"/>
        <w:rPr>
          <w:sz w:val="28"/>
          <w:szCs w:val="28"/>
        </w:rPr>
      </w:pPr>
      <w:r>
        <w:rPr>
          <w:rFonts w:hint="eastAsia"/>
          <w:sz w:val="28"/>
          <w:szCs w:val="28"/>
        </w:rPr>
        <w:t>项目编号：ZDXXH2022001</w:t>
      </w:r>
    </w:p>
    <w:p>
      <w:pPr>
        <w:adjustRightInd w:val="0"/>
        <w:snapToGrid w:val="0"/>
        <w:spacing w:line="360" w:lineRule="auto"/>
        <w:rPr>
          <w:sz w:val="28"/>
          <w:szCs w:val="28"/>
        </w:rPr>
      </w:pPr>
    </w:p>
    <w:p>
      <w:pPr>
        <w:adjustRightInd w:val="0"/>
        <w:snapToGrid w:val="0"/>
        <w:spacing w:line="360" w:lineRule="auto"/>
        <w:rPr>
          <w:sz w:val="28"/>
          <w:szCs w:val="28"/>
        </w:rPr>
      </w:pPr>
    </w:p>
    <w:p>
      <w:pPr>
        <w:adjustRightInd w:val="0"/>
        <w:snapToGrid w:val="0"/>
        <w:spacing w:line="360" w:lineRule="auto"/>
        <w:rPr>
          <w:sz w:val="28"/>
          <w:szCs w:val="28"/>
        </w:rPr>
      </w:pPr>
      <w:r>
        <w:rPr>
          <w:rFonts w:hint="eastAsia"/>
          <w:sz w:val="28"/>
          <w:szCs w:val="28"/>
        </w:rPr>
        <w:t xml:space="preserve">参评人名称（盖章）：                </w:t>
      </w:r>
    </w:p>
    <w:p>
      <w:pPr>
        <w:adjustRightInd w:val="0"/>
        <w:snapToGrid w:val="0"/>
        <w:spacing w:line="360" w:lineRule="auto"/>
        <w:rPr>
          <w:sz w:val="28"/>
          <w:szCs w:val="28"/>
        </w:rPr>
      </w:pPr>
      <w:r>
        <w:rPr>
          <w:rFonts w:hint="eastAsia"/>
          <w:sz w:val="28"/>
          <w:szCs w:val="28"/>
        </w:rPr>
        <w:t>日期：     年      月     日</w:t>
      </w:r>
    </w:p>
    <w:p>
      <w:pPr>
        <w:adjustRightInd w:val="0"/>
        <w:snapToGrid w:val="0"/>
        <w:spacing w:line="360" w:lineRule="auto"/>
        <w:rPr>
          <w:sz w:val="28"/>
          <w:szCs w:val="28"/>
        </w:rPr>
      </w:pPr>
    </w:p>
    <w:p>
      <w:pPr>
        <w:pStyle w:val="7"/>
        <w:rPr>
          <w:b/>
          <w:sz w:val="28"/>
          <w:szCs w:val="28"/>
        </w:rPr>
      </w:pPr>
      <w:r>
        <w:br w:type="page"/>
      </w:r>
      <w:r>
        <w:rPr>
          <w:rFonts w:hint="eastAsia"/>
          <w:b/>
          <w:sz w:val="28"/>
          <w:szCs w:val="28"/>
        </w:rPr>
        <w:t>一、资格声明函</w:t>
      </w:r>
    </w:p>
    <w:p>
      <w:pPr>
        <w:rPr>
          <w:b/>
          <w:szCs w:val="21"/>
        </w:rPr>
      </w:pPr>
    </w:p>
    <w:p>
      <w:pPr>
        <w:jc w:val="center"/>
        <w:rPr>
          <w:b/>
          <w:sz w:val="52"/>
          <w:szCs w:val="52"/>
        </w:rPr>
      </w:pPr>
      <w:r>
        <w:rPr>
          <w:rFonts w:hint="eastAsia"/>
          <w:b/>
          <w:sz w:val="52"/>
          <w:szCs w:val="52"/>
        </w:rPr>
        <w:t>资格声明函</w:t>
      </w:r>
    </w:p>
    <w:p>
      <w:pPr>
        <w:rPr>
          <w:b/>
          <w:szCs w:val="21"/>
        </w:rPr>
      </w:pPr>
      <w:r>
        <w:rPr>
          <w:rFonts w:hint="eastAsia"/>
          <w:b/>
          <w:szCs w:val="21"/>
        </w:rPr>
        <w:t>广东省消防救援总队：</w:t>
      </w:r>
    </w:p>
    <w:p>
      <w:pPr>
        <w:spacing w:line="360" w:lineRule="auto"/>
        <w:ind w:firstLine="420" w:firstLineChars="200"/>
        <w:rPr>
          <w:rFonts w:ascii="宋体" w:hAnsi="宋体"/>
          <w:bCs/>
          <w:szCs w:val="21"/>
        </w:rPr>
      </w:pPr>
      <w:r>
        <w:rPr>
          <w:rFonts w:hint="eastAsia" w:ascii="宋体" w:hAnsi="宋体"/>
          <w:szCs w:val="21"/>
        </w:rPr>
        <w:t>关于贵单位的</w:t>
      </w:r>
      <w:r>
        <w:rPr>
          <w:rFonts w:ascii="宋体"/>
          <w:szCs w:val="22"/>
          <w:u w:val="single"/>
        </w:rPr>
        <w:t>广东省消防救援总队信息安全等级保护测评服务（2022年）</w:t>
      </w:r>
      <w:r>
        <w:rPr>
          <w:rFonts w:hint="eastAsia" w:ascii="宋体" w:hAnsi="宋体"/>
          <w:szCs w:val="21"/>
        </w:rPr>
        <w:t>（项目编号：ZDXXH2022001）的遴选公告，本单位（企业）自愿参加评审，</w:t>
      </w:r>
      <w:r>
        <w:rPr>
          <w:rFonts w:hint="eastAsia" w:ascii="宋体" w:hAnsi="宋体"/>
          <w:bCs/>
          <w:szCs w:val="21"/>
        </w:rPr>
        <w:t>现承诺如下：</w:t>
      </w:r>
    </w:p>
    <w:p>
      <w:pPr>
        <w:snapToGrid w:val="0"/>
        <w:spacing w:before="156" w:beforeLines="50" w:line="360" w:lineRule="auto"/>
        <w:ind w:firstLine="525" w:firstLineChars="250"/>
        <w:rPr>
          <w:rFonts w:ascii="宋体" w:hAnsi="宋体"/>
          <w:szCs w:val="21"/>
        </w:rPr>
      </w:pPr>
      <w:r>
        <w:rPr>
          <w:rFonts w:hint="eastAsia" w:ascii="宋体" w:hAnsi="宋体" w:cs="宋体"/>
          <w:szCs w:val="21"/>
        </w:rPr>
        <w:t>我单位是具备独立承担民事责任能力的法人或提供了具有法人资格的总公司的授权书的分支机构</w:t>
      </w:r>
      <w:r>
        <w:rPr>
          <w:rFonts w:hint="eastAsia" w:ascii="宋体" w:hAnsi="宋体"/>
          <w:szCs w:val="21"/>
        </w:rPr>
        <w:t>。</w:t>
      </w:r>
    </w:p>
    <w:p>
      <w:pPr>
        <w:snapToGrid w:val="0"/>
        <w:spacing w:line="360" w:lineRule="auto"/>
        <w:ind w:firstLine="424" w:firstLineChars="202"/>
        <w:rPr>
          <w:rFonts w:ascii="宋体" w:hAnsi="宋体"/>
          <w:szCs w:val="21"/>
        </w:rPr>
      </w:pPr>
      <w:r>
        <w:rPr>
          <w:rFonts w:hint="eastAsia" w:ascii="宋体" w:hAnsi="宋体"/>
          <w:szCs w:val="21"/>
        </w:rPr>
        <w:t>本单位的法定代表人或单位负责人与所参投的本采购项目的其他供应商的法定代表人或单位负责人不为同一人且与其他供应商之间不存在直接控股、管理关系。</w:t>
      </w:r>
    </w:p>
    <w:p>
      <w:pPr>
        <w:snapToGrid w:val="0"/>
        <w:spacing w:line="360" w:lineRule="auto"/>
        <w:ind w:firstLine="424" w:firstLineChars="202"/>
        <w:rPr>
          <w:rFonts w:ascii="宋体" w:hAnsi="宋体"/>
          <w:szCs w:val="21"/>
        </w:rPr>
      </w:pPr>
      <w:r>
        <w:rPr>
          <w:rFonts w:hint="eastAsia" w:ascii="宋体" w:hAnsi="宋体"/>
          <w:szCs w:val="21"/>
        </w:rPr>
        <w:t>根据遴选文件的规定，本单位清楚：如为本采购项目提供整体设计、规范编制或者项目管理、监理、检测等服务的供应商，不得再参加该采购项目的其他采购活动。否则，由此所造成的损失、不良后果及法律责任，一律由我单位承担。</w:t>
      </w:r>
    </w:p>
    <w:p>
      <w:pPr>
        <w:snapToGrid w:val="0"/>
        <w:spacing w:line="360" w:lineRule="auto"/>
        <w:ind w:firstLine="424" w:firstLineChars="202"/>
        <w:rPr>
          <w:rFonts w:ascii="宋体" w:hAnsi="宋体"/>
          <w:szCs w:val="21"/>
        </w:rPr>
      </w:pPr>
      <w:r>
        <w:rPr>
          <w:rFonts w:hint="eastAsia" w:ascii="宋体" w:hAnsi="宋体"/>
          <w:szCs w:val="21"/>
        </w:rPr>
        <w:t>本单位</w:t>
      </w:r>
      <w:r>
        <w:rPr>
          <w:rFonts w:ascii="宋体" w:hAnsi="宋体"/>
          <w:szCs w:val="21"/>
        </w:rPr>
        <w:t>具有履行合同所必需的设备和专业技术能力</w:t>
      </w:r>
      <w:r>
        <w:rPr>
          <w:rFonts w:hint="eastAsia" w:ascii="宋体" w:hAnsi="宋体"/>
          <w:szCs w:val="21"/>
        </w:rPr>
        <w:t>，且参加采购活动前</w:t>
      </w:r>
      <w:r>
        <w:rPr>
          <w:rFonts w:ascii="宋体" w:hAnsi="宋体"/>
          <w:szCs w:val="21"/>
        </w:rPr>
        <w:t>3</w:t>
      </w:r>
      <w:r>
        <w:rPr>
          <w:rFonts w:hint="eastAsia" w:ascii="宋体" w:hAnsi="宋体"/>
          <w:szCs w:val="21"/>
        </w:rPr>
        <w:t>年内在经营活动中没有重大违法记录。否则，由此所造成的损失、不良后果及法律责任，一律由我单位承担。</w:t>
      </w:r>
    </w:p>
    <w:p>
      <w:pPr>
        <w:spacing w:line="360" w:lineRule="auto"/>
        <w:ind w:firstLine="420"/>
        <w:rPr>
          <w:rFonts w:ascii="宋体" w:hAnsi="宋体"/>
          <w:szCs w:val="21"/>
        </w:rPr>
      </w:pPr>
      <w:r>
        <w:rPr>
          <w:rFonts w:hint="eastAsia" w:ascii="宋体" w:hAnsi="宋体"/>
          <w:szCs w:val="21"/>
        </w:rPr>
        <w:t>本单位为非联合体参评。</w:t>
      </w:r>
    </w:p>
    <w:p>
      <w:pPr>
        <w:spacing w:line="360" w:lineRule="auto"/>
        <w:ind w:firstLine="420"/>
      </w:pPr>
      <w:r>
        <w:rPr>
          <w:rFonts w:hint="eastAsia" w:ascii="宋体" w:hAnsi="宋体"/>
          <w:szCs w:val="21"/>
        </w:rPr>
        <w:t>本次采购活动中，如有违法、违规、弄虚作假行为，所造成的损失、不良后果及法律责任，一律由我单位承担。</w:t>
      </w:r>
    </w:p>
    <w:p>
      <w:pPr>
        <w:spacing w:line="360" w:lineRule="auto"/>
        <w:ind w:firstLine="420"/>
        <w:rPr>
          <w:szCs w:val="21"/>
        </w:rPr>
      </w:pPr>
    </w:p>
    <w:p>
      <w:pPr>
        <w:spacing w:line="360" w:lineRule="auto"/>
        <w:ind w:left="748" w:hanging="567"/>
        <w:rPr>
          <w:rFonts w:ascii="宋体" w:hAnsi="宋体"/>
          <w:szCs w:val="21"/>
        </w:rPr>
      </w:pPr>
      <w:r>
        <w:rPr>
          <w:rFonts w:hint="eastAsia" w:ascii="宋体" w:hAnsi="宋体"/>
          <w:szCs w:val="21"/>
        </w:rPr>
        <w:t>参评人名称（并加盖公章）：</w:t>
      </w:r>
    </w:p>
    <w:p>
      <w:pPr>
        <w:spacing w:line="360" w:lineRule="auto"/>
        <w:ind w:left="748" w:hanging="567"/>
        <w:rPr>
          <w:rFonts w:ascii="宋体" w:hAnsi="宋体"/>
          <w:szCs w:val="21"/>
        </w:rPr>
      </w:pPr>
      <w:r>
        <w:rPr>
          <w:rFonts w:hint="eastAsia" w:ascii="宋体" w:hAnsi="宋体" w:cs="Arial"/>
          <w:szCs w:val="21"/>
        </w:rPr>
        <w:t>参评人法定代表人或其委托人</w:t>
      </w:r>
      <w:r>
        <w:rPr>
          <w:rFonts w:hint="eastAsia" w:ascii="宋体" w:hAnsi="宋体"/>
          <w:szCs w:val="21"/>
        </w:rPr>
        <w:t>签名或印鉴</w:t>
      </w:r>
      <w:r>
        <w:rPr>
          <w:rFonts w:hint="eastAsia" w:ascii="宋体" w:hAnsi="宋体" w:cs="Arial"/>
          <w:szCs w:val="21"/>
        </w:rPr>
        <w:t>：</w:t>
      </w:r>
    </w:p>
    <w:p>
      <w:pPr>
        <w:spacing w:line="360" w:lineRule="auto"/>
        <w:ind w:left="748" w:hanging="567"/>
        <w:rPr>
          <w:rFonts w:ascii="宋体" w:hAnsi="宋体"/>
          <w:szCs w:val="21"/>
        </w:rPr>
      </w:pPr>
      <w:r>
        <w:rPr>
          <w:rFonts w:hint="eastAsia" w:ascii="宋体" w:hAnsi="宋体"/>
          <w:szCs w:val="21"/>
        </w:rPr>
        <w:t>日期：   年   月   日</w:t>
      </w:r>
    </w:p>
    <w:p>
      <w:pPr>
        <w:spacing w:line="360" w:lineRule="auto"/>
        <w:rPr>
          <w:rFonts w:ascii="宋体" w:hAnsi="宋体"/>
          <w:b/>
          <w:bCs/>
          <w:szCs w:val="21"/>
        </w:rPr>
      </w:pPr>
      <w:r>
        <w:rPr>
          <w:rFonts w:hint="eastAsia" w:ascii="宋体" w:hAnsi="宋体"/>
          <w:szCs w:val="21"/>
        </w:rPr>
        <w:br w:type="page"/>
      </w:r>
      <w:r>
        <w:rPr>
          <w:rFonts w:hint="eastAsia" w:ascii="宋体" w:hAnsi="宋体"/>
          <w:b/>
          <w:bCs/>
          <w:szCs w:val="21"/>
        </w:rPr>
        <w:t>附件1：</w:t>
      </w:r>
    </w:p>
    <w:p>
      <w:pPr>
        <w:spacing w:line="360" w:lineRule="auto"/>
        <w:rPr>
          <w:rFonts w:ascii="宋体" w:hAnsi="宋体" w:cs="宋体"/>
          <w:szCs w:val="21"/>
        </w:rPr>
      </w:pPr>
      <w:r>
        <w:rPr>
          <w:rFonts w:hint="eastAsia" w:ascii="宋体" w:hAnsi="宋体" w:cs="宋体"/>
          <w:szCs w:val="21"/>
        </w:rPr>
        <w:t>①提供最新的参评人营业执照（或事业单位法人证书，或社会团体法人登记证书，或执业许可证）副本复印件；若以不具有独立承担民事责任能力的分支机构参评，须取得具有法人资格的总公司的授权书，并提供总公司营业执照副本复印件。</w:t>
      </w:r>
    </w:p>
    <w:p>
      <w:pPr>
        <w:spacing w:line="360" w:lineRule="auto"/>
        <w:rPr>
          <w:rFonts w:ascii="宋体" w:hAnsi="宋体" w:cs="宋体"/>
          <w:szCs w:val="21"/>
        </w:rPr>
      </w:pPr>
      <w:r>
        <w:rPr>
          <w:rFonts w:hint="eastAsia" w:cs="宋体"/>
          <w:szCs w:val="21"/>
        </w:rPr>
        <w:t>②供应商未被列入“信用中国”网站(www.creditchina.gov.cn)“失信被执行人或重大税收违法案件当事人名单或政府采购严重违法失信行为”记录名单；没有处于中国政府采购网(www.ccgp.gov.cn)“政府采购严重违法失信行为信息记录”中的禁止参加政府采购活动期间。（以</w:t>
      </w:r>
      <w:r>
        <w:rPr>
          <w:rFonts w:hint="eastAsia" w:ascii="宋体" w:hAnsi="宋体" w:cs="宋体"/>
          <w:kern w:val="0"/>
          <w:szCs w:val="21"/>
        </w:rPr>
        <w:t>评审小组</w:t>
      </w:r>
      <w:r>
        <w:rPr>
          <w:rFonts w:hint="eastAsia" w:cs="宋体"/>
          <w:szCs w:val="21"/>
        </w:rPr>
        <w:t>于评审截止日当天在“信用中国”网站（www.creditchina.gov.cn）及中国政府采购网（http://www.ccgp.gov.cn/）查询结果为准，如相关记录已失效，</w:t>
      </w:r>
      <w:r>
        <w:rPr>
          <w:rFonts w:hint="eastAsia" w:ascii="宋体" w:hAnsi="宋体" w:cs="宋体"/>
          <w:szCs w:val="21"/>
        </w:rPr>
        <w:t>参评</w:t>
      </w:r>
      <w:r>
        <w:rPr>
          <w:rFonts w:hint="eastAsia" w:cs="宋体"/>
          <w:szCs w:val="21"/>
        </w:rPr>
        <w:t>人需提供书面声明）</w:t>
      </w:r>
    </w:p>
    <w:p>
      <w:pPr>
        <w:pStyle w:val="7"/>
        <w:rPr>
          <w:rFonts w:cs="宋体"/>
          <w:sz w:val="21"/>
          <w:szCs w:val="21"/>
        </w:rPr>
      </w:pPr>
      <w:r>
        <w:rPr>
          <w:rFonts w:hint="eastAsia" w:cs="宋体"/>
          <w:b/>
          <w:bCs/>
          <w:sz w:val="21"/>
          <w:szCs w:val="21"/>
        </w:rPr>
        <w:t>附件2</w:t>
      </w:r>
      <w:r>
        <w:rPr>
          <w:rFonts w:hint="eastAsia" w:cs="宋体"/>
          <w:sz w:val="21"/>
          <w:szCs w:val="21"/>
        </w:rPr>
        <w:t>：参评人认为必要的其他材料。</w:t>
      </w:r>
    </w:p>
    <w:p>
      <w:pPr>
        <w:rPr>
          <w:rFonts w:ascii="宋体"/>
          <w:szCs w:val="21"/>
          <w:lang w:val="en-GB"/>
        </w:rPr>
      </w:pPr>
      <w:r>
        <w:rPr>
          <w:szCs w:val="21"/>
        </w:rPr>
        <w:br w:type="page"/>
      </w:r>
      <w:r>
        <w:rPr>
          <w:rFonts w:hint="eastAsia"/>
          <w:szCs w:val="21"/>
        </w:rPr>
        <w:t>格式1</w:t>
      </w:r>
    </w:p>
    <w:p>
      <w:pPr>
        <w:jc w:val="center"/>
        <w:rPr>
          <w:rFonts w:ascii="宋体"/>
          <w:b/>
          <w:szCs w:val="21"/>
        </w:rPr>
      </w:pPr>
      <w:r>
        <w:rPr>
          <w:rFonts w:hint="eastAsia" w:ascii="宋体"/>
          <w:b/>
          <w:szCs w:val="21"/>
        </w:rPr>
        <w:t>信用查询声明函</w:t>
      </w:r>
    </w:p>
    <w:p>
      <w:pPr>
        <w:jc w:val="center"/>
        <w:rPr>
          <w:rFonts w:ascii="宋体"/>
          <w:b/>
          <w:szCs w:val="21"/>
        </w:rPr>
      </w:pPr>
    </w:p>
    <w:p>
      <w:pPr>
        <w:adjustRightInd w:val="0"/>
        <w:snapToGrid w:val="0"/>
        <w:spacing w:before="312" w:beforeLines="100" w:after="156" w:afterLines="50" w:line="360" w:lineRule="auto"/>
        <w:jc w:val="left"/>
        <w:rPr>
          <w:rFonts w:ascii="宋体"/>
          <w:szCs w:val="21"/>
          <w:lang w:val="en-GB"/>
        </w:rPr>
      </w:pPr>
      <w:r>
        <w:rPr>
          <w:rFonts w:hint="eastAsia" w:ascii="宋体"/>
          <w:szCs w:val="21"/>
        </w:rPr>
        <w:t>致：</w:t>
      </w:r>
      <w:r>
        <w:rPr>
          <w:rFonts w:hint="eastAsia" w:ascii="宋体"/>
          <w:szCs w:val="21"/>
          <w:u w:val="single"/>
        </w:rPr>
        <w:t>广东省消防救援总队</w:t>
      </w:r>
    </w:p>
    <w:p>
      <w:pPr>
        <w:adjustRightInd w:val="0"/>
        <w:snapToGrid w:val="0"/>
        <w:spacing w:line="360" w:lineRule="auto"/>
        <w:ind w:firstLine="420" w:firstLineChars="200"/>
        <w:rPr>
          <w:rFonts w:ascii="宋体"/>
          <w:bCs/>
          <w:szCs w:val="21"/>
        </w:rPr>
      </w:pPr>
      <w:r>
        <w:rPr>
          <w:rFonts w:hint="eastAsia" w:ascii="宋体"/>
          <w:bCs/>
          <w:szCs w:val="21"/>
        </w:rPr>
        <w:t>我公司声明在“信用中国”网站（www.creditchina.gov.cn）、中国政府采购网（www.ccgp.gov.cn）没有被列入失信被执行人、重大税收违法案件当事人名单、政府采购严重违法失信行为记录名单。</w:t>
      </w:r>
    </w:p>
    <w:p>
      <w:pPr>
        <w:adjustRightInd w:val="0"/>
        <w:snapToGrid w:val="0"/>
        <w:spacing w:line="360" w:lineRule="auto"/>
        <w:ind w:firstLine="420" w:firstLineChars="200"/>
        <w:rPr>
          <w:rFonts w:ascii="宋体"/>
          <w:szCs w:val="21"/>
        </w:rPr>
      </w:pPr>
      <w:r>
        <w:rPr>
          <w:rFonts w:hint="eastAsia" w:ascii="宋体"/>
          <w:bCs/>
          <w:szCs w:val="21"/>
        </w:rPr>
        <w:t>特此声明。</w:t>
      </w:r>
    </w:p>
    <w:p>
      <w:pPr>
        <w:adjustRightInd w:val="0"/>
        <w:snapToGrid w:val="0"/>
        <w:spacing w:line="360" w:lineRule="auto"/>
        <w:ind w:firstLine="420" w:firstLineChars="200"/>
        <w:rPr>
          <w:rFonts w:ascii="宋体"/>
          <w:szCs w:val="21"/>
        </w:rPr>
      </w:pPr>
    </w:p>
    <w:p>
      <w:pPr>
        <w:adjustRightInd w:val="0"/>
        <w:snapToGrid w:val="0"/>
        <w:spacing w:line="360" w:lineRule="auto"/>
        <w:ind w:firstLine="420" w:firstLineChars="200"/>
        <w:rPr>
          <w:rFonts w:ascii="宋体"/>
          <w:szCs w:val="21"/>
        </w:rPr>
      </w:pPr>
    </w:p>
    <w:p>
      <w:pPr>
        <w:spacing w:line="360" w:lineRule="auto"/>
        <w:ind w:left="748" w:hanging="567"/>
        <w:rPr>
          <w:rFonts w:ascii="宋体" w:hAnsi="宋体"/>
          <w:szCs w:val="21"/>
        </w:rPr>
      </w:pPr>
      <w:r>
        <w:rPr>
          <w:rFonts w:hint="eastAsia" w:ascii="宋体" w:hAnsi="宋体" w:cs="宋体"/>
          <w:szCs w:val="21"/>
        </w:rPr>
        <w:t>参评</w:t>
      </w:r>
      <w:r>
        <w:rPr>
          <w:rFonts w:hint="eastAsia" w:ascii="宋体" w:hAnsi="宋体"/>
          <w:szCs w:val="21"/>
        </w:rPr>
        <w:t>人名称（并加盖公章）：</w:t>
      </w:r>
    </w:p>
    <w:p>
      <w:pPr>
        <w:spacing w:line="360" w:lineRule="auto"/>
        <w:ind w:left="748" w:hanging="567"/>
        <w:rPr>
          <w:rFonts w:ascii="宋体" w:hAnsi="宋体"/>
          <w:szCs w:val="21"/>
        </w:rPr>
      </w:pPr>
      <w:r>
        <w:rPr>
          <w:rFonts w:hint="eastAsia" w:ascii="宋体" w:hAnsi="宋体" w:cs="宋体"/>
          <w:szCs w:val="21"/>
        </w:rPr>
        <w:t>参评</w:t>
      </w:r>
      <w:r>
        <w:rPr>
          <w:rFonts w:hint="eastAsia" w:ascii="宋体" w:hAnsi="宋体" w:cs="Arial"/>
          <w:szCs w:val="21"/>
        </w:rPr>
        <w:t>人法定代表人或其委托人</w:t>
      </w:r>
      <w:r>
        <w:rPr>
          <w:rFonts w:hint="eastAsia" w:ascii="宋体" w:hAnsi="宋体"/>
          <w:szCs w:val="21"/>
        </w:rPr>
        <w:t>签名或印鉴</w:t>
      </w:r>
      <w:r>
        <w:rPr>
          <w:rFonts w:hint="eastAsia" w:ascii="宋体" w:hAnsi="宋体" w:cs="Arial"/>
          <w:szCs w:val="21"/>
        </w:rPr>
        <w:t>：</w:t>
      </w:r>
    </w:p>
    <w:p>
      <w:pPr>
        <w:spacing w:line="360" w:lineRule="auto"/>
        <w:ind w:left="748" w:hanging="567"/>
        <w:rPr>
          <w:rFonts w:ascii="宋体" w:hAnsi="宋体"/>
          <w:szCs w:val="21"/>
        </w:rPr>
      </w:pPr>
      <w:r>
        <w:rPr>
          <w:rFonts w:hint="eastAsia" w:ascii="宋体" w:hAnsi="宋体"/>
          <w:szCs w:val="21"/>
        </w:rPr>
        <w:t>日期：   年   月   日</w:t>
      </w:r>
    </w:p>
    <w:p>
      <w:pPr>
        <w:adjustRightInd w:val="0"/>
        <w:snapToGrid w:val="0"/>
        <w:spacing w:line="360" w:lineRule="auto"/>
        <w:rPr>
          <w:rFonts w:ascii="宋体"/>
          <w:szCs w:val="21"/>
        </w:rPr>
      </w:pPr>
    </w:p>
    <w:p>
      <w:pPr>
        <w:rPr>
          <w:rFonts w:ascii="宋体"/>
          <w:bCs/>
          <w:szCs w:val="21"/>
        </w:rPr>
      </w:pPr>
    </w:p>
    <w:p>
      <w:pPr>
        <w:rPr>
          <w:rFonts w:ascii="宋体"/>
          <w:bCs/>
          <w:szCs w:val="21"/>
        </w:rPr>
      </w:pPr>
      <w:r>
        <w:rPr>
          <w:rFonts w:hint="eastAsia" w:ascii="宋体"/>
          <w:bCs/>
          <w:szCs w:val="21"/>
        </w:rPr>
        <w:t>格式2</w:t>
      </w:r>
    </w:p>
    <w:p>
      <w:pPr>
        <w:jc w:val="center"/>
        <w:rPr>
          <w:rFonts w:ascii="宋体"/>
          <w:b/>
          <w:bCs/>
          <w:szCs w:val="21"/>
        </w:rPr>
      </w:pPr>
      <w:r>
        <w:rPr>
          <w:rFonts w:hint="eastAsia" w:ascii="宋体"/>
          <w:b/>
          <w:bCs/>
          <w:szCs w:val="21"/>
        </w:rPr>
        <w:t>关于不分包或转包的承诺函</w:t>
      </w:r>
    </w:p>
    <w:p>
      <w:pPr>
        <w:jc w:val="center"/>
        <w:rPr>
          <w:rFonts w:ascii="宋体"/>
          <w:b/>
          <w:bCs/>
          <w:szCs w:val="21"/>
        </w:rPr>
      </w:pPr>
    </w:p>
    <w:p>
      <w:pPr>
        <w:spacing w:before="72" w:after="72" w:line="360" w:lineRule="auto"/>
        <w:ind w:firstLine="420" w:firstLineChars="200"/>
        <w:rPr>
          <w:rFonts w:ascii="宋体" w:cs="宋体"/>
          <w:szCs w:val="21"/>
        </w:rPr>
      </w:pPr>
    </w:p>
    <w:p>
      <w:pPr>
        <w:spacing w:line="360" w:lineRule="auto"/>
        <w:rPr>
          <w:rFonts w:ascii="宋体"/>
          <w:bCs/>
          <w:szCs w:val="21"/>
        </w:rPr>
      </w:pPr>
      <w:r>
        <w:rPr>
          <w:rFonts w:hint="eastAsia" w:ascii="宋体"/>
          <w:szCs w:val="21"/>
        </w:rPr>
        <w:t>致：</w:t>
      </w:r>
      <w:r>
        <w:rPr>
          <w:rFonts w:hint="eastAsia" w:ascii="宋体"/>
          <w:szCs w:val="21"/>
          <w:u w:val="single"/>
        </w:rPr>
        <w:t>广东省消防救援总队</w:t>
      </w:r>
    </w:p>
    <w:p>
      <w:pPr>
        <w:spacing w:line="360" w:lineRule="auto"/>
        <w:ind w:firstLine="420" w:firstLineChars="200"/>
        <w:rPr>
          <w:rFonts w:ascii="宋体"/>
          <w:szCs w:val="21"/>
        </w:rPr>
      </w:pPr>
      <w:r>
        <w:rPr>
          <w:rFonts w:hint="eastAsia" w:ascii="宋体"/>
          <w:bCs/>
          <w:szCs w:val="21"/>
        </w:rPr>
        <w:t>本公司郑重承诺：</w:t>
      </w:r>
      <w:r>
        <w:rPr>
          <w:rFonts w:hint="eastAsia" w:ascii="宋体" w:cs="宋体"/>
          <w:szCs w:val="21"/>
        </w:rPr>
        <w:t>若我司有幸成交</w:t>
      </w:r>
      <w:r>
        <w:rPr>
          <w:rFonts w:hint="eastAsia" w:ascii="宋体" w:cs="宋体"/>
          <w:szCs w:val="21"/>
          <w:u w:val="single"/>
        </w:rPr>
        <w:t>　　　　　　　　　　　</w:t>
      </w:r>
      <w:r>
        <w:rPr>
          <w:rFonts w:hint="eastAsia" w:ascii="宋体" w:cs="宋体"/>
          <w:szCs w:val="21"/>
        </w:rPr>
        <w:t>项目，在与采购人签订合同后，承诺不会出现将项目分包或转包给不具有相关资质的单位，否</w:t>
      </w:r>
      <w:r>
        <w:rPr>
          <w:rFonts w:hint="eastAsia" w:ascii="宋体"/>
          <w:szCs w:val="21"/>
        </w:rPr>
        <w:t>则采购人有权取消我司的成交资格，且我司将无条件承担由此给本次评审带来的一切后果(包括经济损失)。</w:t>
      </w:r>
    </w:p>
    <w:p>
      <w:pPr>
        <w:spacing w:before="72" w:after="72" w:line="360" w:lineRule="auto"/>
        <w:ind w:firstLine="420" w:firstLineChars="200"/>
        <w:rPr>
          <w:rFonts w:ascii="宋体" w:cs="宋体"/>
          <w:szCs w:val="21"/>
        </w:rPr>
      </w:pPr>
      <w:r>
        <w:rPr>
          <w:rFonts w:hint="eastAsia" w:ascii="宋体"/>
          <w:szCs w:val="21"/>
        </w:rPr>
        <w:t>特此承诺。   </w:t>
      </w:r>
    </w:p>
    <w:p>
      <w:pPr>
        <w:spacing w:before="72" w:after="72" w:line="360" w:lineRule="auto"/>
        <w:ind w:firstLine="420" w:firstLineChars="200"/>
        <w:rPr>
          <w:rFonts w:ascii="宋体" w:cs="宋体"/>
          <w:szCs w:val="21"/>
        </w:rPr>
      </w:pPr>
    </w:p>
    <w:p>
      <w:pPr>
        <w:adjustRightInd w:val="0"/>
        <w:snapToGrid w:val="0"/>
        <w:spacing w:line="360" w:lineRule="auto"/>
        <w:ind w:firstLine="420" w:firstLineChars="200"/>
        <w:rPr>
          <w:rFonts w:ascii="宋体"/>
          <w:szCs w:val="21"/>
        </w:rPr>
      </w:pPr>
    </w:p>
    <w:p>
      <w:pPr>
        <w:spacing w:line="360" w:lineRule="auto"/>
        <w:ind w:left="748" w:hanging="567"/>
        <w:rPr>
          <w:rFonts w:ascii="宋体" w:hAnsi="宋体"/>
          <w:szCs w:val="21"/>
        </w:rPr>
      </w:pPr>
      <w:r>
        <w:rPr>
          <w:rFonts w:hint="eastAsia" w:ascii="宋体" w:hAnsi="宋体" w:cs="宋体"/>
          <w:szCs w:val="21"/>
        </w:rPr>
        <w:t>参评</w:t>
      </w:r>
      <w:r>
        <w:rPr>
          <w:rFonts w:hint="eastAsia" w:ascii="宋体" w:hAnsi="宋体"/>
          <w:szCs w:val="21"/>
        </w:rPr>
        <w:t>人名称（并加盖公章）：</w:t>
      </w:r>
    </w:p>
    <w:p>
      <w:pPr>
        <w:spacing w:line="360" w:lineRule="auto"/>
        <w:ind w:left="748" w:hanging="567"/>
        <w:rPr>
          <w:rFonts w:ascii="宋体" w:hAnsi="宋体"/>
          <w:szCs w:val="21"/>
        </w:rPr>
      </w:pPr>
      <w:r>
        <w:rPr>
          <w:rFonts w:hint="eastAsia" w:ascii="宋体" w:hAnsi="宋体" w:cs="宋体"/>
          <w:szCs w:val="21"/>
        </w:rPr>
        <w:t>参评</w:t>
      </w:r>
      <w:r>
        <w:rPr>
          <w:rFonts w:hint="eastAsia" w:ascii="宋体" w:hAnsi="宋体" w:cs="Arial"/>
          <w:szCs w:val="21"/>
        </w:rPr>
        <w:t>人法定代表人或其委托人</w:t>
      </w:r>
      <w:r>
        <w:rPr>
          <w:rFonts w:hint="eastAsia" w:ascii="宋体" w:hAnsi="宋体"/>
          <w:szCs w:val="21"/>
        </w:rPr>
        <w:t>签名或印鉴</w:t>
      </w:r>
      <w:r>
        <w:rPr>
          <w:rFonts w:hint="eastAsia" w:ascii="宋体" w:hAnsi="宋体" w:cs="Arial"/>
          <w:szCs w:val="21"/>
        </w:rPr>
        <w:t>：</w:t>
      </w:r>
    </w:p>
    <w:p>
      <w:pPr>
        <w:spacing w:line="360" w:lineRule="auto"/>
        <w:ind w:left="748" w:hanging="567"/>
        <w:rPr>
          <w:rFonts w:ascii="宋体" w:hAnsi="宋体"/>
          <w:szCs w:val="21"/>
        </w:rPr>
      </w:pPr>
      <w:r>
        <w:rPr>
          <w:rFonts w:hint="eastAsia" w:ascii="宋体" w:hAnsi="宋体"/>
          <w:szCs w:val="21"/>
        </w:rPr>
        <w:t>日期：   年   月   日</w:t>
      </w:r>
    </w:p>
    <w:p>
      <w:pPr>
        <w:spacing w:line="360" w:lineRule="auto"/>
        <w:ind w:firstLine="210" w:firstLineChars="100"/>
        <w:rPr>
          <w:rFonts w:ascii="宋体"/>
          <w:szCs w:val="21"/>
          <w:lang w:val="en-GB"/>
        </w:rPr>
      </w:pPr>
    </w:p>
    <w:p>
      <w:pPr>
        <w:pStyle w:val="7"/>
        <w:rPr>
          <w:sz w:val="21"/>
          <w:szCs w:val="21"/>
        </w:rPr>
      </w:pPr>
    </w:p>
    <w:p>
      <w:pPr>
        <w:widowControl/>
        <w:spacing w:line="360" w:lineRule="auto"/>
        <w:jc w:val="left"/>
        <w:rPr>
          <w:rFonts w:ascii="宋体" w:hAnsi="宋体"/>
          <w:b/>
          <w:sz w:val="28"/>
          <w:szCs w:val="28"/>
        </w:rPr>
      </w:pPr>
      <w:r>
        <w:rPr>
          <w:rFonts w:hint="eastAsia" w:ascii="宋体" w:hAnsi="宋体"/>
          <w:szCs w:val="21"/>
        </w:rPr>
        <w:br w:type="page"/>
      </w:r>
      <w:r>
        <w:rPr>
          <w:rFonts w:hint="eastAsia" w:ascii="宋体" w:hAnsi="宋体"/>
          <w:b/>
          <w:sz w:val="28"/>
          <w:szCs w:val="28"/>
        </w:rPr>
        <w:t>二、参评函</w:t>
      </w:r>
      <w:bookmarkEnd w:id="23"/>
      <w:bookmarkEnd w:id="24"/>
    </w:p>
    <w:p>
      <w:pPr>
        <w:pStyle w:val="20"/>
        <w:spacing w:line="360" w:lineRule="auto"/>
        <w:jc w:val="center"/>
        <w:rPr>
          <w:rFonts w:hAnsi="宋体"/>
          <w:b/>
          <w:szCs w:val="21"/>
        </w:rPr>
      </w:pPr>
      <w:r>
        <w:rPr>
          <w:rFonts w:hint="eastAsia" w:hAnsi="宋体"/>
          <w:b/>
          <w:szCs w:val="21"/>
        </w:rPr>
        <w:t>参评函</w:t>
      </w:r>
    </w:p>
    <w:p>
      <w:pPr>
        <w:spacing w:line="440" w:lineRule="exact"/>
        <w:ind w:left="748" w:hanging="567"/>
        <w:rPr>
          <w:rFonts w:ascii="宋体" w:hAnsi="宋体"/>
          <w:szCs w:val="21"/>
        </w:rPr>
      </w:pPr>
      <w:bookmarkStart w:id="27" w:name="_Toc72860202"/>
      <w:r>
        <w:rPr>
          <w:rFonts w:hint="eastAsia" w:ascii="宋体" w:hAnsi="宋体"/>
          <w:szCs w:val="21"/>
        </w:rPr>
        <w:t>致：</w:t>
      </w:r>
      <w:bookmarkEnd w:id="27"/>
      <w:r>
        <w:rPr>
          <w:rFonts w:hint="eastAsia" w:ascii="宋体" w:hAnsi="宋体"/>
          <w:szCs w:val="21"/>
        </w:rPr>
        <w:t>广东省消防救援总队</w:t>
      </w:r>
    </w:p>
    <w:p>
      <w:pPr>
        <w:spacing w:line="360" w:lineRule="auto"/>
        <w:ind w:firstLine="500" w:firstLineChars="200"/>
        <w:rPr>
          <w:rFonts w:ascii="宋体" w:hAnsi="宋体"/>
          <w:szCs w:val="21"/>
        </w:rPr>
      </w:pPr>
      <w:r>
        <w:rPr>
          <w:rFonts w:hint="eastAsia" w:ascii="宋体" w:hAnsi="宋体"/>
          <w:spacing w:val="20"/>
          <w:szCs w:val="21"/>
        </w:rPr>
        <w:t>根据贵方</w:t>
      </w:r>
      <w:r>
        <w:rPr>
          <w:rFonts w:ascii="宋体"/>
          <w:szCs w:val="22"/>
          <w:u w:val="single"/>
        </w:rPr>
        <w:t>广东省消防救援总队信息安全等级保护测评服务（2022年）</w:t>
      </w:r>
      <w:r>
        <w:rPr>
          <w:rFonts w:hint="eastAsia" w:ascii="宋体" w:hAnsi="宋体"/>
          <w:spacing w:val="20"/>
          <w:szCs w:val="21"/>
        </w:rPr>
        <w:t>（项目编号：</w:t>
      </w:r>
      <w:r>
        <w:rPr>
          <w:rFonts w:hint="eastAsia" w:ascii="宋体" w:hAnsi="宋体"/>
          <w:szCs w:val="21"/>
        </w:rPr>
        <w:t>ZDXXH2022001</w:t>
      </w:r>
      <w:r>
        <w:rPr>
          <w:rFonts w:hint="eastAsia" w:ascii="宋体" w:hAnsi="宋体"/>
          <w:spacing w:val="20"/>
          <w:szCs w:val="21"/>
        </w:rPr>
        <w:t>）的采购公告，</w:t>
      </w:r>
      <w:r>
        <w:rPr>
          <w:rFonts w:hint="eastAsia" w:ascii="宋体" w:hAnsi="宋体"/>
          <w:szCs w:val="21"/>
        </w:rPr>
        <w:t>本人代表参评人</w:t>
      </w:r>
      <w:r>
        <w:rPr>
          <w:rFonts w:hint="eastAsia" w:ascii="宋体" w:hAnsi="宋体"/>
          <w:szCs w:val="21"/>
          <w:u w:val="single"/>
        </w:rPr>
        <w:t xml:space="preserve">               （参评人名称）             </w:t>
      </w:r>
      <w:r>
        <w:rPr>
          <w:rFonts w:hint="eastAsia" w:ascii="宋体" w:hAnsi="宋体"/>
          <w:szCs w:val="21"/>
        </w:rPr>
        <w:t xml:space="preserve"> 参加评审，并提交参评文件。</w:t>
      </w:r>
    </w:p>
    <w:p>
      <w:pPr>
        <w:spacing w:line="440" w:lineRule="exact"/>
        <w:ind w:firstLine="420" w:firstLineChars="200"/>
        <w:rPr>
          <w:rFonts w:ascii="宋体" w:hAnsi="宋体"/>
          <w:szCs w:val="21"/>
        </w:rPr>
      </w:pPr>
      <w:r>
        <w:rPr>
          <w:rFonts w:hint="eastAsia" w:ascii="宋体" w:hAnsi="宋体"/>
          <w:szCs w:val="21"/>
        </w:rPr>
        <w:t>据此函，本人宣布同意如下：</w:t>
      </w:r>
    </w:p>
    <w:p>
      <w:pPr>
        <w:numPr>
          <w:ilvl w:val="0"/>
          <w:numId w:val="11"/>
        </w:numPr>
        <w:tabs>
          <w:tab w:val="left" w:pos="0"/>
          <w:tab w:val="clear" w:pos="1260"/>
        </w:tabs>
        <w:spacing w:line="440" w:lineRule="exact"/>
        <w:ind w:left="0" w:firstLine="540"/>
        <w:rPr>
          <w:rFonts w:ascii="宋体" w:hAnsi="宋体"/>
          <w:szCs w:val="21"/>
        </w:rPr>
      </w:pPr>
      <w:r>
        <w:rPr>
          <w:rFonts w:hint="eastAsia" w:ascii="宋体" w:hAnsi="宋体"/>
          <w:szCs w:val="21"/>
        </w:rPr>
        <w:t>我方郑重承诺：我方将全部满足遴选文件中的各项实质性要求，如果发现参评文件中另有与遴选文件中不一致的响应或没有响应，我方同意采购人有权要求我方按照遴选文件的要求提供货物或服务。我方并同意按照遴选文件的规定履行合同责任和义务。我方参评总报价包含采购需求说明的所有产品功能和服务内容，漏报的单价或每单价报价中漏报、少报的费用，视为此项费用已隐含在参评总报价中，成交后不再向采购人收取任何费用。</w:t>
      </w:r>
    </w:p>
    <w:p>
      <w:pPr>
        <w:numPr>
          <w:ilvl w:val="0"/>
          <w:numId w:val="11"/>
        </w:numPr>
        <w:tabs>
          <w:tab w:val="left" w:pos="0"/>
          <w:tab w:val="clear" w:pos="1260"/>
        </w:tabs>
        <w:spacing w:line="440" w:lineRule="exact"/>
        <w:ind w:left="0" w:firstLine="540"/>
        <w:rPr>
          <w:rFonts w:ascii="宋体" w:hAnsi="宋体"/>
          <w:szCs w:val="21"/>
        </w:rPr>
      </w:pPr>
      <w:r>
        <w:rPr>
          <w:rFonts w:hint="eastAsia" w:ascii="宋体" w:hAnsi="宋体"/>
          <w:szCs w:val="21"/>
        </w:rPr>
        <w:t>我方已详细审查全部遴选文件内容，包括澄清、延期、更正文件（如有的话）以及全部参考资料和有关附件。我们完全理解遴选文件要求并同意放弃对这方面有不明及误解的权利。</w:t>
      </w:r>
    </w:p>
    <w:p>
      <w:pPr>
        <w:numPr>
          <w:ilvl w:val="0"/>
          <w:numId w:val="11"/>
        </w:numPr>
        <w:tabs>
          <w:tab w:val="left" w:pos="0"/>
          <w:tab w:val="clear" w:pos="1260"/>
        </w:tabs>
        <w:spacing w:line="440" w:lineRule="exact"/>
        <w:ind w:left="0" w:firstLine="540"/>
        <w:rPr>
          <w:rFonts w:ascii="宋体" w:hAnsi="宋体"/>
          <w:szCs w:val="21"/>
        </w:rPr>
      </w:pPr>
      <w:r>
        <w:rPr>
          <w:rFonts w:hint="eastAsia" w:ascii="宋体" w:hAnsi="宋体"/>
          <w:szCs w:val="21"/>
        </w:rPr>
        <w:t>我方同意本项目参评有效期为自评审截止之日起90日，如我方获成交，同意评审有效期自动延长至合同终止为止。</w:t>
      </w:r>
    </w:p>
    <w:p>
      <w:pPr>
        <w:numPr>
          <w:ilvl w:val="0"/>
          <w:numId w:val="11"/>
        </w:numPr>
        <w:tabs>
          <w:tab w:val="left" w:pos="0"/>
          <w:tab w:val="clear" w:pos="1260"/>
        </w:tabs>
        <w:spacing w:line="440" w:lineRule="exact"/>
        <w:ind w:left="0" w:firstLine="540"/>
        <w:rPr>
          <w:rFonts w:ascii="宋体" w:hAnsi="宋体"/>
          <w:szCs w:val="21"/>
        </w:rPr>
      </w:pPr>
      <w:r>
        <w:rPr>
          <w:rFonts w:hint="eastAsia" w:ascii="宋体" w:hAnsi="宋体"/>
          <w:szCs w:val="21"/>
        </w:rPr>
        <w:t>我方同意提供按照贵方可能要求的与我方</w:t>
      </w:r>
      <w:r>
        <w:rPr>
          <w:rFonts w:hint="eastAsia" w:ascii="宋体" w:hAnsi="宋体" w:cs="宋体"/>
          <w:szCs w:val="21"/>
        </w:rPr>
        <w:t>参评</w:t>
      </w:r>
      <w:r>
        <w:rPr>
          <w:rFonts w:hint="eastAsia" w:ascii="宋体" w:hAnsi="宋体"/>
          <w:szCs w:val="21"/>
        </w:rPr>
        <w:t>有关的一切数据或资料，理解贵方不一定接受最低价的参评。我方提交的一切文件，无论是原件还是复印件均为准确、真实、有效、完整的，绝无任何虚假、伪造或者夸大。</w:t>
      </w:r>
    </w:p>
    <w:p>
      <w:pPr>
        <w:numPr>
          <w:ilvl w:val="0"/>
          <w:numId w:val="11"/>
        </w:numPr>
        <w:tabs>
          <w:tab w:val="left" w:pos="0"/>
          <w:tab w:val="clear" w:pos="1260"/>
        </w:tabs>
        <w:spacing w:line="440" w:lineRule="exact"/>
        <w:ind w:left="0" w:firstLine="540"/>
        <w:rPr>
          <w:rFonts w:ascii="宋体" w:hAnsi="宋体"/>
          <w:szCs w:val="21"/>
        </w:rPr>
      </w:pPr>
      <w:r>
        <w:rPr>
          <w:rFonts w:hint="eastAsia" w:ascii="宋体" w:hAnsi="宋体"/>
          <w:szCs w:val="21"/>
        </w:rPr>
        <w:t>与本评审有关的一切正式往来通讯请寄：</w:t>
      </w:r>
    </w:p>
    <w:p>
      <w:pPr>
        <w:tabs>
          <w:tab w:val="left" w:pos="900"/>
          <w:tab w:val="left" w:pos="5245"/>
        </w:tabs>
        <w:spacing w:line="440" w:lineRule="exact"/>
        <w:ind w:left="540"/>
        <w:rPr>
          <w:rFonts w:ascii="宋体" w:hAnsi="宋体"/>
          <w:szCs w:val="21"/>
        </w:rPr>
      </w:pPr>
      <w:r>
        <w:rPr>
          <w:rFonts w:hint="eastAsia" w:ascii="宋体" w:hAnsi="宋体"/>
          <w:szCs w:val="21"/>
        </w:rPr>
        <w:t>地址：</w:t>
      </w:r>
      <w:r>
        <w:rPr>
          <w:rFonts w:hint="eastAsia" w:ascii="宋体" w:hAnsi="宋体"/>
          <w:szCs w:val="21"/>
        </w:rPr>
        <w:tab/>
      </w:r>
      <w:r>
        <w:rPr>
          <w:rFonts w:hint="eastAsia" w:ascii="宋体" w:hAnsi="宋体"/>
          <w:szCs w:val="21"/>
        </w:rPr>
        <w:t>电话：</w:t>
      </w:r>
    </w:p>
    <w:p>
      <w:pPr>
        <w:tabs>
          <w:tab w:val="left" w:pos="900"/>
        </w:tabs>
        <w:spacing w:line="440" w:lineRule="exact"/>
        <w:ind w:left="540"/>
        <w:rPr>
          <w:rFonts w:ascii="宋体" w:hAnsi="宋体"/>
          <w:szCs w:val="21"/>
        </w:rPr>
      </w:pPr>
    </w:p>
    <w:p>
      <w:pPr>
        <w:tabs>
          <w:tab w:val="left" w:pos="900"/>
        </w:tabs>
        <w:spacing w:line="440" w:lineRule="exact"/>
        <w:ind w:left="540"/>
        <w:rPr>
          <w:rFonts w:ascii="宋体" w:hAnsi="宋体"/>
          <w:szCs w:val="21"/>
        </w:rPr>
      </w:pPr>
      <w:r>
        <w:rPr>
          <w:rFonts w:hint="eastAsia" w:ascii="宋体" w:hAnsi="宋体"/>
          <w:szCs w:val="21"/>
        </w:rPr>
        <w:t>参评人代表姓名、职务（印刷体）：</w:t>
      </w:r>
    </w:p>
    <w:p>
      <w:pPr>
        <w:tabs>
          <w:tab w:val="left" w:pos="900"/>
        </w:tabs>
        <w:spacing w:line="440" w:lineRule="exact"/>
        <w:ind w:left="540"/>
        <w:rPr>
          <w:rFonts w:ascii="宋体" w:hAnsi="宋体"/>
          <w:szCs w:val="21"/>
        </w:rPr>
      </w:pPr>
      <w:r>
        <w:rPr>
          <w:rFonts w:hint="eastAsia" w:ascii="宋体" w:hAnsi="宋体"/>
          <w:szCs w:val="21"/>
        </w:rPr>
        <w:t>参评人名称：（公章）</w:t>
      </w:r>
    </w:p>
    <w:p>
      <w:pPr>
        <w:tabs>
          <w:tab w:val="left" w:pos="900"/>
        </w:tabs>
        <w:spacing w:line="440" w:lineRule="exact"/>
        <w:ind w:left="540"/>
        <w:rPr>
          <w:rFonts w:ascii="宋体" w:hAnsi="宋体"/>
          <w:szCs w:val="21"/>
        </w:rPr>
      </w:pPr>
      <w:r>
        <w:rPr>
          <w:rFonts w:hint="eastAsia" w:ascii="宋体" w:hAnsi="宋体"/>
          <w:szCs w:val="21"/>
        </w:rPr>
        <w:t>参评人法定代表人或其委托人签名或印鉴：</w:t>
      </w:r>
    </w:p>
    <w:p>
      <w:pPr>
        <w:tabs>
          <w:tab w:val="left" w:pos="900"/>
        </w:tabs>
        <w:spacing w:line="440" w:lineRule="exact"/>
        <w:ind w:left="540"/>
        <w:rPr>
          <w:rFonts w:ascii="宋体" w:hAnsi="宋体"/>
          <w:szCs w:val="21"/>
        </w:rPr>
      </w:pPr>
      <w:r>
        <w:rPr>
          <w:rFonts w:hint="eastAsia" w:ascii="宋体" w:hAnsi="宋体"/>
          <w:szCs w:val="21"/>
        </w:rPr>
        <w:t>日期：年月日</w:t>
      </w:r>
    </w:p>
    <w:p>
      <w:pPr>
        <w:widowControl/>
        <w:spacing w:line="360" w:lineRule="auto"/>
        <w:jc w:val="left"/>
        <w:rPr>
          <w:rFonts w:ascii="宋体" w:hAnsi="宋体"/>
          <w:b/>
          <w:szCs w:val="21"/>
        </w:rPr>
      </w:pPr>
    </w:p>
    <w:p>
      <w:pPr>
        <w:widowControl/>
        <w:spacing w:line="360" w:lineRule="auto"/>
        <w:jc w:val="left"/>
        <w:rPr>
          <w:rFonts w:ascii="宋体" w:hAnsi="宋体" w:cs="Arial"/>
          <w:szCs w:val="21"/>
        </w:rPr>
      </w:pPr>
      <w:r>
        <w:rPr>
          <w:rFonts w:hint="eastAsia" w:ascii="宋体" w:hAnsi="宋体"/>
          <w:b/>
          <w:szCs w:val="21"/>
        </w:rPr>
        <w:t>注：法定代表人委托全权代表人，需附法定代表人签字或印鉴的授权书。</w:t>
      </w:r>
    </w:p>
    <w:p>
      <w:pPr>
        <w:widowControl/>
        <w:spacing w:line="360" w:lineRule="auto"/>
        <w:jc w:val="left"/>
        <w:rPr>
          <w:rFonts w:ascii="宋体" w:hAnsi="宋体"/>
          <w:b/>
          <w:sz w:val="28"/>
          <w:szCs w:val="28"/>
        </w:rPr>
      </w:pPr>
      <w:r>
        <w:rPr>
          <w:rFonts w:ascii="宋体" w:hAnsi="宋体"/>
          <w:szCs w:val="21"/>
        </w:rPr>
        <w:br w:type="page"/>
      </w:r>
      <w:r>
        <w:rPr>
          <w:rFonts w:hint="eastAsia" w:ascii="宋体" w:hAnsi="宋体"/>
          <w:b/>
          <w:sz w:val="28"/>
          <w:szCs w:val="28"/>
        </w:rPr>
        <w:t>三、法定代表人证明书格式</w:t>
      </w:r>
    </w:p>
    <w:p>
      <w:pPr>
        <w:pStyle w:val="20"/>
        <w:spacing w:before="50" w:after="156" w:afterLines="50" w:line="360" w:lineRule="auto"/>
        <w:jc w:val="center"/>
        <w:rPr>
          <w:rFonts w:hAnsi="宋体"/>
          <w:b/>
          <w:szCs w:val="21"/>
        </w:rPr>
      </w:pPr>
      <w:r>
        <w:rPr>
          <w:rFonts w:hint="eastAsia" w:hAnsi="宋体"/>
          <w:b/>
          <w:szCs w:val="21"/>
        </w:rPr>
        <w:t>法定代表人证明书</w:t>
      </w:r>
      <w:r>
        <w:rPr>
          <w:rFonts w:hint="eastAsia" w:hAnsi="宋体"/>
          <w:b/>
          <w:szCs w:val="21"/>
        </w:rPr>
        <w:cr/>
      </w:r>
    </w:p>
    <w:p>
      <w:pPr>
        <w:spacing w:line="360" w:lineRule="auto"/>
        <w:rPr>
          <w:rFonts w:ascii="宋体" w:hAnsi="宋体"/>
          <w:szCs w:val="21"/>
        </w:rPr>
      </w:pPr>
      <w:r>
        <w:rPr>
          <w:rFonts w:hint="eastAsia" w:ascii="宋体" w:hAnsi="宋体"/>
          <w:szCs w:val="21"/>
        </w:rPr>
        <w:t xml:space="preserve">致： 广东省消防救援总队                                   </w:t>
      </w:r>
    </w:p>
    <w:p>
      <w:pPr>
        <w:spacing w:line="360" w:lineRule="auto"/>
        <w:rPr>
          <w:rFonts w:ascii="宋体" w:hAnsi="宋体"/>
          <w:szCs w:val="21"/>
        </w:rPr>
      </w:pPr>
      <w:r>
        <w:rPr>
          <w:rFonts w:hint="eastAsia" w:ascii="宋体" w:hAnsi="宋体"/>
          <w:szCs w:val="21"/>
        </w:rPr>
        <w:t>同志，现任我单位职务，为法定代表人，特此证明。</w:t>
      </w:r>
    </w:p>
    <w:p>
      <w:pPr>
        <w:spacing w:line="360" w:lineRule="auto"/>
        <w:ind w:firstLine="210" w:firstLineChars="100"/>
        <w:rPr>
          <w:rFonts w:ascii="宋体" w:hAnsi="宋体"/>
          <w:szCs w:val="21"/>
        </w:rPr>
      </w:pPr>
    </w:p>
    <w:p>
      <w:pPr>
        <w:spacing w:line="360" w:lineRule="auto"/>
        <w:ind w:firstLine="210" w:firstLineChars="100"/>
        <w:rPr>
          <w:rFonts w:ascii="宋体" w:hAnsi="宋体"/>
          <w:szCs w:val="21"/>
        </w:rPr>
      </w:pPr>
      <w:r>
        <w:rPr>
          <w:rFonts w:hint="eastAsia" w:ascii="宋体" w:hAnsi="宋体"/>
          <w:szCs w:val="21"/>
        </w:rPr>
        <w:t xml:space="preserve">签发日期：           </w:t>
      </w:r>
    </w:p>
    <w:p>
      <w:pPr>
        <w:spacing w:line="360" w:lineRule="auto"/>
        <w:ind w:firstLine="210" w:firstLineChars="100"/>
        <w:rPr>
          <w:rFonts w:ascii="宋体" w:hAnsi="宋体"/>
          <w:szCs w:val="21"/>
        </w:rPr>
      </w:pPr>
      <w:r>
        <w:rPr>
          <w:rFonts w:hint="eastAsia" w:ascii="宋体" w:hAnsi="宋体"/>
          <w:szCs w:val="21"/>
        </w:rPr>
        <w:t>单位：           （盖章）</w:t>
      </w:r>
    </w:p>
    <w:p>
      <w:pPr>
        <w:spacing w:line="360" w:lineRule="auto"/>
        <w:ind w:firstLine="210" w:firstLineChars="100"/>
        <w:rPr>
          <w:rFonts w:ascii="宋体" w:hAnsi="宋体"/>
          <w:szCs w:val="21"/>
        </w:rPr>
      </w:pPr>
      <w:r>
        <w:rPr>
          <w:rFonts w:hint="eastAsia" w:ascii="宋体" w:hAnsi="宋体"/>
          <w:szCs w:val="21"/>
        </w:rPr>
        <w:t>附：代表人性别：            年龄：           身份证号码：</w:t>
      </w:r>
    </w:p>
    <w:p>
      <w:pPr>
        <w:spacing w:line="360" w:lineRule="auto"/>
        <w:ind w:firstLine="210" w:firstLineChars="100"/>
        <w:rPr>
          <w:rFonts w:ascii="宋体" w:hAnsi="宋体"/>
          <w:szCs w:val="21"/>
        </w:rPr>
      </w:pPr>
      <w:r>
        <w:rPr>
          <w:rFonts w:hint="eastAsia" w:ascii="宋体" w:hAnsi="宋体"/>
          <w:szCs w:val="21"/>
        </w:rPr>
        <w:t>联系电话：</w:t>
      </w:r>
    </w:p>
    <w:p>
      <w:pPr>
        <w:spacing w:line="360" w:lineRule="auto"/>
        <w:ind w:firstLine="210" w:firstLineChars="100"/>
        <w:rPr>
          <w:rFonts w:ascii="宋体" w:hAnsi="宋体"/>
          <w:szCs w:val="21"/>
        </w:rPr>
      </w:pPr>
      <w:r>
        <w:rPr>
          <w:rFonts w:hint="eastAsia" w:ascii="宋体" w:hAnsi="宋体"/>
          <w:szCs w:val="21"/>
        </w:rPr>
        <w:t xml:space="preserve">营业执照号码：                       </w:t>
      </w:r>
    </w:p>
    <w:p>
      <w:pPr>
        <w:spacing w:line="360" w:lineRule="auto"/>
        <w:ind w:firstLine="210" w:firstLineChars="100"/>
        <w:rPr>
          <w:rFonts w:ascii="宋体" w:hAnsi="宋体"/>
          <w:szCs w:val="21"/>
        </w:rPr>
      </w:pPr>
    </w:p>
    <w:p>
      <w:pPr>
        <w:spacing w:line="360" w:lineRule="auto"/>
        <w:rPr>
          <w:rFonts w:ascii="宋体" w:hAnsi="宋体"/>
          <w:szCs w:val="21"/>
        </w:rPr>
      </w:pPr>
      <w:r>
        <w:rPr>
          <w:rFonts w:hint="eastAsia" w:ascii="宋体" w:hAnsi="宋体"/>
          <w:szCs w:val="21"/>
        </w:rPr>
        <w:t>说明：1.法定代表人为企业事业单位、国家机关、社会团体的主要行政负责人。</w:t>
      </w:r>
    </w:p>
    <w:p>
      <w:pPr>
        <w:spacing w:line="360" w:lineRule="auto"/>
        <w:rPr>
          <w:rFonts w:ascii="宋体" w:hAnsi="宋体"/>
          <w:szCs w:val="21"/>
        </w:rPr>
      </w:pPr>
      <w:r>
        <w:rPr>
          <w:rFonts w:hint="eastAsia" w:ascii="宋体" w:hAnsi="宋体"/>
          <w:szCs w:val="21"/>
        </w:rPr>
        <w:t xml:space="preserve">      2.内容必须填写真实、清楚、涂改无效，不得转让、买卖。</w:t>
      </w:r>
    </w:p>
    <w:p>
      <w:pPr>
        <w:spacing w:line="360" w:lineRule="auto"/>
        <w:ind w:firstLine="630" w:firstLineChars="300"/>
        <w:rPr>
          <w:rFonts w:ascii="宋体" w:hAnsi="宋体"/>
          <w:szCs w:val="21"/>
        </w:rPr>
      </w:pPr>
      <w:r>
        <w:rPr>
          <w:rFonts w:hint="eastAsia" w:ascii="宋体" w:hAnsi="宋体"/>
          <w:szCs w:val="21"/>
        </w:rPr>
        <w:t>3.将此证明书提交对方作为合同附件</w:t>
      </w:r>
      <w:r>
        <w:rPr>
          <w:rFonts w:hint="eastAsia" w:ascii="宋体" w:hAnsi="宋体"/>
          <w:b/>
          <w:szCs w:val="21"/>
        </w:rPr>
        <w:t>。</w:t>
      </w:r>
    </w:p>
    <w:p>
      <w:pPr>
        <w:spacing w:line="360" w:lineRule="auto"/>
        <w:rPr>
          <w:rFonts w:ascii="宋体" w:hAnsi="宋体"/>
          <w:b/>
          <w:szCs w:val="21"/>
        </w:rPr>
      </w:pPr>
      <w:r>
        <w:rPr>
          <w:rFonts w:ascii="宋体" w:hAnsi="宋体"/>
          <w:b/>
          <w:szCs w:val="21"/>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19685</wp:posOffset>
                </wp:positionV>
                <wp:extent cx="2333625" cy="1584325"/>
                <wp:effectExtent l="0" t="0" r="28575" b="15875"/>
                <wp:wrapNone/>
                <wp:docPr id="2" name="流程图: 可选过程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sz w:val="24"/>
                              </w:rPr>
                            </w:pPr>
                            <w:r>
                              <w:rPr>
                                <w:rFonts w:hint="eastAsia" w:ascii="仿宋_GB2312" w:eastAsia="仿宋_GB2312"/>
                                <w:sz w:val="24"/>
                              </w:rPr>
                              <w:t>身份证复印件粘贴处</w:t>
                            </w:r>
                          </w:p>
                        </w:txbxContent>
                      </wps:txbx>
                      <wps:bodyPr wrap="square" upright="1"/>
                    </wps:wsp>
                  </a:graphicData>
                </a:graphic>
              </wp:anchor>
            </w:drawing>
          </mc:Choice>
          <mc:Fallback>
            <w:pict>
              <v:shape id="_x0000_s1026" o:spid="_x0000_s1026" o:spt="176" type="#_x0000_t176" style="position:absolute;left:0pt;margin-left:108pt;margin-top:1.55pt;height:124.75pt;width:183.75pt;z-index:251660288;mso-width-relative:page;mso-height-relative:page;" fillcolor="#FFFFFF" filled="t" stroked="t" coordsize="21600,21600" o:gfxdata="UEsDBAoAAAAAAIdO4kAAAAAAAAAAAAAAAAAEAAAAZHJzL1BLAwQUAAAACACHTuJAsw0ofNcAAAAJ&#10;AQAADwAAAGRycy9kb3ducmV2LnhtbE2PTU+EMBRF9yb+h+aZuHPKR0BkKBOj0ZUbcRK3hXYokb4S&#10;Whj01/tcOcuX83LvudVhsyNb9ewHhwLiXQRMY+fUgL2A48fLXQHMB4lKjg61gG/t4VBfX1WyVO6M&#10;73ptQs8oBH0pBZgQppJz3xltpd+5SSOxk5utDHTOPVezPFO4HXkSRTm3ckBqMHLST0Z3X81iBWxv&#10;P+3D8hp3TTBFfv+Zrs+PRy7E7U0c7YEFvYX/Z/jTJ3Woyal1CyrPRgFJnNOWICCNgRHPijQD1hLI&#10;khx4XfHLBfUvUEsDBBQAAAAIAIdO4kB8FpDOFwIAABAEAAAOAAAAZHJzL2Uyb0RvYy54bWytU82O&#10;0zAQviPxDpbvNGlKV0vUdIW2lAuCSgsPME3sxJL/sN0mvcEJIQ48AC/AjRNXeJrl5y0Yu6W7CxwQ&#10;Igdnxp75ZuabmdnZoCTZMueF0RUdj3JKmK5NI3Rb0WdPl3dOKfEBdAPSaFbRHfP0bH771qy3JStM&#10;Z2TDHEEQ7cveVrQLwZZZ5uuOKfAjY5nGR26cgoCqa7PGQY/oSmZFnp9kvXGNdaZm3uPtYv9I5wmf&#10;c1aHJ5x7FoisKOYW0unSuY5nNp9B2TqwnagPacA/ZKFAaAx6hFpAALJx4jcoJWpnvOFhVBuVGc5F&#10;zVINWM04/6Waiw4sS7UgOd4eafL/D7Z+vF05IpqKFpRoUNiiLx9ffn3/5vLdp5Jcvv3w/cXrb59f&#10;4QUpIlm99SX6XNiVO2gexVj5wJ2Kf6yJDIng3ZFgNgRS42UxmUxOiiklNb6Np6d3J6ggTnblbp0P&#10;D5lRJAoV5dL05x24cF8G5jQEtto3O7EN20c+7P1/+sUUvJGiWQopk+La9bl0ZAs4Asv0HULeMJOa&#10;9BW9N03ZAU4ilxAwUWWRG6/bFO+Gh78OnKfvT8AxsQX4bp9AQohmUCqBFSWpY9A80A0JO4v8a1wU&#10;GpNRrKFEMtyrKCXLAEL+jSUSKjXyGtu1b1CUwrAeECaKa9PssPE9Tj6W93wDDmNurBNth6yPUyHR&#10;DscuteewInGur+spxNUiz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sw0ofNcAAAAJAQAADwAA&#10;AAAAAAABACAAAAAiAAAAZHJzL2Rvd25yZXYueG1sUEsBAhQAFAAAAAgAh07iQHwWkM4XAgAAEAQA&#10;AA4AAAAAAAAAAQAgAAAAJgEAAGRycy9lMm9Eb2MueG1sUEsFBgAAAAAGAAYAWQEAAK8FAAAAAA==&#10;">
                <v:fill on="t" focussize="0,0"/>
                <v:stroke color="#000000" joinstyle="miter"/>
                <v:imagedata o:title=""/>
                <o:lock v:ext="edit" aspectratio="f"/>
                <v:textbox>
                  <w:txbxContent>
                    <w:p>
                      <w:pPr>
                        <w:jc w:val="center"/>
                        <w:rPr>
                          <w:rFonts w:ascii="仿宋_GB2312" w:eastAsia="仿宋_GB2312"/>
                          <w:sz w:val="24"/>
                        </w:rPr>
                      </w:pPr>
                      <w:r>
                        <w:rPr>
                          <w:rFonts w:hint="eastAsia" w:ascii="仿宋_GB2312" w:eastAsia="仿宋_GB2312"/>
                          <w:sz w:val="24"/>
                        </w:rPr>
                        <w:t>身份证复印件粘贴处</w:t>
                      </w:r>
                    </w:p>
                  </w:txbxContent>
                </v:textbox>
              </v:shape>
            </w:pict>
          </mc:Fallback>
        </mc:AlternateContent>
      </w: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widowControl/>
        <w:spacing w:line="360" w:lineRule="auto"/>
        <w:jc w:val="center"/>
        <w:rPr>
          <w:rFonts w:ascii="宋体" w:hAnsi="宋体"/>
          <w:b/>
          <w:szCs w:val="21"/>
        </w:rPr>
      </w:pPr>
      <w:r>
        <w:rPr>
          <w:rFonts w:ascii="宋体" w:hAnsi="宋体"/>
          <w:b/>
          <w:szCs w:val="21"/>
        </w:rPr>
        <w:br w:type="page"/>
      </w:r>
      <w:bookmarkEnd w:id="25"/>
      <w:bookmarkEnd w:id="26"/>
      <w:r>
        <w:rPr>
          <w:rFonts w:hint="eastAsia" w:ascii="宋体" w:hAnsi="宋体"/>
          <w:b/>
          <w:szCs w:val="21"/>
        </w:rPr>
        <w:t>法定代表人授权书</w:t>
      </w:r>
    </w:p>
    <w:p>
      <w:pPr>
        <w:spacing w:before="156" w:beforeLines="50" w:line="360" w:lineRule="auto"/>
        <w:rPr>
          <w:rFonts w:ascii="宋体" w:hAnsi="宋体"/>
          <w:szCs w:val="21"/>
        </w:rPr>
      </w:pPr>
      <w:r>
        <w:rPr>
          <w:rFonts w:hint="eastAsia" w:ascii="宋体" w:hAnsi="宋体"/>
          <w:szCs w:val="21"/>
        </w:rPr>
        <w:t>致： 广东省消防救援总队</w:t>
      </w:r>
    </w:p>
    <w:p>
      <w:pPr>
        <w:spacing w:line="360" w:lineRule="auto"/>
        <w:ind w:firstLine="420" w:firstLineChars="200"/>
        <w:rPr>
          <w:rFonts w:ascii="宋体" w:hAnsi="宋体"/>
          <w:szCs w:val="21"/>
        </w:rPr>
      </w:pPr>
      <w:r>
        <w:rPr>
          <w:rFonts w:hint="eastAsia" w:ascii="宋体" w:hAnsi="宋体"/>
          <w:szCs w:val="21"/>
        </w:rPr>
        <w:t>兹授权同志，为我方签订经济合同及办理其他事务代理人，其权限是：全权代表本公司参与上述采购项目的参评，负责提供与签署确认一切文书资料，以及向贵方递交的任何补充承诺。</w:t>
      </w:r>
    </w:p>
    <w:p>
      <w:pPr>
        <w:spacing w:line="360" w:lineRule="auto"/>
        <w:ind w:firstLine="420" w:firstLineChars="200"/>
        <w:rPr>
          <w:rFonts w:ascii="宋体" w:hAnsi="宋体"/>
          <w:szCs w:val="21"/>
        </w:rPr>
      </w:pPr>
    </w:p>
    <w:p>
      <w:pPr>
        <w:spacing w:line="360" w:lineRule="auto"/>
        <w:rPr>
          <w:rFonts w:ascii="宋体" w:hAnsi="宋体"/>
          <w:szCs w:val="21"/>
        </w:rPr>
      </w:pPr>
      <w:r>
        <w:rPr>
          <w:rFonts w:hint="eastAsia" w:ascii="宋体" w:hAnsi="宋体"/>
          <w:szCs w:val="21"/>
        </w:rPr>
        <w:t xml:space="preserve">授权单位：      （盖章）     </w:t>
      </w:r>
    </w:p>
    <w:p>
      <w:pPr>
        <w:spacing w:line="360" w:lineRule="auto"/>
        <w:rPr>
          <w:rFonts w:ascii="宋体" w:hAnsi="宋体"/>
          <w:szCs w:val="21"/>
        </w:rPr>
      </w:pPr>
      <w:r>
        <w:rPr>
          <w:rFonts w:hint="eastAsia" w:ascii="宋体" w:hAnsi="宋体"/>
          <w:szCs w:val="21"/>
        </w:rPr>
        <w:t>法定代表人            （签名或盖章）</w:t>
      </w:r>
    </w:p>
    <w:p>
      <w:pPr>
        <w:spacing w:line="360" w:lineRule="auto"/>
        <w:rPr>
          <w:rFonts w:ascii="宋体" w:hAnsi="宋体"/>
          <w:szCs w:val="21"/>
        </w:rPr>
      </w:pPr>
      <w:r>
        <w:rPr>
          <w:rFonts w:hint="eastAsia" w:ascii="宋体" w:hAnsi="宋体"/>
          <w:szCs w:val="21"/>
        </w:rPr>
        <w:t>有效期限：至        年       月      日       签发日期：</w:t>
      </w:r>
    </w:p>
    <w:p>
      <w:pPr>
        <w:spacing w:line="360" w:lineRule="auto"/>
        <w:rPr>
          <w:rFonts w:ascii="宋体" w:hAnsi="宋体"/>
          <w:szCs w:val="21"/>
        </w:rPr>
      </w:pPr>
      <w:r>
        <w:rPr>
          <w:rFonts w:hint="eastAsia" w:ascii="宋体" w:hAnsi="宋体"/>
          <w:szCs w:val="21"/>
        </w:rPr>
        <w:t>附：代理人性别：        年龄：       职务：         身份证号码：</w:t>
      </w:r>
    </w:p>
    <w:p>
      <w:pPr>
        <w:spacing w:line="360" w:lineRule="auto"/>
        <w:rPr>
          <w:rFonts w:ascii="宋体" w:hAnsi="宋体"/>
          <w:szCs w:val="21"/>
        </w:rPr>
      </w:pPr>
      <w:r>
        <w:rPr>
          <w:rFonts w:hint="eastAsia" w:ascii="宋体" w:hAnsi="宋体"/>
          <w:szCs w:val="21"/>
        </w:rPr>
        <w:t xml:space="preserve">  联系电话：</w:t>
      </w:r>
    </w:p>
    <w:p>
      <w:pPr>
        <w:spacing w:line="360" w:lineRule="auto"/>
        <w:rPr>
          <w:rFonts w:ascii="宋体" w:hAnsi="宋体"/>
          <w:szCs w:val="21"/>
        </w:rPr>
      </w:pPr>
    </w:p>
    <w:p>
      <w:pPr>
        <w:pStyle w:val="20"/>
        <w:spacing w:line="360" w:lineRule="auto"/>
        <w:rPr>
          <w:rFonts w:hAnsi="宋体"/>
          <w:szCs w:val="21"/>
        </w:rPr>
      </w:pPr>
      <w:r>
        <w:rPr>
          <w:rFonts w:hint="eastAsia" w:hAnsi="宋体"/>
          <w:szCs w:val="21"/>
        </w:rPr>
        <w:t>说明：1.法定代表人为企业事业单位、国家机关、社会团体的主要行政负责人。</w:t>
      </w:r>
    </w:p>
    <w:p>
      <w:pPr>
        <w:pStyle w:val="20"/>
        <w:spacing w:line="360" w:lineRule="auto"/>
        <w:ind w:firstLine="630" w:firstLineChars="300"/>
        <w:rPr>
          <w:rFonts w:hAnsi="宋体"/>
          <w:szCs w:val="21"/>
        </w:rPr>
      </w:pPr>
      <w:r>
        <w:rPr>
          <w:rFonts w:hint="eastAsia" w:hAnsi="宋体"/>
          <w:szCs w:val="21"/>
        </w:rPr>
        <w:t>2.内容必须填写真实、清楚、涂改无效，不得转让、买卖。</w:t>
      </w:r>
    </w:p>
    <w:p>
      <w:pPr>
        <w:pStyle w:val="20"/>
        <w:spacing w:line="360" w:lineRule="auto"/>
        <w:ind w:firstLine="630" w:firstLineChars="300"/>
        <w:rPr>
          <w:rFonts w:hAnsi="宋体"/>
          <w:szCs w:val="21"/>
        </w:rPr>
      </w:pPr>
      <w:r>
        <w:rPr>
          <w:rFonts w:hint="eastAsia" w:hAnsi="宋体"/>
          <w:szCs w:val="21"/>
        </w:rPr>
        <w:t>3.将此证明书提交对方作为合同附件。</w:t>
      </w:r>
    </w:p>
    <w:p>
      <w:pPr>
        <w:pStyle w:val="20"/>
        <w:spacing w:line="360" w:lineRule="auto"/>
        <w:ind w:firstLine="630" w:firstLineChars="300"/>
        <w:rPr>
          <w:rFonts w:hAnsi="宋体"/>
          <w:szCs w:val="21"/>
        </w:rPr>
      </w:pPr>
      <w:r>
        <w:rPr>
          <w:rFonts w:hint="eastAsia" w:hAnsi="宋体"/>
          <w:szCs w:val="21"/>
        </w:rPr>
        <w:t>4.参评签字代表为法定代表人，则本表不适用。</w:t>
      </w:r>
    </w:p>
    <w:p>
      <w:pPr>
        <w:spacing w:line="360" w:lineRule="auto"/>
        <w:ind w:firstLine="420"/>
        <w:rPr>
          <w:rFonts w:ascii="宋体" w:hAnsi="宋体"/>
          <w:szCs w:val="21"/>
          <w:u w:val="single"/>
        </w:rPr>
      </w:pPr>
      <w:r>
        <w:rPr>
          <w:rFonts w:ascii="宋体" w:hAnsi="宋体"/>
          <w:szCs w:val="21"/>
          <w:u w:val="single"/>
        </w:rPr>
        <mc:AlternateContent>
          <mc:Choice Requires="wps">
            <w:drawing>
              <wp:anchor distT="0" distB="0" distL="114300" distR="114300" simplePos="0" relativeHeight="251659264" behindDoc="0" locked="0" layoutInCell="1" allowOverlap="1">
                <wp:simplePos x="0" y="0"/>
                <wp:positionH relativeFrom="column">
                  <wp:posOffset>1466850</wp:posOffset>
                </wp:positionH>
                <wp:positionV relativeFrom="paragraph">
                  <wp:posOffset>33020</wp:posOffset>
                </wp:positionV>
                <wp:extent cx="2333625" cy="1376680"/>
                <wp:effectExtent l="0" t="0" r="28575" b="13970"/>
                <wp:wrapSquare wrapText="bothSides"/>
                <wp:docPr id="1" name="流程图: 可选过程 1"/>
                <wp:cNvGraphicFramePr/>
                <a:graphic xmlns:a="http://schemas.openxmlformats.org/drawingml/2006/main">
                  <a:graphicData uri="http://schemas.microsoft.com/office/word/2010/wordprocessingShape">
                    <wps:wsp>
                      <wps:cNvSpPr/>
                      <wps:spPr>
                        <a:xfrm>
                          <a:off x="0" y="0"/>
                          <a:ext cx="2333625" cy="13766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sz w:val="24"/>
                              </w:rPr>
                            </w:pPr>
                            <w:r>
                              <w:rPr>
                                <w:rFonts w:hint="eastAsia" w:ascii="仿宋_GB2312" w:eastAsia="仿宋_GB2312"/>
                                <w:sz w:val="24"/>
                              </w:rPr>
                              <w:t>身份证复印件粘贴处</w:t>
                            </w:r>
                          </w:p>
                          <w:p>
                            <w:pPr>
                              <w:jc w:val="center"/>
                              <w:rPr>
                                <w:rFonts w:ascii="仿宋_GB2312" w:eastAsia="仿宋_GB2312"/>
                                <w:sz w:val="24"/>
                              </w:rPr>
                            </w:pPr>
                          </w:p>
                        </w:txbxContent>
                      </wps:txbx>
                      <wps:bodyPr wrap="square" upright="1"/>
                    </wps:wsp>
                  </a:graphicData>
                </a:graphic>
              </wp:anchor>
            </w:drawing>
          </mc:Choice>
          <mc:Fallback>
            <w:pict>
              <v:shape id="_x0000_s1026" o:spid="_x0000_s1026" o:spt="176" type="#_x0000_t176" style="position:absolute;left:0pt;margin-left:115.5pt;margin-top:2.6pt;height:108.4pt;width:183.75pt;mso-wrap-distance-bottom:0pt;mso-wrap-distance-left:9pt;mso-wrap-distance-right:9pt;mso-wrap-distance-top:0pt;z-index:251659264;mso-width-relative:page;mso-height-relative:page;" fillcolor="#FFFFFF" filled="t" stroked="t" coordsize="21600,21600" o:gfxdata="UEsDBAoAAAAAAIdO4kAAAAAAAAAAAAAAAAAEAAAAZHJzL1BLAwQUAAAACACHTuJA0BCFXdcAAAAJ&#10;AQAADwAAAGRycy9kb3ducmV2LnhtbE2PQU+EMBCF7yb+h2ZMvLkt3bCyLGVjNHryIm7itdBZINKW&#10;0MKiv97xpMfJN3nve8VxtQNbcAq9dwqSjQCGrvGmd62C0/vzXQYsRO2MHrxDBV8Y4FheXxU6N/7i&#10;3nCpYssoxIVcK+hiHHPOQ9Oh1WHjR3TEzn6yOtI5tdxM+kLhduBSiB23unfU0OkRHztsPqvZKlhf&#10;v+v9/JI0Veyy3f3Hdnl6OHGlbm8ScQAWcY1/z/CrT+pQklPtZ2cCGxTIbUJbooJUAiOe7rMUWE1A&#10;SgG8LPj/BeUPUEsDBBQAAAAIAIdO4kASaVzpFwIAABAEAAAOAAAAZHJzL2Uyb0RvYy54bWytU0uO&#10;EzEQ3SNxB8t70vlowtBKZ4QmhA2CSAMHqLjtbkv+YTvpzg5WCLHgAFyAHSu2cJrhcwvKTsjMAAuE&#10;6IW7/Knn916VZ2e9VmTLfZDWVHQ0GFLCDbO1NE1Fnz1d3jmlJEQwNShreEV3PNCz+e1bs86VfGxb&#10;q2ruCYKYUHauom2MriyKwFquIQys4wY3hfUaIk59U9QeOkTXqhgPh9Ois7523jIeAq4u9pt0nvGF&#10;4Cw+ESLwSFRFkVvMo8/jOo3FfAZl48G1kh1owD+w0CANXnqEWkAEsvHyNygtmbfBijhgVhdWCMl4&#10;1oBqRsNf1Fy04HjWguYEd7Qp/D9Y9ni78kTWWDtKDGgs0ZePL7++f3P57lNJLt9++P7i9bfPr3CB&#10;jJJZnQsl5ly4lT/MAoZJeS+8Tn/URPps8O5oMO8jYbg4nkwm0/EJJQz3RpO70+lpLkFxle58iA+5&#10;1SQFFRXKduct+HhfRe4NRL7aFzu7DdtHISIPzP+ZlygEq2S9lErliW/W58qTLWALLPOXhGDKjWPK&#10;kK6i904yO8BOFAoiEtUOvQmmyffdyAjXgYf5+xNwIraA0O4JZIR0DEotUVGOWg71A1OTuHPov8GH&#10;QhMZzWtKFMd3laJ8MoJUf3MS1SmDIlO59gVKUezXPcKkcG3rHRa+w85Hec834PHOjfOyadH1XOqc&#10;jG2XvTo8kdTX1+f5iquHPP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0BCFXdcAAAAJAQAADwAA&#10;AAAAAAABACAAAAAiAAAAZHJzL2Rvd25yZXYueG1sUEsBAhQAFAAAAAgAh07iQBJpXOkXAgAAEAQA&#10;AA4AAAAAAAAAAQAgAAAAJgEAAGRycy9lMm9Eb2MueG1sUEsFBgAAAAAGAAYAWQEAAK8FAAAAAA==&#10;">
                <v:fill on="t" focussize="0,0"/>
                <v:stroke color="#000000" joinstyle="miter"/>
                <v:imagedata o:title=""/>
                <o:lock v:ext="edit" aspectratio="f"/>
                <v:textbox>
                  <w:txbxContent>
                    <w:p>
                      <w:pPr>
                        <w:jc w:val="center"/>
                        <w:rPr>
                          <w:rFonts w:ascii="仿宋_GB2312" w:eastAsia="仿宋_GB2312"/>
                          <w:sz w:val="24"/>
                        </w:rPr>
                      </w:pPr>
                      <w:r>
                        <w:rPr>
                          <w:rFonts w:hint="eastAsia" w:ascii="仿宋_GB2312" w:eastAsia="仿宋_GB2312"/>
                          <w:sz w:val="24"/>
                        </w:rPr>
                        <w:t>身份证复印件粘贴处</w:t>
                      </w:r>
                    </w:p>
                    <w:p>
                      <w:pPr>
                        <w:jc w:val="center"/>
                        <w:rPr>
                          <w:rFonts w:ascii="仿宋_GB2312" w:eastAsia="仿宋_GB2312"/>
                          <w:sz w:val="24"/>
                        </w:rPr>
                      </w:pPr>
                    </w:p>
                  </w:txbxContent>
                </v:textbox>
                <w10:wrap type="square"/>
              </v:shape>
            </w:pict>
          </mc:Fallback>
        </mc:AlternateContent>
      </w:r>
    </w:p>
    <w:p>
      <w:pPr>
        <w:tabs>
          <w:tab w:val="left" w:pos="2041"/>
          <w:tab w:val="left" w:pos="3600"/>
          <w:tab w:val="left" w:pos="3780"/>
        </w:tabs>
        <w:spacing w:line="360" w:lineRule="auto"/>
        <w:ind w:left="4859" w:leftChars="2314" w:right="840" w:rightChars="400"/>
        <w:rPr>
          <w:rFonts w:ascii="宋体" w:hAnsi="宋体"/>
          <w:szCs w:val="21"/>
        </w:rPr>
      </w:pPr>
    </w:p>
    <w:p>
      <w:pPr>
        <w:tabs>
          <w:tab w:val="left" w:pos="2041"/>
        </w:tabs>
        <w:spacing w:before="93" w:beforeLines="30" w:line="360" w:lineRule="auto"/>
        <w:rPr>
          <w:rFonts w:ascii="宋体" w:hAnsi="宋体"/>
          <w:b/>
          <w:szCs w:val="21"/>
        </w:rPr>
      </w:pPr>
    </w:p>
    <w:p>
      <w:pPr>
        <w:widowControl/>
        <w:spacing w:line="360" w:lineRule="auto"/>
        <w:jc w:val="left"/>
        <w:rPr>
          <w:rFonts w:ascii="宋体" w:hAnsi="宋体" w:cs="Arial"/>
          <w:b/>
          <w:sz w:val="28"/>
          <w:szCs w:val="28"/>
        </w:rPr>
      </w:pPr>
      <w:r>
        <w:rPr>
          <w:rFonts w:ascii="宋体" w:hAnsi="宋体"/>
          <w:szCs w:val="21"/>
        </w:rPr>
        <w:br w:type="page"/>
      </w:r>
      <w:r>
        <w:rPr>
          <w:rFonts w:hint="eastAsia" w:ascii="宋体" w:hAnsi="宋体"/>
          <w:b/>
          <w:sz w:val="28"/>
          <w:szCs w:val="28"/>
        </w:rPr>
        <w:t>五、</w:t>
      </w:r>
      <w:r>
        <w:rPr>
          <w:rFonts w:hint="eastAsia" w:ascii="宋体" w:hAnsi="宋体" w:cs="Arial"/>
          <w:b/>
          <w:sz w:val="28"/>
          <w:szCs w:val="28"/>
        </w:rPr>
        <w:t>参评报价表格式</w:t>
      </w:r>
    </w:p>
    <w:p>
      <w:pPr>
        <w:spacing w:before="62" w:beforeLines="20" w:line="360" w:lineRule="auto"/>
        <w:jc w:val="center"/>
        <w:rPr>
          <w:rFonts w:ascii="宋体" w:hAnsi="宋体"/>
          <w:b/>
          <w:szCs w:val="21"/>
        </w:rPr>
      </w:pPr>
      <w:r>
        <w:rPr>
          <w:rFonts w:hint="eastAsia" w:ascii="宋体" w:hAnsi="宋体"/>
          <w:b/>
          <w:szCs w:val="21"/>
        </w:rPr>
        <w:t>（1）参评一览表</w:t>
      </w:r>
    </w:p>
    <w:p>
      <w:pPr>
        <w:spacing w:before="156" w:beforeLines="50" w:after="156" w:afterLines="50" w:line="360" w:lineRule="auto"/>
        <w:ind w:left="158" w:leftChars="75"/>
        <w:rPr>
          <w:rFonts w:ascii="宋体" w:hAnsi="宋体" w:cs="Arial"/>
          <w:szCs w:val="21"/>
        </w:rPr>
      </w:pPr>
      <w:r>
        <w:rPr>
          <w:rFonts w:hint="eastAsia" w:ascii="宋体" w:hAnsi="宋体" w:cs="Arial"/>
          <w:szCs w:val="21"/>
        </w:rPr>
        <w:t>项目名称：</w:t>
      </w:r>
      <w:r>
        <w:rPr>
          <w:rFonts w:ascii="宋体" w:hAnsi="宋体" w:cs="Arial"/>
          <w:szCs w:val="21"/>
        </w:rPr>
        <w:t>广东省消防救援总队信息安全等级保护测评服务（2022年）</w:t>
      </w:r>
    </w:p>
    <w:p>
      <w:pPr>
        <w:spacing w:before="156" w:beforeLines="50" w:after="156" w:afterLines="50" w:line="360" w:lineRule="auto"/>
        <w:ind w:left="158" w:leftChars="75"/>
        <w:rPr>
          <w:rFonts w:ascii="宋体" w:hAnsi="宋体" w:cs="Arial"/>
          <w:szCs w:val="21"/>
        </w:rPr>
      </w:pPr>
      <w:r>
        <w:rPr>
          <w:rFonts w:hint="eastAsia" w:ascii="宋体" w:hAnsi="宋体" w:cs="Arial"/>
          <w:szCs w:val="21"/>
        </w:rPr>
        <w:t>项目编号：</w:t>
      </w:r>
      <w:r>
        <w:rPr>
          <w:rFonts w:hint="eastAsia" w:ascii="宋体" w:hAnsi="宋体"/>
          <w:szCs w:val="21"/>
        </w:rPr>
        <w:t>ZDXXH2022001</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1"/>
        <w:gridCol w:w="5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3211" w:type="dxa"/>
            <w:shd w:val="clear" w:color="auto" w:fill="EAEAEA"/>
            <w:vAlign w:val="center"/>
          </w:tcPr>
          <w:p>
            <w:pPr>
              <w:spacing w:line="360" w:lineRule="auto"/>
              <w:jc w:val="center"/>
              <w:rPr>
                <w:rFonts w:ascii="宋体" w:hAnsi="宋体" w:cs="宋体"/>
                <w:b/>
                <w:kern w:val="0"/>
                <w:szCs w:val="21"/>
              </w:rPr>
            </w:pPr>
            <w:r>
              <w:rPr>
                <w:rFonts w:hint="eastAsia" w:ascii="宋体" w:hAnsi="宋体" w:cs="宋体"/>
                <w:b/>
                <w:kern w:val="0"/>
                <w:szCs w:val="21"/>
              </w:rPr>
              <w:t>项目名称</w:t>
            </w:r>
          </w:p>
        </w:tc>
        <w:tc>
          <w:tcPr>
            <w:tcW w:w="5849" w:type="dxa"/>
            <w:shd w:val="clear" w:color="auto" w:fill="EAEAEA"/>
            <w:vAlign w:val="center"/>
          </w:tcPr>
          <w:p>
            <w:pPr>
              <w:spacing w:line="360" w:lineRule="auto"/>
              <w:jc w:val="center"/>
              <w:rPr>
                <w:rFonts w:ascii="宋体" w:hAnsi="宋体" w:cs="宋体"/>
                <w:b/>
                <w:kern w:val="0"/>
                <w:szCs w:val="21"/>
              </w:rPr>
            </w:pPr>
            <w:r>
              <w:rPr>
                <w:rFonts w:hint="eastAsia" w:ascii="宋体" w:hAnsi="宋体" w:cs="宋体"/>
                <w:b/>
                <w:kern w:val="0"/>
                <w:szCs w:val="21"/>
              </w:rPr>
              <w:t>参评总报价（元）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3211" w:type="dxa"/>
            <w:vMerge w:val="restart"/>
            <w:vAlign w:val="center"/>
          </w:tcPr>
          <w:p>
            <w:pPr>
              <w:spacing w:line="360" w:lineRule="auto"/>
              <w:jc w:val="center"/>
              <w:rPr>
                <w:rFonts w:ascii="宋体" w:hAnsi="宋体" w:cs="宋体"/>
                <w:kern w:val="0"/>
                <w:szCs w:val="21"/>
              </w:rPr>
            </w:pPr>
            <w:r>
              <w:rPr>
                <w:rFonts w:ascii="宋体" w:hAnsi="宋体" w:cs="Arial"/>
                <w:szCs w:val="21"/>
              </w:rPr>
              <w:t>广东省消防救援总队信息安全等级保护测评服务（2022年）</w:t>
            </w:r>
          </w:p>
        </w:tc>
        <w:tc>
          <w:tcPr>
            <w:tcW w:w="5849" w:type="dxa"/>
            <w:vAlign w:val="center"/>
          </w:tcPr>
          <w:p>
            <w:pPr>
              <w:spacing w:line="360" w:lineRule="auto"/>
              <w:jc w:val="center"/>
              <w:rPr>
                <w:rFonts w:ascii="宋体" w:hAnsi="宋体" w:cs="宋体"/>
                <w:kern w:val="0"/>
                <w:szCs w:val="21"/>
              </w:rPr>
            </w:pPr>
            <w:r>
              <w:rPr>
                <w:rFonts w:hint="eastAsia" w:ascii="宋体" w:hAnsi="宋体" w:cs="宋体"/>
                <w:bCs/>
                <w:kern w:val="0"/>
                <w:szCs w:val="21"/>
              </w:rPr>
              <w:t>大写：人民币元整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3211" w:type="dxa"/>
            <w:vMerge w:val="continue"/>
            <w:vAlign w:val="center"/>
          </w:tcPr>
          <w:p>
            <w:pPr>
              <w:spacing w:line="360" w:lineRule="auto"/>
              <w:jc w:val="center"/>
              <w:rPr>
                <w:rFonts w:ascii="宋体" w:hAnsi="宋体" w:cs="宋体"/>
                <w:kern w:val="0"/>
                <w:szCs w:val="21"/>
              </w:rPr>
            </w:pPr>
          </w:p>
        </w:tc>
        <w:tc>
          <w:tcPr>
            <w:tcW w:w="5849" w:type="dxa"/>
            <w:vAlign w:val="center"/>
          </w:tcPr>
          <w:p>
            <w:pPr>
              <w:spacing w:line="360" w:lineRule="auto"/>
              <w:jc w:val="left"/>
              <w:rPr>
                <w:rFonts w:ascii="宋体" w:hAnsi="宋体" w:cs="宋体"/>
                <w:kern w:val="0"/>
                <w:szCs w:val="21"/>
              </w:rPr>
            </w:pPr>
            <w:r>
              <w:rPr>
                <w:rFonts w:hint="eastAsia" w:ascii="宋体" w:hAnsi="宋体" w:cs="宋体"/>
                <w:bCs/>
                <w:kern w:val="0"/>
                <w:szCs w:val="21"/>
              </w:rPr>
              <w:t>小写：¥</w:t>
            </w:r>
          </w:p>
        </w:tc>
      </w:tr>
    </w:tbl>
    <w:p>
      <w:pPr>
        <w:pStyle w:val="20"/>
        <w:snapToGrid w:val="0"/>
        <w:ind w:right="120" w:rightChars="57"/>
        <w:jc w:val="left"/>
        <w:rPr>
          <w:rFonts w:hAnsi="宋体" w:cs="Arial"/>
        </w:rPr>
      </w:pPr>
    </w:p>
    <w:p>
      <w:pPr>
        <w:pStyle w:val="71"/>
        <w:numPr>
          <w:ilvl w:val="0"/>
          <w:numId w:val="12"/>
        </w:numPr>
        <w:tabs>
          <w:tab w:val="left" w:pos="360"/>
        </w:tabs>
        <w:snapToGrid w:val="0"/>
        <w:ind w:right="120" w:rightChars="57"/>
        <w:jc w:val="left"/>
        <w:rPr>
          <w:rFonts w:hAnsi="宋体" w:cs="Arial"/>
          <w:sz w:val="21"/>
        </w:rPr>
      </w:pPr>
      <w:r>
        <w:rPr>
          <w:rFonts w:hAnsi="宋体" w:cs="Arial"/>
          <w:sz w:val="21"/>
        </w:rPr>
        <w:t>相关价格包括</w:t>
      </w:r>
      <w:r>
        <w:rPr>
          <w:rFonts w:hint="eastAsia" w:hAnsi="宋体" w:cs="Arial"/>
          <w:sz w:val="21"/>
        </w:rPr>
        <w:t>完成本次项目建设任务过程中所有可能发生的费用、专家评审费用、验收费用、培训费用和售后免费服务费用，即包括设备设计、制造、仓储、包装、运输及保险、安装及安装辅料、装卸、调试、验收、培训、随机附件、标配工具、设备正常使用所需的配件、质保期服务、一切技术服务和售后服务费用及合同实施执行过程中的不可预见费用等所有的含税费用</w:t>
      </w:r>
      <w:r>
        <w:rPr>
          <w:rFonts w:hAnsi="宋体" w:cs="Arial"/>
          <w:sz w:val="21"/>
        </w:rPr>
        <w:t>。</w:t>
      </w:r>
    </w:p>
    <w:p>
      <w:pPr>
        <w:tabs>
          <w:tab w:val="left" w:pos="0"/>
        </w:tabs>
        <w:spacing w:line="360" w:lineRule="auto"/>
        <w:ind w:right="-212"/>
        <w:rPr>
          <w:rFonts w:ascii="宋体" w:hAnsi="宋体"/>
          <w:szCs w:val="21"/>
        </w:rPr>
      </w:pPr>
      <w:r>
        <w:rPr>
          <w:rFonts w:hint="eastAsia" w:ascii="宋体" w:hAnsi="宋体"/>
          <w:szCs w:val="21"/>
        </w:rPr>
        <w:t>2.所有价格均应以人民币报价，金额单位为元。</w:t>
      </w:r>
    </w:p>
    <w:p>
      <w:pPr>
        <w:spacing w:line="360" w:lineRule="auto"/>
        <w:ind w:left="748" w:hanging="567"/>
        <w:rPr>
          <w:rFonts w:ascii="宋体" w:hAnsi="宋体"/>
          <w:szCs w:val="21"/>
        </w:rPr>
      </w:pPr>
    </w:p>
    <w:p>
      <w:pPr>
        <w:spacing w:line="360" w:lineRule="auto"/>
        <w:ind w:left="748" w:hanging="567"/>
        <w:rPr>
          <w:rFonts w:ascii="宋体" w:hAnsi="宋体"/>
          <w:szCs w:val="21"/>
        </w:rPr>
      </w:pPr>
    </w:p>
    <w:p>
      <w:pPr>
        <w:spacing w:line="360" w:lineRule="auto"/>
        <w:ind w:left="748" w:hanging="567"/>
        <w:rPr>
          <w:rFonts w:ascii="宋体" w:hAnsi="宋体"/>
          <w:szCs w:val="21"/>
        </w:rPr>
      </w:pPr>
      <w:r>
        <w:rPr>
          <w:rFonts w:hint="eastAsia" w:ascii="宋体" w:hAnsi="宋体"/>
          <w:szCs w:val="21"/>
        </w:rPr>
        <w:t>参评人名称（并加盖公章）：</w:t>
      </w:r>
    </w:p>
    <w:p>
      <w:pPr>
        <w:spacing w:line="360" w:lineRule="auto"/>
        <w:ind w:left="748" w:hanging="567"/>
        <w:rPr>
          <w:rFonts w:ascii="宋体" w:hAnsi="宋体"/>
          <w:szCs w:val="21"/>
        </w:rPr>
      </w:pPr>
      <w:r>
        <w:rPr>
          <w:rFonts w:hint="eastAsia" w:ascii="宋体" w:hAnsi="宋体" w:cs="Arial"/>
          <w:szCs w:val="21"/>
        </w:rPr>
        <w:t>参评人法定代表人或其委托人</w:t>
      </w:r>
      <w:r>
        <w:rPr>
          <w:rFonts w:hint="eastAsia" w:ascii="宋体" w:hAnsi="宋体"/>
          <w:szCs w:val="21"/>
        </w:rPr>
        <w:t>签名或印鉴</w:t>
      </w:r>
      <w:r>
        <w:rPr>
          <w:rFonts w:hint="eastAsia" w:ascii="宋体" w:hAnsi="宋体" w:cs="Arial"/>
          <w:szCs w:val="21"/>
        </w:rPr>
        <w:t>：</w:t>
      </w:r>
    </w:p>
    <w:p>
      <w:pPr>
        <w:spacing w:line="360" w:lineRule="auto"/>
        <w:ind w:left="748" w:hanging="567"/>
        <w:rPr>
          <w:rFonts w:ascii="宋体" w:hAnsi="宋体"/>
          <w:szCs w:val="21"/>
        </w:rPr>
      </w:pPr>
      <w:r>
        <w:rPr>
          <w:rFonts w:hint="eastAsia" w:ascii="宋体" w:hAnsi="宋体"/>
          <w:szCs w:val="21"/>
        </w:rPr>
        <w:t>日期：   年   月   日</w:t>
      </w:r>
    </w:p>
    <w:p>
      <w:pPr>
        <w:spacing w:before="62" w:beforeLines="20" w:line="360" w:lineRule="auto"/>
        <w:jc w:val="center"/>
        <w:rPr>
          <w:b/>
          <w:bCs/>
          <w:sz w:val="32"/>
          <w:szCs w:val="32"/>
        </w:rPr>
      </w:pPr>
      <w:bookmarkStart w:id="28" w:name="_Toc9135"/>
      <w:bookmarkStart w:id="29" w:name="_Toc493701218"/>
      <w:bookmarkStart w:id="30" w:name="_Toc483479923"/>
      <w:bookmarkStart w:id="31" w:name="_Toc18632"/>
      <w:bookmarkStart w:id="32" w:name="_Toc411585234"/>
      <w:bookmarkStart w:id="33" w:name="_Toc368513827"/>
      <w:r>
        <w:rPr>
          <w:rFonts w:ascii="宋体" w:hAnsi="宋体"/>
          <w:b/>
          <w:szCs w:val="21"/>
        </w:rPr>
        <w:br w:type="page"/>
      </w:r>
      <w:r>
        <w:rPr>
          <w:rFonts w:hint="eastAsia" w:ascii="宋体" w:hAnsi="宋体"/>
          <w:b/>
          <w:szCs w:val="21"/>
        </w:rPr>
        <w:t>（2）参评货物价格表</w:t>
      </w:r>
      <w:bookmarkEnd w:id="28"/>
      <w:bookmarkEnd w:id="29"/>
      <w:bookmarkEnd w:id="30"/>
      <w:bookmarkEnd w:id="31"/>
    </w:p>
    <w:p>
      <w:pPr>
        <w:spacing w:before="72" w:after="72" w:line="360" w:lineRule="auto"/>
        <w:rPr>
          <w:rFonts w:ascii="宋体" w:hAnsi="宋体" w:cs="宋体"/>
          <w:szCs w:val="21"/>
        </w:rPr>
      </w:pPr>
      <w:r>
        <w:rPr>
          <w:rFonts w:hint="eastAsia" w:ascii="宋体" w:hAnsi="宋体" w:cs="宋体"/>
          <w:szCs w:val="21"/>
        </w:rPr>
        <w:t>项目名称：</w:t>
      </w:r>
      <w:r>
        <w:rPr>
          <w:rFonts w:ascii="宋体" w:hAnsi="宋体" w:cs="Arial"/>
          <w:szCs w:val="21"/>
        </w:rPr>
        <w:t>广东省消防救援总队信息安全等级保护测评服务（2022年）</w:t>
      </w:r>
    </w:p>
    <w:p>
      <w:pPr>
        <w:spacing w:before="72" w:after="72" w:line="360" w:lineRule="auto"/>
        <w:rPr>
          <w:rFonts w:ascii="宋体" w:hAnsi="宋体" w:cs="宋体"/>
          <w:szCs w:val="21"/>
        </w:rPr>
      </w:pPr>
      <w:r>
        <w:rPr>
          <w:rFonts w:hint="eastAsia" w:ascii="宋体" w:hAnsi="宋体" w:cs="宋体"/>
          <w:szCs w:val="21"/>
        </w:rPr>
        <w:t>项目编号：</w:t>
      </w:r>
      <w:r>
        <w:rPr>
          <w:rFonts w:hint="eastAsia" w:ascii="宋体" w:hAnsi="宋体"/>
          <w:szCs w:val="21"/>
        </w:rPr>
        <w:t>ZDXXH2022001</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0"/>
        <w:gridCol w:w="1549"/>
        <w:gridCol w:w="2271"/>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1780" w:type="dxa"/>
            <w:shd w:val="clear" w:color="auto" w:fill="EAEAEA"/>
            <w:vAlign w:val="center"/>
          </w:tcPr>
          <w:p>
            <w:pPr>
              <w:jc w:val="center"/>
              <w:rPr>
                <w:rFonts w:ascii="宋体" w:hAnsi="宋体"/>
                <w:b/>
                <w:szCs w:val="21"/>
              </w:rPr>
            </w:pPr>
            <w:r>
              <w:rPr>
                <w:rFonts w:hint="eastAsia" w:ascii="宋体" w:hAnsi="宋体"/>
                <w:b/>
                <w:szCs w:val="21"/>
              </w:rPr>
              <w:t>序号</w:t>
            </w:r>
          </w:p>
        </w:tc>
        <w:tc>
          <w:tcPr>
            <w:tcW w:w="1549" w:type="dxa"/>
            <w:shd w:val="clear" w:color="auto" w:fill="EAEAEA"/>
            <w:vAlign w:val="center"/>
          </w:tcPr>
          <w:p>
            <w:pPr>
              <w:jc w:val="center"/>
              <w:rPr>
                <w:rFonts w:ascii="宋体" w:hAnsi="宋体"/>
                <w:b/>
                <w:szCs w:val="21"/>
              </w:rPr>
            </w:pPr>
            <w:r>
              <w:rPr>
                <w:rFonts w:hint="eastAsia" w:ascii="宋体" w:hAnsi="宋体"/>
                <w:b/>
                <w:szCs w:val="21"/>
              </w:rPr>
              <w:t>品名</w:t>
            </w:r>
          </w:p>
        </w:tc>
        <w:tc>
          <w:tcPr>
            <w:tcW w:w="2271" w:type="dxa"/>
            <w:shd w:val="clear" w:color="auto" w:fill="EAEAEA"/>
            <w:vAlign w:val="center"/>
          </w:tcPr>
          <w:p>
            <w:pPr>
              <w:jc w:val="center"/>
              <w:rPr>
                <w:rFonts w:ascii="宋体" w:hAnsi="宋体"/>
                <w:b/>
                <w:szCs w:val="21"/>
              </w:rPr>
            </w:pPr>
            <w:r>
              <w:rPr>
                <w:rFonts w:hint="eastAsia" w:ascii="宋体" w:hAnsi="宋体"/>
                <w:b/>
                <w:szCs w:val="21"/>
              </w:rPr>
              <w:t>单位</w:t>
            </w:r>
          </w:p>
        </w:tc>
        <w:tc>
          <w:tcPr>
            <w:tcW w:w="1903" w:type="dxa"/>
            <w:shd w:val="clear" w:color="auto" w:fill="EAEAEA"/>
            <w:vAlign w:val="center"/>
          </w:tcPr>
          <w:p>
            <w:pPr>
              <w:jc w:val="center"/>
              <w:rPr>
                <w:rFonts w:ascii="宋体" w:hAnsi="宋体"/>
                <w:b/>
                <w:szCs w:val="21"/>
              </w:rPr>
            </w:pPr>
            <w:r>
              <w:rPr>
                <w:rFonts w:hint="eastAsia" w:ascii="宋体" w:hAnsi="宋体"/>
                <w:b/>
                <w:szCs w:val="21"/>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1780" w:type="dxa"/>
            <w:vAlign w:val="center"/>
          </w:tcPr>
          <w:p>
            <w:pPr>
              <w:rPr>
                <w:rFonts w:ascii="宋体" w:hAnsi="宋体"/>
                <w:szCs w:val="21"/>
              </w:rPr>
            </w:pPr>
          </w:p>
        </w:tc>
        <w:tc>
          <w:tcPr>
            <w:tcW w:w="1549" w:type="dxa"/>
            <w:vAlign w:val="center"/>
          </w:tcPr>
          <w:p>
            <w:pPr>
              <w:rPr>
                <w:rFonts w:ascii="宋体" w:hAnsi="宋体"/>
                <w:szCs w:val="21"/>
              </w:rPr>
            </w:pPr>
          </w:p>
        </w:tc>
        <w:tc>
          <w:tcPr>
            <w:tcW w:w="2271" w:type="dxa"/>
            <w:vAlign w:val="center"/>
          </w:tcPr>
          <w:p>
            <w:pPr>
              <w:rPr>
                <w:rFonts w:ascii="宋体" w:hAnsi="宋体"/>
                <w:szCs w:val="21"/>
              </w:rPr>
            </w:pPr>
          </w:p>
        </w:tc>
        <w:tc>
          <w:tcPr>
            <w:tcW w:w="1903"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1780" w:type="dxa"/>
            <w:vAlign w:val="center"/>
          </w:tcPr>
          <w:p>
            <w:pPr>
              <w:rPr>
                <w:rFonts w:ascii="宋体" w:hAnsi="宋体"/>
                <w:szCs w:val="21"/>
              </w:rPr>
            </w:pPr>
          </w:p>
        </w:tc>
        <w:tc>
          <w:tcPr>
            <w:tcW w:w="1549" w:type="dxa"/>
            <w:vAlign w:val="center"/>
          </w:tcPr>
          <w:p>
            <w:pPr>
              <w:rPr>
                <w:rFonts w:ascii="宋体" w:hAnsi="宋体"/>
                <w:szCs w:val="21"/>
              </w:rPr>
            </w:pPr>
          </w:p>
        </w:tc>
        <w:tc>
          <w:tcPr>
            <w:tcW w:w="2271" w:type="dxa"/>
            <w:vAlign w:val="center"/>
          </w:tcPr>
          <w:p>
            <w:pPr>
              <w:rPr>
                <w:rFonts w:ascii="宋体" w:hAnsi="宋体"/>
                <w:szCs w:val="21"/>
              </w:rPr>
            </w:pPr>
          </w:p>
        </w:tc>
        <w:tc>
          <w:tcPr>
            <w:tcW w:w="1903"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1780" w:type="dxa"/>
            <w:tcBorders>
              <w:bottom w:val="single" w:color="auto" w:sz="4" w:space="0"/>
            </w:tcBorders>
            <w:vAlign w:val="center"/>
          </w:tcPr>
          <w:p>
            <w:pPr>
              <w:rPr>
                <w:rFonts w:ascii="宋体" w:hAnsi="宋体"/>
                <w:szCs w:val="21"/>
              </w:rPr>
            </w:pPr>
          </w:p>
        </w:tc>
        <w:tc>
          <w:tcPr>
            <w:tcW w:w="1549" w:type="dxa"/>
            <w:tcBorders>
              <w:bottom w:val="single" w:color="auto" w:sz="4" w:space="0"/>
            </w:tcBorders>
            <w:vAlign w:val="center"/>
          </w:tcPr>
          <w:p>
            <w:pPr>
              <w:rPr>
                <w:rFonts w:ascii="宋体" w:hAnsi="宋体"/>
                <w:szCs w:val="21"/>
              </w:rPr>
            </w:pPr>
          </w:p>
        </w:tc>
        <w:tc>
          <w:tcPr>
            <w:tcW w:w="2271" w:type="dxa"/>
            <w:tcBorders>
              <w:bottom w:val="single" w:color="auto" w:sz="4" w:space="0"/>
            </w:tcBorders>
            <w:vAlign w:val="center"/>
          </w:tcPr>
          <w:p>
            <w:pPr>
              <w:rPr>
                <w:rFonts w:ascii="宋体" w:hAnsi="宋体"/>
                <w:szCs w:val="21"/>
              </w:rPr>
            </w:pPr>
          </w:p>
        </w:tc>
        <w:tc>
          <w:tcPr>
            <w:tcW w:w="1903" w:type="dxa"/>
            <w:tcBorders>
              <w:bottom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1780" w:type="dxa"/>
            <w:tcBorders>
              <w:bottom w:val="single" w:color="auto" w:sz="4" w:space="0"/>
            </w:tcBorders>
            <w:vAlign w:val="center"/>
          </w:tcPr>
          <w:p>
            <w:pPr>
              <w:rPr>
                <w:rFonts w:ascii="宋体" w:hAnsi="宋体"/>
                <w:szCs w:val="21"/>
              </w:rPr>
            </w:pPr>
          </w:p>
        </w:tc>
        <w:tc>
          <w:tcPr>
            <w:tcW w:w="1549" w:type="dxa"/>
            <w:tcBorders>
              <w:bottom w:val="single" w:color="auto" w:sz="4" w:space="0"/>
            </w:tcBorders>
            <w:vAlign w:val="center"/>
          </w:tcPr>
          <w:p>
            <w:pPr>
              <w:rPr>
                <w:rFonts w:ascii="宋体" w:hAnsi="宋体"/>
                <w:szCs w:val="21"/>
              </w:rPr>
            </w:pPr>
          </w:p>
        </w:tc>
        <w:tc>
          <w:tcPr>
            <w:tcW w:w="2271" w:type="dxa"/>
            <w:tcBorders>
              <w:bottom w:val="single" w:color="auto" w:sz="4" w:space="0"/>
            </w:tcBorders>
            <w:vAlign w:val="center"/>
          </w:tcPr>
          <w:p>
            <w:pPr>
              <w:rPr>
                <w:rFonts w:ascii="宋体" w:hAnsi="宋体"/>
                <w:szCs w:val="21"/>
              </w:rPr>
            </w:pPr>
          </w:p>
        </w:tc>
        <w:tc>
          <w:tcPr>
            <w:tcW w:w="1903" w:type="dxa"/>
            <w:tcBorders>
              <w:bottom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1780" w:type="dxa"/>
            <w:tcBorders>
              <w:bottom w:val="single" w:color="auto" w:sz="4" w:space="0"/>
            </w:tcBorders>
            <w:vAlign w:val="center"/>
          </w:tcPr>
          <w:p>
            <w:pPr>
              <w:rPr>
                <w:rFonts w:ascii="宋体" w:hAnsi="宋体"/>
                <w:szCs w:val="21"/>
              </w:rPr>
            </w:pPr>
          </w:p>
        </w:tc>
        <w:tc>
          <w:tcPr>
            <w:tcW w:w="1549" w:type="dxa"/>
            <w:tcBorders>
              <w:bottom w:val="single" w:color="auto" w:sz="4" w:space="0"/>
            </w:tcBorders>
            <w:vAlign w:val="center"/>
          </w:tcPr>
          <w:p>
            <w:pPr>
              <w:rPr>
                <w:rFonts w:ascii="宋体" w:hAnsi="宋体"/>
                <w:szCs w:val="21"/>
              </w:rPr>
            </w:pPr>
          </w:p>
        </w:tc>
        <w:tc>
          <w:tcPr>
            <w:tcW w:w="2271" w:type="dxa"/>
            <w:tcBorders>
              <w:bottom w:val="single" w:color="auto" w:sz="4" w:space="0"/>
            </w:tcBorders>
            <w:vAlign w:val="center"/>
          </w:tcPr>
          <w:p>
            <w:pPr>
              <w:rPr>
                <w:rFonts w:ascii="宋体" w:hAnsi="宋体"/>
                <w:szCs w:val="21"/>
              </w:rPr>
            </w:pPr>
          </w:p>
        </w:tc>
        <w:tc>
          <w:tcPr>
            <w:tcW w:w="1903" w:type="dxa"/>
            <w:tcBorders>
              <w:bottom w:val="single" w:color="auto" w:sz="4" w:space="0"/>
            </w:tcBorders>
            <w:vAlign w:val="center"/>
          </w:tcPr>
          <w:p>
            <w:pPr>
              <w:rPr>
                <w:rFonts w:ascii="宋体" w:hAnsi="宋体"/>
                <w:szCs w:val="21"/>
              </w:rPr>
            </w:pPr>
          </w:p>
        </w:tc>
      </w:tr>
    </w:tbl>
    <w:p>
      <w:pPr>
        <w:spacing w:before="72" w:after="72" w:line="360" w:lineRule="auto"/>
        <w:ind w:left="960" w:hanging="960"/>
        <w:rPr>
          <w:rFonts w:ascii="宋体" w:hAnsi="宋体" w:cs="宋体"/>
          <w:bCs/>
          <w:szCs w:val="21"/>
        </w:rPr>
      </w:pPr>
      <w:r>
        <w:rPr>
          <w:rFonts w:hint="eastAsia" w:ascii="宋体" w:hAnsi="宋体" w:cs="宋体"/>
          <w:bCs/>
          <w:szCs w:val="21"/>
        </w:rPr>
        <w:t>注：</w:t>
      </w:r>
    </w:p>
    <w:p>
      <w:pPr>
        <w:numPr>
          <w:ilvl w:val="0"/>
          <w:numId w:val="13"/>
        </w:numPr>
        <w:spacing w:before="72" w:after="72" w:line="360" w:lineRule="auto"/>
        <w:rPr>
          <w:rFonts w:ascii="宋体" w:hAnsi="宋体" w:cs="宋体"/>
          <w:szCs w:val="21"/>
        </w:rPr>
      </w:pPr>
      <w:r>
        <w:rPr>
          <w:rFonts w:hint="eastAsia" w:ascii="宋体" w:hAnsi="宋体" w:cs="宋体"/>
          <w:szCs w:val="21"/>
        </w:rPr>
        <w:t>以上内容必须与服务要求中的价格表一致。</w:t>
      </w:r>
    </w:p>
    <w:p>
      <w:pPr>
        <w:numPr>
          <w:ilvl w:val="0"/>
          <w:numId w:val="13"/>
        </w:numPr>
        <w:spacing w:before="72" w:after="72" w:line="360" w:lineRule="auto"/>
        <w:rPr>
          <w:rFonts w:ascii="宋体" w:hAnsi="宋体" w:cs="宋体"/>
          <w:szCs w:val="21"/>
        </w:rPr>
      </w:pPr>
      <w:r>
        <w:rPr>
          <w:rFonts w:hint="eastAsia" w:ascii="宋体" w:hAnsi="宋体" w:cs="宋体"/>
          <w:szCs w:val="21"/>
        </w:rPr>
        <w:t>参评货物报价表表头可根据项目实际情况调整。</w:t>
      </w:r>
    </w:p>
    <w:p>
      <w:pPr>
        <w:widowControl/>
        <w:spacing w:line="360" w:lineRule="auto"/>
        <w:jc w:val="left"/>
        <w:rPr>
          <w:rFonts w:ascii="宋体" w:hAnsi="宋体" w:cs="宋体"/>
          <w:szCs w:val="21"/>
        </w:rPr>
      </w:pPr>
    </w:p>
    <w:p>
      <w:pPr>
        <w:widowControl/>
        <w:spacing w:line="360" w:lineRule="auto"/>
        <w:jc w:val="left"/>
        <w:rPr>
          <w:rFonts w:ascii="宋体" w:hAnsi="宋体" w:cs="宋体"/>
          <w:szCs w:val="21"/>
        </w:rPr>
      </w:pPr>
      <w:r>
        <w:rPr>
          <w:rFonts w:hint="eastAsia" w:ascii="宋体" w:hAnsi="宋体" w:cs="宋体"/>
          <w:szCs w:val="21"/>
        </w:rPr>
        <w:t>参评人名称（并加盖公章）：</w:t>
      </w:r>
    </w:p>
    <w:p>
      <w:pPr>
        <w:widowControl/>
        <w:spacing w:line="360" w:lineRule="auto"/>
        <w:jc w:val="left"/>
        <w:rPr>
          <w:rFonts w:ascii="宋体" w:hAnsi="宋体" w:cs="宋体"/>
          <w:szCs w:val="21"/>
          <w:u w:val="single"/>
        </w:rPr>
      </w:pPr>
      <w:r>
        <w:rPr>
          <w:rFonts w:hint="eastAsia" w:ascii="宋体" w:hAnsi="宋体" w:cs="宋体"/>
          <w:szCs w:val="21"/>
        </w:rPr>
        <w:t>参评人法定代表人或其委托人签名或印鉴：</w:t>
      </w:r>
    </w:p>
    <w:p>
      <w:pPr>
        <w:widowControl/>
        <w:spacing w:line="360" w:lineRule="auto"/>
        <w:jc w:val="left"/>
        <w:rPr>
          <w:rFonts w:ascii="宋体" w:hAnsi="宋体" w:cs="宋体"/>
          <w:szCs w:val="21"/>
        </w:rPr>
      </w:pPr>
      <w:r>
        <w:rPr>
          <w:rFonts w:hint="eastAsia" w:ascii="宋体" w:hAnsi="宋体" w:cs="宋体"/>
          <w:szCs w:val="21"/>
        </w:rPr>
        <w:t>日期：   年   月   日</w:t>
      </w:r>
      <w:r>
        <w:rPr>
          <w:rFonts w:hint="eastAsia"/>
          <w:szCs w:val="21"/>
        </w:rPr>
        <w:t>：</w:t>
      </w:r>
    </w:p>
    <w:p>
      <w:pPr>
        <w:widowControl/>
        <w:spacing w:line="360" w:lineRule="auto"/>
        <w:jc w:val="left"/>
        <w:rPr>
          <w:rFonts w:ascii="宋体" w:hAnsi="宋体" w:cs="Arial"/>
          <w:b/>
          <w:sz w:val="28"/>
          <w:szCs w:val="28"/>
        </w:rPr>
      </w:pPr>
      <w:r>
        <w:rPr>
          <w:rFonts w:ascii="宋体" w:hAnsi="宋体"/>
          <w:szCs w:val="21"/>
        </w:rPr>
        <w:br w:type="page"/>
      </w:r>
      <w:bookmarkEnd w:id="32"/>
      <w:bookmarkEnd w:id="33"/>
      <w:bookmarkStart w:id="34" w:name="_Hlt10520073"/>
      <w:bookmarkEnd w:id="34"/>
      <w:bookmarkStart w:id="35" w:name="_Hlt10456523"/>
      <w:bookmarkEnd w:id="35"/>
      <w:bookmarkStart w:id="36" w:name="_Hlt10520032"/>
      <w:bookmarkEnd w:id="36"/>
      <w:r>
        <w:rPr>
          <w:rFonts w:hint="eastAsia" w:ascii="宋体" w:hAnsi="宋体"/>
          <w:b/>
          <w:sz w:val="28"/>
          <w:szCs w:val="28"/>
        </w:rPr>
        <w:t>六、</w:t>
      </w:r>
      <w:r>
        <w:rPr>
          <w:rFonts w:hint="eastAsia" w:ascii="宋体" w:hAnsi="宋体" w:cs="Arial"/>
          <w:b/>
          <w:sz w:val="28"/>
          <w:szCs w:val="28"/>
        </w:rPr>
        <w:t>参评人基本情况表格式</w:t>
      </w:r>
    </w:p>
    <w:p>
      <w:pPr>
        <w:tabs>
          <w:tab w:val="left" w:pos="900"/>
        </w:tabs>
        <w:spacing w:line="360" w:lineRule="auto"/>
        <w:jc w:val="center"/>
        <w:rPr>
          <w:rFonts w:ascii="宋体" w:hAnsi="宋体"/>
          <w:b/>
          <w:szCs w:val="21"/>
        </w:rPr>
      </w:pPr>
      <w:r>
        <w:rPr>
          <w:rFonts w:hint="eastAsia" w:ascii="宋体" w:hAnsi="宋体"/>
          <w:b/>
          <w:szCs w:val="21"/>
        </w:rPr>
        <w:t>参评人基本情况表</w:t>
      </w:r>
    </w:p>
    <w:tbl>
      <w:tblPr>
        <w:tblStyle w:val="32"/>
        <w:tblpPr w:leftFromText="180" w:rightFromText="180" w:vertAnchor="text" w:horzAnchor="margin" w:tblpY="4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209"/>
        <w:gridCol w:w="1650"/>
        <w:gridCol w:w="1618"/>
        <w:gridCol w:w="1792"/>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26" w:type="dxa"/>
            <w:vAlign w:val="center"/>
          </w:tcPr>
          <w:p>
            <w:pPr>
              <w:tabs>
                <w:tab w:val="left" w:pos="540"/>
              </w:tabs>
              <w:spacing w:line="360" w:lineRule="auto"/>
              <w:ind w:left="-132" w:leftChars="-64" w:right="-105" w:rightChars="-50" w:hanging="2"/>
              <w:jc w:val="center"/>
              <w:rPr>
                <w:rFonts w:ascii="宋体" w:hAnsi="宋体"/>
                <w:szCs w:val="21"/>
              </w:rPr>
            </w:pPr>
            <w:r>
              <w:rPr>
                <w:rFonts w:hint="eastAsia" w:ascii="宋体" w:hAnsi="宋体" w:cs="宋体"/>
                <w:szCs w:val="21"/>
              </w:rPr>
              <w:t>单</w:t>
            </w:r>
            <w:r>
              <w:rPr>
                <w:rFonts w:hint="eastAsia" w:ascii="宋体" w:hAnsi="宋体" w:cs="MS UI Gothic"/>
                <w:szCs w:val="21"/>
              </w:rPr>
              <w:t>位名称</w:t>
            </w:r>
          </w:p>
        </w:tc>
        <w:tc>
          <w:tcPr>
            <w:tcW w:w="7619" w:type="dxa"/>
            <w:gridSpan w:val="5"/>
            <w:vAlign w:val="center"/>
          </w:tcPr>
          <w:p>
            <w:pPr>
              <w:tabs>
                <w:tab w:val="left" w:pos="540"/>
              </w:tabs>
              <w:spacing w:line="360" w:lineRule="auto"/>
              <w:ind w:left="-132" w:leftChars="-64" w:right="-105" w:rightChars="-50" w:hanging="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526" w:type="dxa"/>
            <w:vAlign w:val="center"/>
          </w:tcPr>
          <w:p>
            <w:pPr>
              <w:tabs>
                <w:tab w:val="left" w:pos="540"/>
              </w:tabs>
              <w:spacing w:line="360" w:lineRule="auto"/>
              <w:ind w:left="-132" w:leftChars="-64" w:right="-105" w:rightChars="-50" w:hanging="2"/>
              <w:jc w:val="center"/>
              <w:rPr>
                <w:rFonts w:ascii="宋体" w:hAnsi="宋体"/>
                <w:szCs w:val="21"/>
              </w:rPr>
            </w:pPr>
            <w:r>
              <w:rPr>
                <w:rFonts w:hint="eastAsia" w:ascii="宋体" w:hAnsi="宋体"/>
                <w:szCs w:val="21"/>
              </w:rPr>
              <w:t>地址</w:t>
            </w:r>
          </w:p>
        </w:tc>
        <w:tc>
          <w:tcPr>
            <w:tcW w:w="7619" w:type="dxa"/>
            <w:gridSpan w:val="5"/>
            <w:vAlign w:val="center"/>
          </w:tcPr>
          <w:p>
            <w:pPr>
              <w:tabs>
                <w:tab w:val="left" w:pos="540"/>
              </w:tabs>
              <w:spacing w:line="360" w:lineRule="auto"/>
              <w:ind w:left="-132" w:leftChars="-64" w:right="-105" w:rightChars="-50" w:hanging="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526" w:type="dxa"/>
            <w:vAlign w:val="center"/>
          </w:tcPr>
          <w:p>
            <w:pPr>
              <w:tabs>
                <w:tab w:val="left" w:pos="540"/>
              </w:tabs>
              <w:spacing w:line="360" w:lineRule="auto"/>
              <w:ind w:left="-132" w:leftChars="-64" w:right="-105" w:rightChars="-50" w:hanging="2"/>
              <w:jc w:val="center"/>
              <w:rPr>
                <w:rFonts w:ascii="宋体" w:hAnsi="宋体"/>
                <w:szCs w:val="21"/>
              </w:rPr>
            </w:pPr>
            <w:r>
              <w:rPr>
                <w:rFonts w:hint="eastAsia" w:ascii="宋体" w:hAnsi="宋体"/>
                <w:szCs w:val="21"/>
              </w:rPr>
              <w:t>主管部</w:t>
            </w:r>
            <w:r>
              <w:rPr>
                <w:rFonts w:hint="eastAsia" w:ascii="宋体" w:hAnsi="宋体" w:cs="宋体"/>
                <w:szCs w:val="21"/>
              </w:rPr>
              <w:t>门</w:t>
            </w:r>
          </w:p>
        </w:tc>
        <w:tc>
          <w:tcPr>
            <w:tcW w:w="1209" w:type="dxa"/>
            <w:vAlign w:val="center"/>
          </w:tcPr>
          <w:p>
            <w:pPr>
              <w:tabs>
                <w:tab w:val="left" w:pos="540"/>
              </w:tabs>
              <w:spacing w:line="360" w:lineRule="auto"/>
              <w:ind w:left="-132" w:leftChars="-64" w:right="-105" w:rightChars="-50" w:hanging="2"/>
              <w:jc w:val="center"/>
              <w:rPr>
                <w:rFonts w:ascii="宋体" w:hAnsi="宋体"/>
                <w:szCs w:val="21"/>
              </w:rPr>
            </w:pPr>
          </w:p>
        </w:tc>
        <w:tc>
          <w:tcPr>
            <w:tcW w:w="1650" w:type="dxa"/>
            <w:vAlign w:val="center"/>
          </w:tcPr>
          <w:p>
            <w:pPr>
              <w:tabs>
                <w:tab w:val="left" w:pos="540"/>
              </w:tabs>
              <w:spacing w:line="360" w:lineRule="auto"/>
              <w:ind w:left="-132" w:leftChars="-64" w:right="-105" w:rightChars="-50" w:hanging="2"/>
              <w:jc w:val="center"/>
              <w:rPr>
                <w:rFonts w:ascii="宋体" w:hAnsi="宋体"/>
                <w:szCs w:val="21"/>
              </w:rPr>
            </w:pPr>
            <w:r>
              <w:rPr>
                <w:rFonts w:hint="eastAsia" w:ascii="宋体" w:hAnsi="宋体"/>
                <w:szCs w:val="21"/>
              </w:rPr>
              <w:t>法人代表</w:t>
            </w:r>
          </w:p>
        </w:tc>
        <w:tc>
          <w:tcPr>
            <w:tcW w:w="1618" w:type="dxa"/>
            <w:vAlign w:val="center"/>
          </w:tcPr>
          <w:p>
            <w:pPr>
              <w:tabs>
                <w:tab w:val="left" w:pos="540"/>
              </w:tabs>
              <w:spacing w:line="360" w:lineRule="auto"/>
              <w:ind w:left="-132" w:leftChars="-64" w:right="-105" w:rightChars="-50" w:hanging="2"/>
              <w:jc w:val="center"/>
              <w:rPr>
                <w:rFonts w:ascii="宋体" w:hAnsi="宋体"/>
                <w:szCs w:val="21"/>
              </w:rPr>
            </w:pPr>
          </w:p>
        </w:tc>
        <w:tc>
          <w:tcPr>
            <w:tcW w:w="1792" w:type="dxa"/>
            <w:vAlign w:val="center"/>
          </w:tcPr>
          <w:p>
            <w:pPr>
              <w:tabs>
                <w:tab w:val="left" w:pos="540"/>
              </w:tabs>
              <w:spacing w:line="360" w:lineRule="auto"/>
              <w:ind w:left="-132" w:leftChars="-64" w:right="-105" w:rightChars="-50" w:hanging="2"/>
              <w:jc w:val="center"/>
              <w:rPr>
                <w:rFonts w:ascii="宋体" w:hAnsi="宋体"/>
                <w:szCs w:val="21"/>
              </w:rPr>
            </w:pPr>
            <w:r>
              <w:rPr>
                <w:rFonts w:hint="eastAsia" w:ascii="宋体" w:hAnsi="宋体" w:cs="宋体"/>
                <w:szCs w:val="21"/>
              </w:rPr>
              <w:t>职务</w:t>
            </w:r>
          </w:p>
        </w:tc>
        <w:tc>
          <w:tcPr>
            <w:tcW w:w="1350" w:type="dxa"/>
          </w:tcPr>
          <w:p>
            <w:pPr>
              <w:tabs>
                <w:tab w:val="left" w:pos="540"/>
              </w:tabs>
              <w:spacing w:line="360" w:lineRule="auto"/>
              <w:ind w:left="-132" w:leftChars="-64" w:right="-105" w:rightChars="-50" w:hanging="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526" w:type="dxa"/>
            <w:vAlign w:val="center"/>
          </w:tcPr>
          <w:p>
            <w:pPr>
              <w:tabs>
                <w:tab w:val="left" w:pos="540"/>
              </w:tabs>
              <w:spacing w:line="360" w:lineRule="auto"/>
              <w:ind w:left="-132" w:leftChars="-64" w:right="-105" w:rightChars="-50" w:hanging="2"/>
              <w:jc w:val="center"/>
              <w:rPr>
                <w:rFonts w:ascii="宋体" w:hAnsi="宋体"/>
                <w:szCs w:val="21"/>
              </w:rPr>
            </w:pPr>
            <w:r>
              <w:rPr>
                <w:rFonts w:hint="eastAsia" w:ascii="宋体" w:hAnsi="宋体" w:cs="宋体"/>
                <w:szCs w:val="21"/>
              </w:rPr>
              <w:t>经济类</w:t>
            </w:r>
            <w:r>
              <w:rPr>
                <w:rFonts w:hint="eastAsia" w:ascii="宋体" w:hAnsi="宋体" w:cs="MS UI Gothic"/>
                <w:szCs w:val="21"/>
              </w:rPr>
              <w:t>型</w:t>
            </w:r>
          </w:p>
        </w:tc>
        <w:tc>
          <w:tcPr>
            <w:tcW w:w="1209" w:type="dxa"/>
            <w:vAlign w:val="center"/>
          </w:tcPr>
          <w:p>
            <w:pPr>
              <w:tabs>
                <w:tab w:val="left" w:pos="540"/>
              </w:tabs>
              <w:spacing w:line="360" w:lineRule="auto"/>
              <w:ind w:left="-132" w:leftChars="-64" w:right="-105" w:rightChars="-50" w:hanging="2"/>
              <w:jc w:val="center"/>
              <w:rPr>
                <w:rFonts w:ascii="宋体" w:hAnsi="宋体"/>
                <w:szCs w:val="21"/>
              </w:rPr>
            </w:pPr>
          </w:p>
        </w:tc>
        <w:tc>
          <w:tcPr>
            <w:tcW w:w="1650" w:type="dxa"/>
            <w:vAlign w:val="center"/>
          </w:tcPr>
          <w:p>
            <w:pPr>
              <w:tabs>
                <w:tab w:val="left" w:pos="540"/>
              </w:tabs>
              <w:spacing w:line="360" w:lineRule="auto"/>
              <w:ind w:left="-132" w:leftChars="-64" w:right="-105" w:rightChars="-50" w:hanging="2"/>
              <w:jc w:val="center"/>
              <w:rPr>
                <w:rFonts w:ascii="宋体" w:hAnsi="宋体"/>
                <w:szCs w:val="21"/>
              </w:rPr>
            </w:pPr>
            <w:r>
              <w:rPr>
                <w:rFonts w:hint="eastAsia" w:ascii="宋体" w:hAnsi="宋体"/>
                <w:szCs w:val="21"/>
              </w:rPr>
              <w:t>授</w:t>
            </w:r>
            <w:r>
              <w:rPr>
                <w:rFonts w:hint="eastAsia" w:ascii="宋体" w:hAnsi="宋体" w:cs="宋体"/>
                <w:szCs w:val="21"/>
              </w:rPr>
              <w:t>权</w:t>
            </w:r>
            <w:r>
              <w:rPr>
                <w:rFonts w:hint="eastAsia" w:ascii="宋体" w:hAnsi="宋体" w:cs="MS UI Gothic"/>
                <w:szCs w:val="21"/>
              </w:rPr>
              <w:t>代表</w:t>
            </w:r>
          </w:p>
        </w:tc>
        <w:tc>
          <w:tcPr>
            <w:tcW w:w="1618" w:type="dxa"/>
            <w:vAlign w:val="center"/>
          </w:tcPr>
          <w:p>
            <w:pPr>
              <w:tabs>
                <w:tab w:val="left" w:pos="540"/>
              </w:tabs>
              <w:spacing w:line="360" w:lineRule="auto"/>
              <w:ind w:left="-132" w:leftChars="-64" w:right="-105" w:rightChars="-50" w:hanging="2"/>
              <w:jc w:val="center"/>
              <w:rPr>
                <w:rFonts w:ascii="宋体" w:hAnsi="宋体"/>
                <w:szCs w:val="21"/>
              </w:rPr>
            </w:pPr>
          </w:p>
        </w:tc>
        <w:tc>
          <w:tcPr>
            <w:tcW w:w="1792" w:type="dxa"/>
            <w:vAlign w:val="center"/>
          </w:tcPr>
          <w:p>
            <w:pPr>
              <w:tabs>
                <w:tab w:val="left" w:pos="540"/>
              </w:tabs>
              <w:spacing w:line="360" w:lineRule="auto"/>
              <w:ind w:left="-132" w:leftChars="-64" w:right="-105" w:rightChars="-50" w:hanging="2"/>
              <w:jc w:val="center"/>
              <w:rPr>
                <w:rFonts w:ascii="宋体" w:hAnsi="宋体"/>
                <w:szCs w:val="21"/>
              </w:rPr>
            </w:pPr>
            <w:r>
              <w:rPr>
                <w:rFonts w:hint="eastAsia" w:ascii="宋体" w:hAnsi="宋体" w:cs="宋体"/>
                <w:szCs w:val="21"/>
              </w:rPr>
              <w:t>职务</w:t>
            </w:r>
          </w:p>
        </w:tc>
        <w:tc>
          <w:tcPr>
            <w:tcW w:w="1350" w:type="dxa"/>
          </w:tcPr>
          <w:p>
            <w:pPr>
              <w:tabs>
                <w:tab w:val="left" w:pos="540"/>
              </w:tabs>
              <w:spacing w:line="360" w:lineRule="auto"/>
              <w:ind w:left="-132" w:leftChars="-64" w:right="-105" w:rightChars="-50" w:hanging="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526" w:type="dxa"/>
            <w:vAlign w:val="center"/>
          </w:tcPr>
          <w:p>
            <w:pPr>
              <w:tabs>
                <w:tab w:val="left" w:pos="540"/>
              </w:tabs>
              <w:spacing w:line="360" w:lineRule="auto"/>
              <w:ind w:left="-132" w:leftChars="-64" w:right="-105" w:rightChars="-50" w:hanging="2"/>
              <w:jc w:val="center"/>
              <w:rPr>
                <w:rFonts w:ascii="宋体" w:hAnsi="宋体"/>
                <w:szCs w:val="21"/>
              </w:rPr>
            </w:pPr>
            <w:r>
              <w:rPr>
                <w:rFonts w:hint="eastAsia" w:ascii="宋体" w:hAnsi="宋体" w:cs="宋体"/>
                <w:szCs w:val="21"/>
              </w:rPr>
              <w:t>邮编</w:t>
            </w:r>
          </w:p>
        </w:tc>
        <w:tc>
          <w:tcPr>
            <w:tcW w:w="1209" w:type="dxa"/>
            <w:vAlign w:val="center"/>
          </w:tcPr>
          <w:p>
            <w:pPr>
              <w:tabs>
                <w:tab w:val="left" w:pos="540"/>
              </w:tabs>
              <w:spacing w:line="360" w:lineRule="auto"/>
              <w:ind w:left="-132" w:leftChars="-64" w:right="-105" w:rightChars="-50" w:hanging="2"/>
              <w:jc w:val="center"/>
              <w:rPr>
                <w:rFonts w:ascii="宋体" w:hAnsi="宋体"/>
                <w:szCs w:val="21"/>
              </w:rPr>
            </w:pPr>
          </w:p>
        </w:tc>
        <w:tc>
          <w:tcPr>
            <w:tcW w:w="1650" w:type="dxa"/>
            <w:vAlign w:val="center"/>
          </w:tcPr>
          <w:p>
            <w:pPr>
              <w:tabs>
                <w:tab w:val="left" w:pos="540"/>
              </w:tabs>
              <w:spacing w:line="360" w:lineRule="auto"/>
              <w:ind w:left="-132" w:leftChars="-64" w:right="-105" w:rightChars="-50" w:hanging="2"/>
              <w:jc w:val="center"/>
              <w:rPr>
                <w:rFonts w:ascii="宋体" w:hAnsi="宋体"/>
                <w:szCs w:val="21"/>
              </w:rPr>
            </w:pPr>
            <w:r>
              <w:rPr>
                <w:rFonts w:hint="eastAsia" w:ascii="宋体" w:hAnsi="宋体" w:cs="宋体"/>
                <w:szCs w:val="21"/>
              </w:rPr>
              <w:t>电话</w:t>
            </w:r>
          </w:p>
        </w:tc>
        <w:tc>
          <w:tcPr>
            <w:tcW w:w="1618" w:type="dxa"/>
            <w:vAlign w:val="center"/>
          </w:tcPr>
          <w:p>
            <w:pPr>
              <w:tabs>
                <w:tab w:val="left" w:pos="540"/>
              </w:tabs>
              <w:spacing w:line="360" w:lineRule="auto"/>
              <w:ind w:left="-132" w:leftChars="-64" w:right="-105" w:rightChars="-50" w:hanging="2"/>
              <w:jc w:val="center"/>
              <w:rPr>
                <w:rFonts w:ascii="宋体" w:hAnsi="宋体"/>
                <w:szCs w:val="21"/>
              </w:rPr>
            </w:pPr>
          </w:p>
        </w:tc>
        <w:tc>
          <w:tcPr>
            <w:tcW w:w="1792" w:type="dxa"/>
            <w:vAlign w:val="center"/>
          </w:tcPr>
          <w:p>
            <w:pPr>
              <w:tabs>
                <w:tab w:val="left" w:pos="540"/>
              </w:tabs>
              <w:spacing w:line="360" w:lineRule="auto"/>
              <w:ind w:left="-132" w:leftChars="-64" w:right="-105" w:rightChars="-50" w:hanging="2"/>
              <w:jc w:val="center"/>
              <w:rPr>
                <w:rFonts w:ascii="宋体" w:hAnsi="宋体"/>
                <w:szCs w:val="21"/>
              </w:rPr>
            </w:pPr>
            <w:r>
              <w:rPr>
                <w:rFonts w:hint="eastAsia" w:ascii="宋体" w:hAnsi="宋体" w:cs="宋体"/>
                <w:szCs w:val="21"/>
              </w:rPr>
              <w:t>传</w:t>
            </w:r>
            <w:r>
              <w:rPr>
                <w:rFonts w:hint="eastAsia" w:ascii="宋体" w:hAnsi="宋体" w:cs="MS UI Gothic"/>
                <w:szCs w:val="21"/>
              </w:rPr>
              <w:t>真</w:t>
            </w:r>
          </w:p>
        </w:tc>
        <w:tc>
          <w:tcPr>
            <w:tcW w:w="1350" w:type="dxa"/>
          </w:tcPr>
          <w:p>
            <w:pPr>
              <w:tabs>
                <w:tab w:val="left" w:pos="540"/>
              </w:tabs>
              <w:spacing w:line="360" w:lineRule="auto"/>
              <w:ind w:left="-132" w:leftChars="-64" w:right="-105" w:rightChars="-50" w:hanging="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1526" w:type="dxa"/>
            <w:vAlign w:val="center"/>
          </w:tcPr>
          <w:p>
            <w:pPr>
              <w:tabs>
                <w:tab w:val="left" w:pos="540"/>
              </w:tabs>
              <w:spacing w:line="360" w:lineRule="auto"/>
              <w:ind w:left="-132" w:leftChars="-64" w:right="-105" w:rightChars="-50" w:hanging="2"/>
              <w:jc w:val="center"/>
              <w:rPr>
                <w:rFonts w:ascii="宋体" w:hAnsi="宋体"/>
                <w:szCs w:val="21"/>
              </w:rPr>
            </w:pPr>
            <w:r>
              <w:rPr>
                <w:rFonts w:hint="eastAsia" w:ascii="宋体" w:hAnsi="宋体" w:cs="宋体"/>
                <w:szCs w:val="21"/>
              </w:rPr>
              <w:t>单</w:t>
            </w:r>
            <w:r>
              <w:rPr>
                <w:rFonts w:hint="eastAsia" w:ascii="宋体" w:hAnsi="宋体" w:cs="MS UI Gothic"/>
                <w:szCs w:val="21"/>
              </w:rPr>
              <w:t>位</w:t>
            </w:r>
            <w:r>
              <w:rPr>
                <w:rFonts w:hint="eastAsia" w:ascii="宋体" w:hAnsi="宋体" w:cs="宋体"/>
                <w:szCs w:val="21"/>
              </w:rPr>
              <w:t>简</w:t>
            </w:r>
            <w:r>
              <w:rPr>
                <w:rFonts w:hint="eastAsia" w:ascii="宋体" w:hAnsi="宋体" w:cs="MS UI Gothic"/>
                <w:szCs w:val="21"/>
              </w:rPr>
              <w:t>介</w:t>
            </w:r>
          </w:p>
        </w:tc>
        <w:tc>
          <w:tcPr>
            <w:tcW w:w="7619" w:type="dxa"/>
            <w:gridSpan w:val="5"/>
          </w:tcPr>
          <w:p>
            <w:pPr>
              <w:tabs>
                <w:tab w:val="left" w:pos="540"/>
              </w:tabs>
              <w:spacing w:line="360" w:lineRule="auto"/>
              <w:ind w:left="-132" w:leftChars="-64" w:right="-105" w:rightChars="-50" w:hanging="2"/>
              <w:jc w:val="center"/>
              <w:rPr>
                <w:rFonts w:ascii="宋体" w:hAnsi="宋体"/>
                <w:szCs w:val="21"/>
              </w:rPr>
            </w:pPr>
          </w:p>
        </w:tc>
      </w:tr>
    </w:tbl>
    <w:p>
      <w:pPr>
        <w:pStyle w:val="83"/>
        <w:spacing w:line="360" w:lineRule="auto"/>
        <w:rPr>
          <w:rFonts w:ascii="宋体" w:hAnsi="宋体"/>
          <w:bCs w:val="0"/>
          <w:spacing w:val="0"/>
          <w:kern w:val="2"/>
          <w:sz w:val="21"/>
          <w:szCs w:val="21"/>
          <w:lang w:val="en-GB"/>
        </w:rPr>
      </w:pPr>
    </w:p>
    <w:p>
      <w:pPr>
        <w:pStyle w:val="83"/>
        <w:spacing w:line="360" w:lineRule="auto"/>
        <w:rPr>
          <w:rFonts w:ascii="宋体" w:hAnsi="宋体" w:cs="MS UI Gothic"/>
          <w:sz w:val="21"/>
          <w:szCs w:val="21"/>
          <w:lang w:val="en-GB"/>
        </w:rPr>
      </w:pPr>
      <w:r>
        <w:rPr>
          <w:rFonts w:hint="eastAsia" w:ascii="宋体" w:hAnsi="宋体"/>
          <w:bCs w:val="0"/>
          <w:spacing w:val="0"/>
          <w:kern w:val="2"/>
          <w:sz w:val="21"/>
          <w:szCs w:val="21"/>
          <w:lang w:val="en-GB"/>
        </w:rPr>
        <w:t>注：</w:t>
      </w:r>
      <w:r>
        <w:rPr>
          <w:rFonts w:hint="eastAsia" w:ascii="宋体" w:hAnsi="宋体"/>
          <w:sz w:val="21"/>
          <w:szCs w:val="21"/>
          <w:lang w:val="en-GB"/>
        </w:rPr>
        <w:t>如参评</w:t>
      </w:r>
      <w:r>
        <w:rPr>
          <w:rFonts w:hint="eastAsia" w:ascii="宋体" w:hAnsi="宋体" w:cs="MS UI Gothic"/>
          <w:sz w:val="21"/>
          <w:szCs w:val="21"/>
          <w:lang w:val="en-GB"/>
        </w:rPr>
        <w:t>人此表数据有虚假</w:t>
      </w:r>
      <w:r>
        <w:rPr>
          <w:rFonts w:hint="eastAsia" w:ascii="宋体" w:hAnsi="宋体"/>
          <w:sz w:val="21"/>
          <w:szCs w:val="21"/>
          <w:lang w:val="en-GB"/>
        </w:rPr>
        <w:t>，一</w:t>
      </w:r>
      <w:r>
        <w:rPr>
          <w:rFonts w:hint="eastAsia" w:ascii="宋体" w:hAnsi="宋体" w:cs="宋体"/>
          <w:sz w:val="21"/>
          <w:szCs w:val="21"/>
          <w:lang w:val="en-GB"/>
        </w:rPr>
        <w:t>经查实</w:t>
      </w:r>
      <w:r>
        <w:rPr>
          <w:rFonts w:hint="eastAsia" w:ascii="宋体" w:hAnsi="宋体" w:cs="MS UI Gothic"/>
          <w:sz w:val="21"/>
          <w:szCs w:val="21"/>
          <w:lang w:val="en-GB"/>
        </w:rPr>
        <w:t>，自行承担相</w:t>
      </w:r>
      <w:r>
        <w:rPr>
          <w:rFonts w:hint="eastAsia" w:ascii="宋体" w:hAnsi="宋体" w:cs="宋体"/>
          <w:sz w:val="21"/>
          <w:szCs w:val="21"/>
          <w:lang w:val="en-GB"/>
        </w:rPr>
        <w:t>关责</w:t>
      </w:r>
      <w:r>
        <w:rPr>
          <w:rFonts w:hint="eastAsia" w:ascii="宋体" w:hAnsi="宋体" w:cs="MS UI Gothic"/>
          <w:sz w:val="21"/>
          <w:szCs w:val="21"/>
          <w:lang w:val="en-GB"/>
        </w:rPr>
        <w:t>任。</w:t>
      </w:r>
    </w:p>
    <w:p>
      <w:pPr>
        <w:spacing w:line="360" w:lineRule="auto"/>
        <w:ind w:firstLine="420" w:firstLineChars="200"/>
        <w:rPr>
          <w:rFonts w:ascii="宋体" w:hAnsi="宋体"/>
          <w:szCs w:val="21"/>
          <w:lang w:val="en-GB"/>
        </w:rPr>
      </w:pPr>
    </w:p>
    <w:p>
      <w:pPr>
        <w:widowControl/>
        <w:spacing w:line="360" w:lineRule="auto"/>
        <w:jc w:val="left"/>
        <w:rPr>
          <w:rFonts w:ascii="宋体" w:hAnsi="宋体" w:cs="宋体"/>
          <w:szCs w:val="21"/>
        </w:rPr>
      </w:pPr>
      <w:r>
        <w:rPr>
          <w:rFonts w:hint="eastAsia" w:ascii="宋体" w:hAnsi="宋体" w:cs="宋体"/>
          <w:szCs w:val="21"/>
        </w:rPr>
        <w:t>参评人名称（并加盖公章）：</w:t>
      </w:r>
    </w:p>
    <w:p>
      <w:pPr>
        <w:widowControl/>
        <w:spacing w:line="360" w:lineRule="auto"/>
        <w:jc w:val="left"/>
        <w:rPr>
          <w:rFonts w:ascii="宋体" w:hAnsi="宋体" w:cs="宋体"/>
          <w:szCs w:val="21"/>
          <w:u w:val="single"/>
        </w:rPr>
      </w:pPr>
      <w:r>
        <w:rPr>
          <w:rFonts w:hint="eastAsia" w:ascii="宋体" w:hAnsi="宋体" w:cs="宋体"/>
          <w:szCs w:val="21"/>
        </w:rPr>
        <w:t>参评人法定代表人或其委托人签名或印鉴：</w:t>
      </w:r>
    </w:p>
    <w:p>
      <w:pPr>
        <w:widowControl/>
        <w:spacing w:line="360" w:lineRule="auto"/>
        <w:jc w:val="left"/>
        <w:rPr>
          <w:rFonts w:ascii="宋体" w:hAnsi="宋体" w:cs="宋体"/>
          <w:szCs w:val="21"/>
        </w:rPr>
      </w:pPr>
      <w:r>
        <w:rPr>
          <w:rFonts w:hint="eastAsia" w:ascii="宋体" w:hAnsi="宋体" w:cs="宋体"/>
          <w:szCs w:val="21"/>
        </w:rPr>
        <w:t>日期：   年   月   日</w:t>
      </w:r>
      <w:r>
        <w:rPr>
          <w:rFonts w:hint="eastAsia"/>
          <w:szCs w:val="21"/>
        </w:rPr>
        <w:t>：</w:t>
      </w:r>
    </w:p>
    <w:p>
      <w:pPr>
        <w:spacing w:line="360" w:lineRule="auto"/>
        <w:ind w:firstLine="420" w:firstLineChars="200"/>
        <w:rPr>
          <w:rFonts w:ascii="宋体" w:hAnsi="宋体"/>
          <w:szCs w:val="21"/>
        </w:rPr>
      </w:pPr>
    </w:p>
    <w:p>
      <w:pPr>
        <w:widowControl/>
        <w:spacing w:line="360" w:lineRule="auto"/>
        <w:jc w:val="left"/>
        <w:rPr>
          <w:rFonts w:ascii="宋体" w:hAnsi="宋体" w:cs="Arial"/>
          <w:b/>
          <w:sz w:val="28"/>
          <w:szCs w:val="28"/>
        </w:rPr>
      </w:pPr>
      <w:r>
        <w:rPr>
          <w:rFonts w:ascii="宋体" w:hAnsi="宋体"/>
          <w:szCs w:val="21"/>
        </w:rPr>
        <w:br w:type="page"/>
      </w:r>
      <w:bookmarkStart w:id="37" w:name="_Toc411585239"/>
      <w:bookmarkStart w:id="38" w:name="_Toc367205742"/>
      <w:r>
        <w:rPr>
          <w:rFonts w:hint="eastAsia" w:ascii="宋体" w:hAnsi="宋体" w:cs="Arial"/>
          <w:b/>
          <w:sz w:val="28"/>
          <w:szCs w:val="28"/>
        </w:rPr>
        <w:t>七、实质性响应一览表</w:t>
      </w:r>
    </w:p>
    <w:p>
      <w:pPr>
        <w:widowControl/>
        <w:spacing w:line="360" w:lineRule="auto"/>
        <w:jc w:val="center"/>
        <w:rPr>
          <w:rFonts w:ascii="宋体" w:hAnsi="宋体" w:cs="Arial"/>
          <w:b/>
          <w:szCs w:val="21"/>
        </w:rPr>
      </w:pPr>
      <w:r>
        <w:rPr>
          <w:rFonts w:hint="eastAsia" w:ascii="宋体" w:hAnsi="宋体" w:cs="Arial"/>
          <w:b/>
          <w:szCs w:val="21"/>
        </w:rPr>
        <w:t>实质性响应一览表</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3444"/>
        <w:gridCol w:w="1708"/>
        <w:gridCol w:w="197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579" w:type="dxa"/>
            <w:shd w:val="clear" w:color="auto" w:fill="EAEAEA"/>
            <w:vAlign w:val="center"/>
          </w:tcPr>
          <w:p>
            <w:pPr>
              <w:jc w:val="center"/>
              <w:rPr>
                <w:rFonts w:ascii="宋体" w:hAnsi="宋体"/>
                <w:b/>
              </w:rPr>
            </w:pPr>
            <w:r>
              <w:rPr>
                <w:rFonts w:hint="eastAsia" w:ascii="宋体" w:hAnsi="宋体"/>
                <w:b/>
              </w:rPr>
              <w:t>序号</w:t>
            </w:r>
          </w:p>
        </w:tc>
        <w:tc>
          <w:tcPr>
            <w:tcW w:w="3444" w:type="dxa"/>
            <w:shd w:val="clear" w:color="auto" w:fill="EAEAEA"/>
            <w:vAlign w:val="center"/>
          </w:tcPr>
          <w:p>
            <w:pPr>
              <w:jc w:val="center"/>
              <w:rPr>
                <w:rFonts w:ascii="宋体" w:hAnsi="宋体"/>
                <w:b/>
              </w:rPr>
            </w:pPr>
            <w:r>
              <w:rPr>
                <w:rFonts w:hint="eastAsia" w:ascii="宋体" w:hAnsi="宋体"/>
                <w:b/>
              </w:rPr>
              <w:t>实质性响应指标</w:t>
            </w:r>
          </w:p>
          <w:p>
            <w:pPr>
              <w:jc w:val="center"/>
              <w:rPr>
                <w:rFonts w:ascii="宋体" w:hAnsi="宋体"/>
                <w:b/>
              </w:rPr>
            </w:pPr>
            <w:r>
              <w:rPr>
                <w:rFonts w:hint="eastAsia" w:ascii="宋体" w:hAnsi="宋体"/>
                <w:b/>
              </w:rPr>
              <w:t>（遴选文件中标注★的条款）</w:t>
            </w:r>
          </w:p>
        </w:tc>
        <w:tc>
          <w:tcPr>
            <w:tcW w:w="1708" w:type="dxa"/>
            <w:shd w:val="clear" w:color="auto" w:fill="EAEAEA"/>
            <w:vAlign w:val="center"/>
          </w:tcPr>
          <w:p>
            <w:pPr>
              <w:jc w:val="center"/>
              <w:rPr>
                <w:rFonts w:ascii="宋体" w:hAnsi="宋体"/>
                <w:b/>
              </w:rPr>
            </w:pPr>
            <w:r>
              <w:rPr>
                <w:rFonts w:hint="eastAsia" w:ascii="宋体" w:hAnsi="宋体"/>
                <w:b/>
              </w:rPr>
              <w:t>参评人响应情况描述</w:t>
            </w:r>
          </w:p>
        </w:tc>
        <w:tc>
          <w:tcPr>
            <w:tcW w:w="1977" w:type="dxa"/>
            <w:shd w:val="clear" w:color="auto" w:fill="EAEAEA"/>
            <w:vAlign w:val="center"/>
          </w:tcPr>
          <w:p>
            <w:pPr>
              <w:jc w:val="center"/>
              <w:rPr>
                <w:rFonts w:ascii="宋体" w:hAnsi="宋体"/>
                <w:b/>
              </w:rPr>
            </w:pPr>
            <w:r>
              <w:rPr>
                <w:rFonts w:hint="eastAsia" w:ascii="宋体" w:hAnsi="宋体"/>
                <w:b/>
              </w:rPr>
              <w:t>偏离说明（正偏离/完全响应/负偏离）</w:t>
            </w:r>
          </w:p>
        </w:tc>
        <w:tc>
          <w:tcPr>
            <w:tcW w:w="1559" w:type="dxa"/>
            <w:shd w:val="clear" w:color="auto" w:fill="EAEAEA"/>
            <w:vAlign w:val="center"/>
          </w:tcPr>
          <w:p>
            <w:pPr>
              <w:jc w:val="center"/>
              <w:rPr>
                <w:rFonts w:ascii="宋体" w:hAnsi="宋体"/>
                <w:b/>
              </w:rPr>
            </w:pPr>
            <w:r>
              <w:rPr>
                <w:rFonts w:hint="eastAsia" w:ascii="宋体" w:hAnsi="宋体"/>
                <w:b/>
              </w:rPr>
              <w:t>对应参评文件位置及页码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579" w:type="dxa"/>
            <w:vAlign w:val="center"/>
          </w:tcPr>
          <w:p>
            <w:pPr>
              <w:spacing w:line="300" w:lineRule="auto"/>
              <w:jc w:val="center"/>
              <w:rPr>
                <w:rFonts w:ascii="宋体" w:hAnsi="宋体"/>
                <w:szCs w:val="21"/>
              </w:rPr>
            </w:pPr>
          </w:p>
        </w:tc>
        <w:tc>
          <w:tcPr>
            <w:tcW w:w="3444" w:type="dxa"/>
            <w:vAlign w:val="center"/>
          </w:tcPr>
          <w:p>
            <w:pPr>
              <w:spacing w:line="300" w:lineRule="auto"/>
              <w:jc w:val="center"/>
              <w:rPr>
                <w:rFonts w:ascii="宋体" w:hAnsi="宋体"/>
                <w:szCs w:val="21"/>
              </w:rPr>
            </w:pPr>
          </w:p>
        </w:tc>
        <w:tc>
          <w:tcPr>
            <w:tcW w:w="1708" w:type="dxa"/>
            <w:vAlign w:val="center"/>
          </w:tcPr>
          <w:p>
            <w:pPr>
              <w:spacing w:line="300" w:lineRule="auto"/>
              <w:jc w:val="center"/>
              <w:rPr>
                <w:rFonts w:ascii="宋体" w:hAnsi="宋体"/>
                <w:szCs w:val="21"/>
              </w:rPr>
            </w:pPr>
          </w:p>
        </w:tc>
        <w:tc>
          <w:tcPr>
            <w:tcW w:w="1977" w:type="dxa"/>
            <w:vAlign w:val="center"/>
          </w:tcPr>
          <w:p>
            <w:pPr>
              <w:spacing w:line="300" w:lineRule="auto"/>
              <w:jc w:val="center"/>
              <w:rPr>
                <w:rFonts w:ascii="宋体" w:hAnsi="宋体"/>
                <w:szCs w:val="21"/>
              </w:rPr>
            </w:pPr>
          </w:p>
        </w:tc>
        <w:tc>
          <w:tcPr>
            <w:tcW w:w="1559" w:type="dxa"/>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579" w:type="dxa"/>
            <w:vAlign w:val="center"/>
          </w:tcPr>
          <w:p>
            <w:pPr>
              <w:spacing w:line="300" w:lineRule="auto"/>
              <w:jc w:val="center"/>
              <w:rPr>
                <w:rFonts w:ascii="宋体" w:hAnsi="宋体"/>
                <w:szCs w:val="21"/>
              </w:rPr>
            </w:pPr>
          </w:p>
          <w:p>
            <w:pPr>
              <w:spacing w:line="300" w:lineRule="auto"/>
              <w:jc w:val="center"/>
              <w:rPr>
                <w:rFonts w:ascii="宋体" w:hAnsi="宋体"/>
                <w:szCs w:val="21"/>
              </w:rPr>
            </w:pPr>
          </w:p>
        </w:tc>
        <w:tc>
          <w:tcPr>
            <w:tcW w:w="3444" w:type="dxa"/>
            <w:vAlign w:val="center"/>
          </w:tcPr>
          <w:p>
            <w:pPr>
              <w:spacing w:line="300" w:lineRule="auto"/>
              <w:jc w:val="center"/>
              <w:rPr>
                <w:rFonts w:ascii="宋体" w:hAnsi="宋体"/>
                <w:szCs w:val="21"/>
              </w:rPr>
            </w:pPr>
          </w:p>
          <w:p>
            <w:pPr>
              <w:spacing w:line="300" w:lineRule="auto"/>
              <w:jc w:val="center"/>
              <w:rPr>
                <w:rFonts w:ascii="宋体" w:hAnsi="宋体"/>
                <w:szCs w:val="21"/>
              </w:rPr>
            </w:pPr>
          </w:p>
        </w:tc>
        <w:tc>
          <w:tcPr>
            <w:tcW w:w="1708" w:type="dxa"/>
            <w:vAlign w:val="center"/>
          </w:tcPr>
          <w:p>
            <w:pPr>
              <w:spacing w:line="300" w:lineRule="auto"/>
              <w:jc w:val="center"/>
              <w:rPr>
                <w:rFonts w:ascii="宋体" w:hAnsi="宋体"/>
                <w:szCs w:val="21"/>
              </w:rPr>
            </w:pPr>
          </w:p>
        </w:tc>
        <w:tc>
          <w:tcPr>
            <w:tcW w:w="1977" w:type="dxa"/>
            <w:vAlign w:val="center"/>
          </w:tcPr>
          <w:p>
            <w:pPr>
              <w:spacing w:line="300" w:lineRule="auto"/>
              <w:jc w:val="center"/>
              <w:rPr>
                <w:rFonts w:ascii="宋体" w:hAnsi="宋体"/>
                <w:szCs w:val="21"/>
              </w:rPr>
            </w:pPr>
          </w:p>
        </w:tc>
        <w:tc>
          <w:tcPr>
            <w:tcW w:w="1559" w:type="dxa"/>
            <w:vAlign w:val="center"/>
          </w:tcPr>
          <w:p>
            <w:pPr>
              <w:spacing w:line="300" w:lineRule="auto"/>
              <w:jc w:val="center"/>
              <w:rPr>
                <w:rFonts w:ascii="宋体" w:hAnsi="宋体"/>
                <w:szCs w:val="21"/>
              </w:rPr>
            </w:pPr>
          </w:p>
        </w:tc>
      </w:tr>
    </w:tbl>
    <w:p>
      <w:pPr>
        <w:widowControl/>
        <w:spacing w:line="360" w:lineRule="auto"/>
        <w:jc w:val="left"/>
        <w:rPr>
          <w:rFonts w:ascii="宋体" w:hAnsi="宋体" w:cs="Arial"/>
          <w:b/>
          <w:szCs w:val="21"/>
        </w:rPr>
      </w:pPr>
      <w:r>
        <w:rPr>
          <w:rFonts w:hint="eastAsia" w:ascii="宋体" w:hAnsi="宋体" w:cs="Arial"/>
          <w:b/>
          <w:szCs w:val="21"/>
        </w:rPr>
        <w:t>注：如遴选文件中标有 “★” 的内容，请在上表填写，并作出一一响应。若有一项带 “★” 的指标要求未响应或不满足，其参评文件作无效处理。</w:t>
      </w:r>
    </w:p>
    <w:p>
      <w:pPr>
        <w:widowControl/>
        <w:spacing w:line="360" w:lineRule="auto"/>
        <w:ind w:left="720"/>
        <w:jc w:val="left"/>
        <w:rPr>
          <w:rFonts w:ascii="宋体" w:hAnsi="宋体" w:cs="Arial"/>
          <w:szCs w:val="21"/>
        </w:rPr>
      </w:pPr>
      <w:r>
        <w:rPr>
          <w:rFonts w:hint="eastAsia" w:ascii="宋体" w:hAnsi="宋体" w:cs="Arial"/>
          <w:szCs w:val="21"/>
        </w:rPr>
        <w:t>（此表可延长）</w:t>
      </w:r>
    </w:p>
    <w:p>
      <w:pPr>
        <w:widowControl/>
        <w:spacing w:line="360" w:lineRule="auto"/>
        <w:jc w:val="left"/>
        <w:rPr>
          <w:rFonts w:ascii="宋体" w:hAnsi="宋体" w:cs="宋体"/>
          <w:szCs w:val="21"/>
        </w:rPr>
      </w:pPr>
    </w:p>
    <w:p>
      <w:pPr>
        <w:widowControl/>
        <w:spacing w:line="360" w:lineRule="auto"/>
        <w:jc w:val="left"/>
        <w:rPr>
          <w:rFonts w:ascii="宋体" w:hAnsi="宋体" w:cs="宋体"/>
          <w:szCs w:val="21"/>
        </w:rPr>
      </w:pPr>
      <w:r>
        <w:rPr>
          <w:rFonts w:hint="eastAsia" w:ascii="宋体" w:hAnsi="宋体" w:cs="宋体"/>
          <w:szCs w:val="21"/>
        </w:rPr>
        <w:t>参评人名称（并加盖公章）：</w:t>
      </w:r>
    </w:p>
    <w:p>
      <w:pPr>
        <w:widowControl/>
        <w:spacing w:line="360" w:lineRule="auto"/>
        <w:jc w:val="left"/>
        <w:rPr>
          <w:rFonts w:ascii="宋体" w:hAnsi="宋体" w:cs="宋体"/>
          <w:szCs w:val="21"/>
          <w:u w:val="single"/>
        </w:rPr>
      </w:pPr>
      <w:r>
        <w:rPr>
          <w:rFonts w:hint="eastAsia" w:ascii="宋体" w:hAnsi="宋体" w:cs="宋体"/>
          <w:szCs w:val="21"/>
        </w:rPr>
        <w:t>参评人法定代表人或其委托人签名或印鉴：</w:t>
      </w:r>
    </w:p>
    <w:p>
      <w:pPr>
        <w:widowControl/>
        <w:spacing w:line="360" w:lineRule="auto"/>
        <w:jc w:val="left"/>
        <w:rPr>
          <w:rFonts w:ascii="宋体" w:hAnsi="宋体" w:cs="宋体"/>
          <w:szCs w:val="21"/>
        </w:rPr>
      </w:pPr>
      <w:r>
        <w:rPr>
          <w:rFonts w:hint="eastAsia" w:ascii="宋体" w:hAnsi="宋体" w:cs="宋体"/>
          <w:szCs w:val="21"/>
        </w:rPr>
        <w:t>日期：   年   月   日</w:t>
      </w:r>
      <w:r>
        <w:rPr>
          <w:rFonts w:hint="eastAsia"/>
          <w:szCs w:val="21"/>
        </w:rPr>
        <w:t>：</w:t>
      </w:r>
    </w:p>
    <w:p>
      <w:pPr>
        <w:widowControl/>
        <w:spacing w:line="360" w:lineRule="auto"/>
        <w:jc w:val="left"/>
        <w:rPr>
          <w:rFonts w:ascii="宋体" w:hAnsi="宋体" w:cs="Arial"/>
          <w:b/>
          <w:sz w:val="28"/>
          <w:szCs w:val="28"/>
        </w:rPr>
      </w:pPr>
      <w:r>
        <w:rPr>
          <w:rFonts w:ascii="宋体" w:hAnsi="宋体" w:cs="Arial"/>
          <w:b/>
          <w:szCs w:val="21"/>
        </w:rPr>
        <w:br w:type="page"/>
      </w:r>
      <w:r>
        <w:rPr>
          <w:rFonts w:hint="eastAsia" w:ascii="宋体" w:hAnsi="宋体" w:cs="Arial"/>
          <w:b/>
          <w:sz w:val="28"/>
          <w:szCs w:val="28"/>
        </w:rPr>
        <w:t>八、</w:t>
      </w:r>
      <w:r>
        <w:rPr>
          <w:rFonts w:hint="eastAsia" w:ascii="宋体" w:hAnsi="宋体"/>
          <w:b/>
          <w:sz w:val="28"/>
          <w:szCs w:val="28"/>
        </w:rPr>
        <w:t>遴选文件点对点响应一览表</w:t>
      </w:r>
      <w:bookmarkEnd w:id="37"/>
    </w:p>
    <w:p>
      <w:pPr>
        <w:spacing w:before="50" w:after="188" w:line="400" w:lineRule="exact"/>
        <w:ind w:left="210" w:leftChars="100"/>
        <w:jc w:val="center"/>
        <w:rPr>
          <w:rFonts w:ascii="宋体" w:hAnsi="宋体" w:cs="Arial"/>
          <w:b/>
          <w:szCs w:val="21"/>
        </w:rPr>
      </w:pPr>
      <w:r>
        <w:rPr>
          <w:rFonts w:hint="eastAsia" w:ascii="宋体" w:hAnsi="宋体"/>
          <w:b/>
          <w:szCs w:val="21"/>
        </w:rPr>
        <w:t>遴文件点对点响应一览表</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2567"/>
        <w:gridCol w:w="2268"/>
        <w:gridCol w:w="2294"/>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579" w:type="dxa"/>
            <w:shd w:val="clear" w:color="auto" w:fill="EAEAEA"/>
            <w:vAlign w:val="center"/>
          </w:tcPr>
          <w:p>
            <w:pPr>
              <w:jc w:val="center"/>
              <w:rPr>
                <w:rFonts w:ascii="宋体" w:hAnsi="宋体"/>
                <w:b/>
              </w:rPr>
            </w:pPr>
            <w:r>
              <w:rPr>
                <w:rFonts w:hint="eastAsia" w:ascii="宋体" w:hAnsi="宋体"/>
                <w:b/>
              </w:rPr>
              <w:t>序号</w:t>
            </w:r>
          </w:p>
        </w:tc>
        <w:tc>
          <w:tcPr>
            <w:tcW w:w="2567" w:type="dxa"/>
            <w:shd w:val="clear" w:color="auto" w:fill="EAEAEA"/>
            <w:vAlign w:val="center"/>
          </w:tcPr>
          <w:p>
            <w:pPr>
              <w:jc w:val="center"/>
              <w:rPr>
                <w:rFonts w:ascii="宋体" w:hAnsi="宋体"/>
                <w:b/>
              </w:rPr>
            </w:pPr>
            <w:r>
              <w:rPr>
                <w:rFonts w:hint="eastAsia" w:ascii="宋体" w:hAnsi="宋体"/>
                <w:b/>
              </w:rPr>
              <w:t>遴选文件要求条款</w:t>
            </w:r>
          </w:p>
        </w:tc>
        <w:tc>
          <w:tcPr>
            <w:tcW w:w="2268" w:type="dxa"/>
            <w:shd w:val="clear" w:color="auto" w:fill="EAEAEA"/>
            <w:vAlign w:val="center"/>
          </w:tcPr>
          <w:p>
            <w:pPr>
              <w:jc w:val="center"/>
              <w:rPr>
                <w:rFonts w:ascii="宋体" w:hAnsi="宋体"/>
                <w:b/>
              </w:rPr>
            </w:pPr>
            <w:r>
              <w:rPr>
                <w:rFonts w:hint="eastAsia" w:ascii="宋体" w:hAnsi="宋体"/>
                <w:b/>
              </w:rPr>
              <w:t>参评人响应情况描述</w:t>
            </w:r>
          </w:p>
        </w:tc>
        <w:tc>
          <w:tcPr>
            <w:tcW w:w="2294" w:type="dxa"/>
            <w:shd w:val="clear" w:color="auto" w:fill="EAEAEA"/>
            <w:vAlign w:val="center"/>
          </w:tcPr>
          <w:p>
            <w:pPr>
              <w:jc w:val="center"/>
              <w:rPr>
                <w:rFonts w:ascii="宋体" w:hAnsi="宋体"/>
                <w:b/>
              </w:rPr>
            </w:pPr>
            <w:r>
              <w:rPr>
                <w:rFonts w:hint="eastAsia" w:ascii="宋体" w:hAnsi="宋体"/>
                <w:b/>
              </w:rPr>
              <w:t>偏离说明（正偏离/完全响应/负偏离）</w:t>
            </w:r>
          </w:p>
        </w:tc>
        <w:tc>
          <w:tcPr>
            <w:tcW w:w="1675" w:type="dxa"/>
            <w:shd w:val="clear" w:color="auto" w:fill="EAEAEA"/>
            <w:vAlign w:val="center"/>
          </w:tcPr>
          <w:p>
            <w:pPr>
              <w:jc w:val="center"/>
              <w:rPr>
                <w:rFonts w:ascii="宋体" w:hAnsi="宋体"/>
                <w:b/>
              </w:rPr>
            </w:pPr>
            <w:r>
              <w:rPr>
                <w:rFonts w:hint="eastAsia" w:ascii="宋体" w:hAnsi="宋体"/>
                <w:b/>
              </w:rPr>
              <w:t>对应参评文件位置及页码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579" w:type="dxa"/>
            <w:vAlign w:val="center"/>
          </w:tcPr>
          <w:p>
            <w:pPr>
              <w:spacing w:line="300" w:lineRule="auto"/>
              <w:jc w:val="center"/>
              <w:rPr>
                <w:rFonts w:ascii="宋体" w:hAnsi="宋体"/>
                <w:szCs w:val="21"/>
              </w:rPr>
            </w:pPr>
          </w:p>
          <w:p>
            <w:pPr>
              <w:spacing w:line="300" w:lineRule="auto"/>
              <w:jc w:val="center"/>
              <w:rPr>
                <w:rFonts w:ascii="宋体" w:hAnsi="宋体"/>
                <w:szCs w:val="21"/>
              </w:rPr>
            </w:pPr>
          </w:p>
        </w:tc>
        <w:tc>
          <w:tcPr>
            <w:tcW w:w="2567" w:type="dxa"/>
            <w:vAlign w:val="center"/>
          </w:tcPr>
          <w:p>
            <w:pPr>
              <w:spacing w:line="300" w:lineRule="auto"/>
              <w:jc w:val="center"/>
              <w:rPr>
                <w:rFonts w:ascii="宋体" w:hAnsi="宋体"/>
                <w:szCs w:val="21"/>
              </w:rPr>
            </w:pPr>
          </w:p>
        </w:tc>
        <w:tc>
          <w:tcPr>
            <w:tcW w:w="2268" w:type="dxa"/>
            <w:vAlign w:val="center"/>
          </w:tcPr>
          <w:p>
            <w:pPr>
              <w:spacing w:line="300" w:lineRule="auto"/>
              <w:jc w:val="center"/>
              <w:rPr>
                <w:rFonts w:ascii="宋体" w:hAnsi="宋体"/>
                <w:szCs w:val="21"/>
              </w:rPr>
            </w:pPr>
          </w:p>
        </w:tc>
        <w:tc>
          <w:tcPr>
            <w:tcW w:w="2294" w:type="dxa"/>
            <w:vAlign w:val="center"/>
          </w:tcPr>
          <w:p>
            <w:pPr>
              <w:spacing w:line="300" w:lineRule="auto"/>
              <w:jc w:val="center"/>
              <w:rPr>
                <w:rFonts w:ascii="宋体" w:hAnsi="宋体"/>
                <w:szCs w:val="21"/>
              </w:rPr>
            </w:pPr>
          </w:p>
        </w:tc>
        <w:tc>
          <w:tcPr>
            <w:tcW w:w="1675" w:type="dxa"/>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579" w:type="dxa"/>
            <w:vAlign w:val="center"/>
          </w:tcPr>
          <w:p>
            <w:pPr>
              <w:spacing w:line="300" w:lineRule="auto"/>
              <w:jc w:val="center"/>
              <w:rPr>
                <w:rFonts w:ascii="宋体" w:hAnsi="宋体"/>
                <w:szCs w:val="21"/>
              </w:rPr>
            </w:pPr>
          </w:p>
          <w:p>
            <w:pPr>
              <w:spacing w:line="300" w:lineRule="auto"/>
              <w:jc w:val="center"/>
              <w:rPr>
                <w:rFonts w:ascii="宋体" w:hAnsi="宋体"/>
                <w:szCs w:val="21"/>
              </w:rPr>
            </w:pPr>
          </w:p>
        </w:tc>
        <w:tc>
          <w:tcPr>
            <w:tcW w:w="2567" w:type="dxa"/>
            <w:vAlign w:val="center"/>
          </w:tcPr>
          <w:p>
            <w:pPr>
              <w:spacing w:line="300" w:lineRule="auto"/>
              <w:jc w:val="center"/>
              <w:rPr>
                <w:rFonts w:ascii="宋体" w:hAnsi="宋体"/>
                <w:szCs w:val="21"/>
              </w:rPr>
            </w:pPr>
          </w:p>
          <w:p>
            <w:pPr>
              <w:spacing w:line="300" w:lineRule="auto"/>
              <w:jc w:val="center"/>
              <w:rPr>
                <w:rFonts w:ascii="宋体" w:hAnsi="宋体"/>
                <w:szCs w:val="21"/>
              </w:rPr>
            </w:pPr>
          </w:p>
        </w:tc>
        <w:tc>
          <w:tcPr>
            <w:tcW w:w="2268" w:type="dxa"/>
            <w:vAlign w:val="center"/>
          </w:tcPr>
          <w:p>
            <w:pPr>
              <w:spacing w:line="300" w:lineRule="auto"/>
              <w:jc w:val="center"/>
              <w:rPr>
                <w:rFonts w:ascii="宋体" w:hAnsi="宋体"/>
                <w:szCs w:val="21"/>
              </w:rPr>
            </w:pPr>
          </w:p>
        </w:tc>
        <w:tc>
          <w:tcPr>
            <w:tcW w:w="2294" w:type="dxa"/>
            <w:vAlign w:val="center"/>
          </w:tcPr>
          <w:p>
            <w:pPr>
              <w:spacing w:line="300" w:lineRule="auto"/>
              <w:jc w:val="center"/>
              <w:rPr>
                <w:rFonts w:ascii="宋体" w:hAnsi="宋体"/>
                <w:szCs w:val="21"/>
              </w:rPr>
            </w:pPr>
          </w:p>
        </w:tc>
        <w:tc>
          <w:tcPr>
            <w:tcW w:w="1675" w:type="dxa"/>
            <w:vAlign w:val="center"/>
          </w:tcPr>
          <w:p>
            <w:pPr>
              <w:spacing w:line="300" w:lineRule="auto"/>
              <w:jc w:val="center"/>
              <w:rPr>
                <w:rFonts w:ascii="宋体" w:hAnsi="宋体"/>
                <w:szCs w:val="21"/>
              </w:rPr>
            </w:pPr>
          </w:p>
        </w:tc>
      </w:tr>
    </w:tbl>
    <w:p>
      <w:pPr>
        <w:spacing w:line="300" w:lineRule="auto"/>
        <w:ind w:firstLine="359" w:firstLineChars="171"/>
        <w:rPr>
          <w:rFonts w:ascii="宋体" w:hAnsi="宋体"/>
          <w:szCs w:val="21"/>
        </w:rPr>
      </w:pPr>
      <w:r>
        <w:rPr>
          <w:rFonts w:hint="eastAsia" w:ascii="宋体" w:hAnsi="宋体"/>
          <w:szCs w:val="21"/>
        </w:rPr>
        <w:t>说明：</w:t>
      </w:r>
    </w:p>
    <w:p>
      <w:pPr>
        <w:spacing w:line="300" w:lineRule="auto"/>
        <w:ind w:firstLine="359" w:firstLineChars="171"/>
        <w:rPr>
          <w:rFonts w:ascii="宋体" w:hAnsi="宋体"/>
          <w:bCs/>
          <w:szCs w:val="21"/>
        </w:rPr>
      </w:pPr>
      <w:r>
        <w:rPr>
          <w:rFonts w:hint="eastAsia" w:ascii="宋体" w:hAnsi="宋体"/>
          <w:bCs/>
          <w:szCs w:val="21"/>
        </w:rPr>
        <w:t>1.把采购需求相关要求的响应情况逐条列入此表。</w:t>
      </w:r>
    </w:p>
    <w:p>
      <w:pPr>
        <w:spacing w:line="300" w:lineRule="auto"/>
        <w:ind w:firstLine="359" w:firstLineChars="171"/>
        <w:rPr>
          <w:rFonts w:ascii="宋体" w:hAnsi="宋体"/>
          <w:bCs/>
          <w:szCs w:val="21"/>
        </w:rPr>
      </w:pPr>
      <w:r>
        <w:rPr>
          <w:rFonts w:hint="eastAsia" w:ascii="宋体" w:hAnsi="宋体"/>
          <w:bCs/>
          <w:szCs w:val="21"/>
        </w:rPr>
        <w:t>2.按采购需求的顺序填写。</w:t>
      </w:r>
    </w:p>
    <w:p>
      <w:pPr>
        <w:ind w:left="840"/>
        <w:rPr>
          <w:rFonts w:ascii="宋体" w:hAnsi="宋体" w:cs="Arial"/>
          <w:szCs w:val="21"/>
        </w:rPr>
      </w:pPr>
      <w:r>
        <w:rPr>
          <w:rFonts w:hint="eastAsia" w:ascii="宋体" w:hAnsi="宋体" w:cs="Arial"/>
          <w:szCs w:val="21"/>
        </w:rPr>
        <w:t>（此表可延长）</w:t>
      </w:r>
    </w:p>
    <w:p>
      <w:pPr>
        <w:ind w:left="840"/>
        <w:rPr>
          <w:rFonts w:ascii="宋体" w:hAnsi="宋体" w:cs="Arial"/>
          <w:szCs w:val="21"/>
        </w:rPr>
      </w:pPr>
    </w:p>
    <w:p>
      <w:pPr>
        <w:widowControl/>
        <w:spacing w:line="360" w:lineRule="auto"/>
        <w:jc w:val="left"/>
        <w:rPr>
          <w:rFonts w:ascii="宋体" w:hAnsi="宋体" w:cs="宋体"/>
          <w:szCs w:val="21"/>
        </w:rPr>
      </w:pPr>
    </w:p>
    <w:p>
      <w:pPr>
        <w:widowControl/>
        <w:spacing w:line="360" w:lineRule="auto"/>
        <w:jc w:val="left"/>
        <w:rPr>
          <w:rFonts w:ascii="宋体" w:hAnsi="宋体" w:cs="宋体"/>
          <w:szCs w:val="21"/>
        </w:rPr>
      </w:pPr>
      <w:r>
        <w:rPr>
          <w:rFonts w:hint="eastAsia" w:ascii="宋体" w:hAnsi="宋体" w:cs="宋体"/>
          <w:szCs w:val="21"/>
        </w:rPr>
        <w:t>参评人名称（并加盖公章）：</w:t>
      </w:r>
    </w:p>
    <w:p>
      <w:pPr>
        <w:widowControl/>
        <w:spacing w:line="360" w:lineRule="auto"/>
        <w:jc w:val="left"/>
        <w:rPr>
          <w:rFonts w:ascii="宋体" w:hAnsi="宋体" w:cs="宋体"/>
          <w:szCs w:val="21"/>
          <w:u w:val="single"/>
        </w:rPr>
      </w:pPr>
      <w:r>
        <w:rPr>
          <w:rFonts w:hint="eastAsia" w:ascii="宋体" w:hAnsi="宋体" w:cs="宋体"/>
          <w:szCs w:val="21"/>
        </w:rPr>
        <w:t>参评人法定代表人或其委托人签名或印鉴：</w:t>
      </w:r>
    </w:p>
    <w:p>
      <w:pPr>
        <w:widowControl/>
        <w:spacing w:line="360" w:lineRule="auto"/>
        <w:jc w:val="left"/>
        <w:rPr>
          <w:rFonts w:ascii="宋体" w:hAnsi="宋体" w:cs="宋体"/>
          <w:szCs w:val="21"/>
        </w:rPr>
      </w:pPr>
      <w:r>
        <w:rPr>
          <w:rFonts w:hint="eastAsia" w:ascii="宋体" w:hAnsi="宋体" w:cs="宋体"/>
          <w:szCs w:val="21"/>
        </w:rPr>
        <w:t>日期：   年   月   日</w:t>
      </w:r>
      <w:r>
        <w:rPr>
          <w:rFonts w:hint="eastAsia"/>
          <w:szCs w:val="21"/>
        </w:rPr>
        <w:t>：</w:t>
      </w:r>
    </w:p>
    <w:p>
      <w:pPr>
        <w:tabs>
          <w:tab w:val="left" w:pos="3119"/>
        </w:tabs>
        <w:spacing w:line="360" w:lineRule="auto"/>
        <w:rPr>
          <w:rFonts w:ascii="宋体" w:hAnsi="宋体"/>
          <w:szCs w:val="21"/>
        </w:rPr>
      </w:pPr>
    </w:p>
    <w:p>
      <w:pPr>
        <w:widowControl/>
        <w:spacing w:line="360" w:lineRule="auto"/>
        <w:ind w:left="720"/>
        <w:jc w:val="left"/>
        <w:rPr>
          <w:rFonts w:ascii="宋体" w:hAnsi="宋体" w:cs="Arial"/>
          <w:szCs w:val="21"/>
        </w:rPr>
      </w:pPr>
    </w:p>
    <w:p>
      <w:pPr>
        <w:widowControl/>
        <w:spacing w:line="360" w:lineRule="auto"/>
        <w:jc w:val="left"/>
        <w:rPr>
          <w:rFonts w:ascii="宋体" w:hAnsi="宋体"/>
          <w:b/>
          <w:sz w:val="28"/>
          <w:szCs w:val="28"/>
        </w:rPr>
      </w:pPr>
      <w:r>
        <w:rPr>
          <w:rFonts w:ascii="宋体" w:hAnsi="宋体" w:cs="Arial"/>
          <w:szCs w:val="21"/>
        </w:rPr>
        <w:br w:type="page"/>
      </w:r>
      <w:bookmarkEnd w:id="38"/>
      <w:r>
        <w:rPr>
          <w:rFonts w:hint="eastAsia" w:ascii="宋体" w:hAnsi="宋体"/>
          <w:b/>
          <w:sz w:val="28"/>
          <w:szCs w:val="28"/>
        </w:rPr>
        <w:t>九、</w:t>
      </w:r>
      <w:r>
        <w:rPr>
          <w:rFonts w:hint="eastAsia" w:ascii="宋体" w:hAnsi="宋体"/>
          <w:b/>
          <w:kern w:val="0"/>
          <w:sz w:val="28"/>
          <w:szCs w:val="28"/>
        </w:rPr>
        <w:t>本地支撑能力证明</w:t>
      </w:r>
    </w:p>
    <w:p>
      <w:pPr>
        <w:widowControl/>
        <w:spacing w:line="360" w:lineRule="auto"/>
        <w:ind w:left="720"/>
        <w:jc w:val="center"/>
        <w:rPr>
          <w:rFonts w:ascii="宋体" w:hAnsi="宋体"/>
          <w:b/>
          <w:szCs w:val="21"/>
        </w:rPr>
      </w:pPr>
      <w:r>
        <w:rPr>
          <w:rFonts w:hint="eastAsia" w:ascii="宋体" w:hAnsi="宋体"/>
          <w:b/>
          <w:kern w:val="0"/>
          <w:szCs w:val="21"/>
        </w:rPr>
        <w:t>本地支撑能力证明情况</w:t>
      </w:r>
    </w:p>
    <w:p>
      <w:pPr>
        <w:spacing w:line="360" w:lineRule="auto"/>
        <w:ind w:left="105" w:leftChars="50" w:right="136" w:rightChars="65" w:firstLine="422" w:firstLineChars="200"/>
        <w:rPr>
          <w:rFonts w:ascii="宋体" w:hAnsi="宋体"/>
          <w:kern w:val="0"/>
          <w:szCs w:val="21"/>
        </w:rPr>
      </w:pPr>
      <w:r>
        <w:rPr>
          <w:rFonts w:hint="eastAsia" w:ascii="宋体" w:hAnsi="宋体"/>
          <w:b/>
          <w:szCs w:val="21"/>
        </w:rPr>
        <w:t>注：</w:t>
      </w:r>
      <w:r>
        <w:rPr>
          <w:rFonts w:hint="eastAsia"/>
          <w:szCs w:val="21"/>
        </w:rPr>
        <w:t>提供相关证明文件。</w:t>
      </w:r>
    </w:p>
    <w:p>
      <w:pPr>
        <w:spacing w:line="360" w:lineRule="auto"/>
        <w:ind w:left="105" w:leftChars="50" w:right="136" w:rightChars="65" w:firstLine="420" w:firstLineChars="200"/>
        <w:rPr>
          <w:rFonts w:ascii="宋体" w:hAnsi="宋体"/>
          <w:kern w:val="0"/>
          <w:szCs w:val="21"/>
        </w:rPr>
      </w:pPr>
    </w:p>
    <w:p>
      <w:pPr>
        <w:spacing w:line="360" w:lineRule="auto"/>
        <w:ind w:left="105" w:leftChars="50" w:right="136" w:rightChars="65" w:firstLine="420" w:firstLineChars="200"/>
        <w:rPr>
          <w:rFonts w:ascii="宋体" w:hAnsi="宋体" w:cs="Arial"/>
          <w:szCs w:val="21"/>
        </w:rPr>
      </w:pPr>
    </w:p>
    <w:p>
      <w:pPr>
        <w:widowControl/>
        <w:spacing w:line="360" w:lineRule="auto"/>
        <w:jc w:val="left"/>
        <w:rPr>
          <w:rFonts w:ascii="宋体" w:hAnsi="宋体" w:cs="宋体"/>
          <w:szCs w:val="21"/>
        </w:rPr>
      </w:pPr>
      <w:r>
        <w:rPr>
          <w:rFonts w:hint="eastAsia" w:ascii="宋体" w:hAnsi="宋体" w:cs="宋体"/>
          <w:szCs w:val="21"/>
        </w:rPr>
        <w:t>参评人名称（并加盖公章）：</w:t>
      </w:r>
    </w:p>
    <w:p>
      <w:pPr>
        <w:widowControl/>
        <w:spacing w:line="360" w:lineRule="auto"/>
        <w:jc w:val="left"/>
        <w:rPr>
          <w:rFonts w:ascii="宋体" w:hAnsi="宋体" w:cs="宋体"/>
          <w:szCs w:val="21"/>
          <w:u w:val="single"/>
        </w:rPr>
      </w:pPr>
      <w:r>
        <w:rPr>
          <w:rFonts w:hint="eastAsia" w:ascii="宋体" w:hAnsi="宋体" w:cs="宋体"/>
          <w:szCs w:val="21"/>
        </w:rPr>
        <w:t>参评人法定代表人或其委托人签名或印鉴：</w:t>
      </w:r>
    </w:p>
    <w:p>
      <w:pPr>
        <w:pStyle w:val="7"/>
        <w:spacing w:before="156" w:after="156"/>
        <w:rPr>
          <w:sz w:val="21"/>
          <w:szCs w:val="21"/>
        </w:rPr>
      </w:pPr>
      <w:r>
        <w:rPr>
          <w:rFonts w:hint="eastAsia" w:cs="宋体"/>
          <w:sz w:val="21"/>
          <w:szCs w:val="21"/>
        </w:rPr>
        <w:t>日期：   年   月   日</w:t>
      </w:r>
      <w:r>
        <w:rPr>
          <w:rFonts w:hint="eastAsia"/>
          <w:sz w:val="21"/>
          <w:szCs w:val="21"/>
        </w:rPr>
        <w:t>：</w:t>
      </w:r>
    </w:p>
    <w:p>
      <w:pPr>
        <w:widowControl/>
        <w:spacing w:line="360" w:lineRule="auto"/>
        <w:jc w:val="left"/>
        <w:rPr>
          <w:rFonts w:ascii="宋体" w:hAnsi="宋体"/>
          <w:szCs w:val="21"/>
        </w:rPr>
      </w:pPr>
    </w:p>
    <w:p>
      <w:pPr>
        <w:widowControl/>
        <w:spacing w:line="360" w:lineRule="auto"/>
        <w:jc w:val="left"/>
        <w:rPr>
          <w:rFonts w:ascii="宋体" w:hAnsi="宋体"/>
          <w:b/>
          <w:sz w:val="28"/>
          <w:szCs w:val="28"/>
        </w:rPr>
      </w:pPr>
      <w:r>
        <w:rPr>
          <w:rFonts w:ascii="宋体" w:hAnsi="宋体"/>
        </w:rPr>
        <w:br w:type="page"/>
      </w:r>
      <w:r>
        <w:rPr>
          <w:rFonts w:hint="eastAsia" w:ascii="宋体" w:hAnsi="宋体"/>
          <w:b/>
          <w:sz w:val="28"/>
          <w:szCs w:val="28"/>
        </w:rPr>
        <w:t>十、</w:t>
      </w:r>
      <w:r>
        <w:rPr>
          <w:rFonts w:hint="eastAsia" w:ascii="宋体" w:hAnsi="宋体"/>
          <w:b/>
          <w:kern w:val="0"/>
          <w:sz w:val="28"/>
          <w:szCs w:val="28"/>
        </w:rPr>
        <w:t>良好服务能力证明</w:t>
      </w:r>
    </w:p>
    <w:p>
      <w:pPr>
        <w:widowControl/>
        <w:spacing w:line="360" w:lineRule="auto"/>
        <w:ind w:left="720"/>
        <w:jc w:val="center"/>
        <w:rPr>
          <w:rFonts w:ascii="宋体" w:hAnsi="宋体"/>
          <w:b/>
          <w:szCs w:val="21"/>
        </w:rPr>
      </w:pPr>
      <w:r>
        <w:rPr>
          <w:rFonts w:hint="eastAsia" w:ascii="宋体" w:hAnsi="宋体"/>
          <w:b/>
          <w:kern w:val="0"/>
          <w:szCs w:val="21"/>
        </w:rPr>
        <w:t>良好服务能力情况</w:t>
      </w:r>
    </w:p>
    <w:p>
      <w:pPr>
        <w:spacing w:line="360" w:lineRule="auto"/>
        <w:ind w:left="105" w:leftChars="50" w:right="136" w:rightChars="65" w:firstLine="422" w:firstLineChars="200"/>
        <w:rPr>
          <w:rFonts w:ascii="宋体" w:hAnsi="宋体"/>
          <w:kern w:val="0"/>
          <w:szCs w:val="21"/>
        </w:rPr>
      </w:pPr>
      <w:r>
        <w:rPr>
          <w:rFonts w:hint="eastAsia" w:ascii="宋体" w:hAnsi="宋体"/>
          <w:b/>
          <w:szCs w:val="21"/>
        </w:rPr>
        <w:t>注：</w:t>
      </w:r>
      <w:r>
        <w:rPr>
          <w:rFonts w:hint="eastAsia"/>
          <w:szCs w:val="21"/>
        </w:rPr>
        <w:t>提供相关证明文件。</w:t>
      </w:r>
    </w:p>
    <w:p>
      <w:pPr>
        <w:spacing w:line="360" w:lineRule="auto"/>
        <w:ind w:left="105" w:leftChars="50" w:right="136" w:rightChars="65" w:firstLine="420" w:firstLineChars="200"/>
        <w:rPr>
          <w:rFonts w:ascii="宋体" w:hAnsi="宋体"/>
          <w:kern w:val="0"/>
          <w:szCs w:val="21"/>
        </w:rPr>
      </w:pPr>
    </w:p>
    <w:p>
      <w:pPr>
        <w:spacing w:line="360" w:lineRule="auto"/>
        <w:ind w:left="105" w:leftChars="50" w:right="136" w:rightChars="65" w:firstLine="420" w:firstLineChars="200"/>
        <w:rPr>
          <w:rFonts w:ascii="宋体" w:hAnsi="宋体" w:cs="Arial"/>
          <w:szCs w:val="21"/>
        </w:rPr>
      </w:pPr>
    </w:p>
    <w:p>
      <w:pPr>
        <w:widowControl/>
        <w:spacing w:line="360" w:lineRule="auto"/>
        <w:jc w:val="left"/>
        <w:rPr>
          <w:rFonts w:ascii="宋体" w:hAnsi="宋体" w:cs="宋体"/>
          <w:szCs w:val="21"/>
        </w:rPr>
      </w:pPr>
      <w:r>
        <w:rPr>
          <w:rFonts w:hint="eastAsia" w:ascii="宋体" w:hAnsi="宋体" w:cs="宋体"/>
          <w:szCs w:val="21"/>
        </w:rPr>
        <w:t>参评人名称（并加盖公章）：</w:t>
      </w:r>
    </w:p>
    <w:p>
      <w:pPr>
        <w:widowControl/>
        <w:spacing w:line="360" w:lineRule="auto"/>
        <w:jc w:val="left"/>
        <w:rPr>
          <w:rFonts w:ascii="宋体" w:hAnsi="宋体" w:cs="宋体"/>
          <w:szCs w:val="21"/>
          <w:u w:val="single"/>
        </w:rPr>
      </w:pPr>
      <w:r>
        <w:rPr>
          <w:rFonts w:hint="eastAsia" w:ascii="宋体" w:hAnsi="宋体" w:cs="宋体"/>
          <w:szCs w:val="21"/>
        </w:rPr>
        <w:t>参评人法定代表人或其委托人签名或印鉴：</w:t>
      </w:r>
    </w:p>
    <w:p>
      <w:pPr>
        <w:pStyle w:val="7"/>
        <w:spacing w:before="156" w:after="156"/>
        <w:rPr>
          <w:sz w:val="21"/>
          <w:szCs w:val="21"/>
        </w:rPr>
      </w:pPr>
      <w:r>
        <w:rPr>
          <w:rFonts w:hint="eastAsia" w:cs="宋体"/>
          <w:sz w:val="21"/>
          <w:szCs w:val="21"/>
        </w:rPr>
        <w:t>日期：   年   月   日</w:t>
      </w:r>
      <w:r>
        <w:rPr>
          <w:rFonts w:hint="eastAsia"/>
          <w:sz w:val="21"/>
          <w:szCs w:val="21"/>
        </w:rPr>
        <w:t>：</w:t>
      </w:r>
    </w:p>
    <w:p>
      <w:pPr>
        <w:widowControl/>
        <w:spacing w:line="360" w:lineRule="auto"/>
        <w:jc w:val="left"/>
        <w:rPr>
          <w:rFonts w:ascii="宋体" w:hAnsi="宋体"/>
        </w:rPr>
      </w:pPr>
    </w:p>
    <w:p>
      <w:pPr>
        <w:widowControl/>
        <w:spacing w:line="360" w:lineRule="auto"/>
        <w:jc w:val="left"/>
      </w:pPr>
      <w:r>
        <w:rPr>
          <w:rFonts w:ascii="宋体" w:hAnsi="宋体"/>
        </w:rPr>
        <w:br w:type="page"/>
      </w:r>
      <w:r>
        <w:rPr>
          <w:rFonts w:hint="eastAsia" w:ascii="宋体" w:hAnsi="宋体"/>
          <w:b/>
          <w:sz w:val="28"/>
          <w:szCs w:val="28"/>
        </w:rPr>
        <w:t>十一、参评人认为必要的其他资料</w:t>
      </w:r>
    </w:p>
    <w:p>
      <w:pPr>
        <w:widowControl/>
        <w:spacing w:line="360" w:lineRule="auto"/>
        <w:jc w:val="left"/>
        <w:rPr>
          <w:rFonts w:ascii="宋体" w:hAnsi="宋体"/>
        </w:rPr>
      </w:pPr>
      <w:r>
        <w:rPr>
          <w:rFonts w:hint="eastAsia" w:ascii="宋体" w:hAnsi="宋体"/>
        </w:rPr>
        <w:t>（格式自拟）</w:t>
      </w:r>
    </w:p>
    <w:p>
      <w:pPr>
        <w:widowControl/>
        <w:spacing w:line="360" w:lineRule="auto"/>
        <w:ind w:firstLine="480" w:firstLineChars="200"/>
        <w:jc w:val="left"/>
        <w:rPr>
          <w:rFonts w:ascii="宋体" w:hAnsi="宋体" w:cs="Arial"/>
          <w:sz w:val="24"/>
        </w:rPr>
      </w:pPr>
    </w:p>
    <w:p/>
    <w:p/>
    <w:sectPr>
      <w:footerReference r:id="rId6" w:type="default"/>
      <w:pgSz w:w="11906" w:h="16838"/>
      <w:pgMar w:top="1440" w:right="1416" w:bottom="1440" w:left="1276"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MS UI Gothic">
    <w:panose1 w:val="020B0600070205080204"/>
    <w:charset w:val="80"/>
    <w:family w:val="swiss"/>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right" w:pos="9180"/>
        <w:tab w:val="clear" w:pos="8306"/>
      </w:tabs>
      <w:ind w:left="-523" w:leftChars="-249" w:right="-868" w:firstLine="630" w:firstLineChars="300"/>
      <w:rPr>
        <w:rFonts w:ascii="仿宋" w:hAnsi="仿宋" w:eastAsia="仿宋"/>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right" w:pos="9180"/>
        <w:tab w:val="clear" w:pos="8306"/>
      </w:tabs>
      <w:ind w:left="-523" w:leftChars="-249" w:right="-868" w:firstLine="630" w:firstLineChars="300"/>
      <w:rPr>
        <w:rFonts w:ascii="仿宋" w:hAnsi="仿宋" w:eastAsia="仿宋"/>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00685" cy="147955"/>
              <wp:effectExtent l="0" t="0" r="3175" b="8255"/>
              <wp:wrapNone/>
              <wp:docPr id="3" name="文本框 3"/>
              <wp:cNvGraphicFramePr/>
              <a:graphic xmlns:a="http://schemas.openxmlformats.org/drawingml/2006/main">
                <a:graphicData uri="http://schemas.microsoft.com/office/word/2010/wordprocessingShape">
                  <wps:wsp>
                    <wps:cNvSpPr txBox="1"/>
                    <wps:spPr>
                      <a:xfrm>
                        <a:off x="0" y="0"/>
                        <a:ext cx="400685" cy="147955"/>
                      </a:xfrm>
                      <a:prstGeom prst="rect">
                        <a:avLst/>
                      </a:prstGeom>
                      <a:noFill/>
                      <a:ln w="15875">
                        <a:noFill/>
                      </a:ln>
                    </wps:spPr>
                    <wps:txbx>
                      <w:txbxContent>
                        <w:p>
                          <w:pPr>
                            <w:pStyle w:val="23"/>
                          </w:pPr>
                          <w:r>
                            <w:rPr>
                              <w:rFonts w:hint="eastAsia"/>
                            </w:rPr>
                            <w:t xml:space="preserve">第 </w:t>
                          </w:r>
                          <w:r>
                            <w:fldChar w:fldCharType="begin"/>
                          </w:r>
                          <w:r>
                            <w:instrText xml:space="preserve"> PAGE  \* MERGEFORMAT </w:instrText>
                          </w:r>
                          <w:r>
                            <w:fldChar w:fldCharType="separate"/>
                          </w:r>
                          <w:r>
                            <w:t>34</w:t>
                          </w:r>
                          <w:r>
                            <w:fldChar w:fldCharType="end"/>
                          </w:r>
                          <w:r>
                            <w:rPr>
                              <w:rFonts w:hint="eastAsia"/>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1.65pt;width:31.55pt;mso-position-horizontal:center;mso-position-horizontal-relative:margin;mso-wrap-style:none;z-index:251659264;mso-width-relative:page;mso-height-relative:page;" filled="f" stroked="f" coordsize="21600,21600" o:gfxdata="UEsDBAoAAAAAAIdO4kAAAAAAAAAAAAAAAAAEAAAAZHJzL1BLAwQUAAAACACHTuJAGqoRO9UAAAAD&#10;AQAADwAAAGRycy9kb3ducmV2LnhtbE2PQUvDQBCF74L/YRnBS2l300hpYzYFhd4UbBW8brNjkpqd&#10;DbvbtPrrHb3Uy8DjPd77plyfXS9GDLHzpCGbKRBItbcdNRreXjfTJYiYDFnTe0INXxhhXV1flaaw&#10;/kRbHHepEVxCsTAa2pSGQspYt+hMnPkBib0PH5xJLEMjbTAnLne9nCu1kM50xAutGfCxxfpzd3Qa&#10;3p++EbfLh8lkvDscgtqsXmr5rPXtTabuQSQ8p0sYfvEZHSpm2vsj2Sh6DfxI+rvsLfIMxF7DPM9B&#10;VqX8z179AFBLAwQUAAAACACHTuJAlxvHX7QBAABHAwAADgAAAGRycy9lMm9Eb2MueG1srVLBbhMx&#10;EL0j8Q+W72STtkvDKpsKVBUhIUAqfIDjtbOWbI/lcbObH4A/4MSFO9+V7+jY2aQIboiLPZ4Zv5n3&#10;ZlY3o7NspyIa8C1fzOacKS+hM37b8i+f714sOcMkfCcseNXyvUJ+s37+bDWERl1AD7ZTkRGIx2YI&#10;Le9TCk1VoeyVEziDoDwFNUQnEj3jtuqiGAjd2epiPn9ZDRC7EEEqRPLeHoN8XfC1VjJ91BpVYrbl&#10;1FsqZyznJp/VeiWabRShN3JqQ/xDF04YT0XPULciCfYQzV9QzsgICDrNJLgKtDZSFQ7EZjH/g819&#10;L4IqXEgcDGeZ8P/Byg+7T5GZruWXnHnhaESH798OP34dfn5ll1meIWBDWfeB8tL4BkYa88mP5Mys&#10;Rx1dvokPozgJvT+Lq8bEJDmvaFrLmjNJocXV9au6zijV0+cQMb1V4Fg2Wh5pdkVSsXuP6Zh6Ssm1&#10;PNwZa8v8rGcDgdbL67r8OIcI3Xoqkjkce81WGjfjRGwD3Z54DbQALfe0oZzZd570zbtyMuLJ2ExG&#10;Lo/h9UOiFkpnGfUINRWjaRVu02bldfj9XbKe9n/9C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Bqq&#10;ETvVAAAAAwEAAA8AAAAAAAAAAQAgAAAAIgAAAGRycy9kb3ducmV2LnhtbFBLAQIUABQAAAAIAIdO&#10;4kCXG8dftAEAAEcDAAAOAAAAAAAAAAEAIAAAACQBAABkcnMvZTJvRG9jLnhtbFBLBQYAAAAABgAG&#10;AFkBAABKBQAAAAA=&#10;">
              <v:fill on="f" focussize="0,0"/>
              <v:stroke on="f" weight="1.25pt"/>
              <v:imagedata o:title=""/>
              <o:lock v:ext="edit" aspectratio="f"/>
              <v:textbox inset="0mm,0mm,0mm,0mm" style="mso-fit-shape-to-text:t;">
                <w:txbxContent>
                  <w:p>
                    <w:pPr>
                      <w:pStyle w:val="23"/>
                    </w:pPr>
                    <w:r>
                      <w:rPr>
                        <w:rFonts w:hint="eastAsia"/>
                      </w:rPr>
                      <w:t xml:space="preserve">第 </w:t>
                    </w:r>
                    <w:r>
                      <w:fldChar w:fldCharType="begin"/>
                    </w:r>
                    <w:r>
                      <w:instrText xml:space="preserve"> PAGE  \* MERGEFORMAT </w:instrText>
                    </w:r>
                    <w:r>
                      <w:fldChar w:fldCharType="separate"/>
                    </w:r>
                    <w:r>
                      <w:t>34</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707"/>
      </w:tabs>
      <w:spacing w:line="360" w:lineRule="auto"/>
      <w:rPr>
        <w:rFonts w:ascii="宋体" w:hAnsi="宋体"/>
        <w:color w:val="FF000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DF8B65"/>
    <w:multiLevelType w:val="singleLevel"/>
    <w:tmpl w:val="ECDF8B65"/>
    <w:lvl w:ilvl="0" w:tentative="0">
      <w:start w:val="3"/>
      <w:numFmt w:val="decimal"/>
      <w:suff w:val="nothing"/>
      <w:lvlText w:val="%1、"/>
      <w:lvlJc w:val="left"/>
    </w:lvl>
  </w:abstractNum>
  <w:abstractNum w:abstractNumId="1">
    <w:nsid w:val="0000000E"/>
    <w:multiLevelType w:val="multilevel"/>
    <w:tmpl w:val="0000000E"/>
    <w:lvl w:ilvl="0" w:tentative="0">
      <w:start w:val="1"/>
      <w:numFmt w:val="chineseCountingThousand"/>
      <w:pStyle w:val="4"/>
      <w:lvlText w:val="%1"/>
      <w:lvlJc w:val="left"/>
      <w:pPr>
        <w:ind w:left="432" w:hanging="432"/>
      </w:pPr>
      <w:rPr>
        <w:rFonts w:hint="eastAsia"/>
      </w:rPr>
    </w:lvl>
    <w:lvl w:ilvl="1" w:tentative="0">
      <w:start w:val="1"/>
      <w:numFmt w:val="decimal"/>
      <w:pStyle w:val="5"/>
      <w:lvlText w:val="%2"/>
      <w:lvlJc w:val="left"/>
      <w:pPr>
        <w:ind w:left="576" w:hanging="576"/>
      </w:pPr>
      <w:rPr>
        <w:rFonts w:hint="eastAsia"/>
      </w:rPr>
    </w:lvl>
    <w:lvl w:ilvl="2" w:tentative="0">
      <w:start w:val="1"/>
      <w:numFmt w:val="decimal"/>
      <w:pStyle w:val="6"/>
      <w:lvlText w:val="%2.%3"/>
      <w:lvlJc w:val="left"/>
      <w:pPr>
        <w:ind w:left="720" w:hanging="720"/>
      </w:pPr>
      <w:rPr>
        <w:rFonts w:hint="eastAsia"/>
      </w:rPr>
    </w:lvl>
    <w:lvl w:ilvl="3" w:tentative="0">
      <w:start w:val="1"/>
      <w:numFmt w:val="decimal"/>
      <w:pStyle w:val="9"/>
      <w:lvlText w:val="%2.%3.%4"/>
      <w:lvlJc w:val="left"/>
      <w:pPr>
        <w:ind w:left="864" w:hanging="864"/>
      </w:pPr>
      <w:rPr>
        <w:rFonts w:hint="eastAsia"/>
      </w:rPr>
    </w:lvl>
    <w:lvl w:ilvl="4" w:tentative="0">
      <w:start w:val="1"/>
      <w:numFmt w:val="decimal"/>
      <w:pStyle w:val="10"/>
      <w:lvlText w:val="%2.%3.%4.%5"/>
      <w:lvlJc w:val="left"/>
      <w:pPr>
        <w:ind w:left="1008" w:hanging="1008"/>
      </w:pPr>
      <w:rPr>
        <w:rFonts w:hint="eastAsia"/>
      </w:rPr>
    </w:lvl>
    <w:lvl w:ilvl="5" w:tentative="0">
      <w:start w:val="1"/>
      <w:numFmt w:val="decimal"/>
      <w:pStyle w:val="11"/>
      <w:lvlText w:val="%2.%3.%4.%5.%6"/>
      <w:lvlJc w:val="left"/>
      <w:pPr>
        <w:ind w:left="1152" w:hanging="1152"/>
      </w:pPr>
      <w:rPr>
        <w:rFonts w:hint="eastAsia"/>
      </w:rPr>
    </w:lvl>
    <w:lvl w:ilvl="6" w:tentative="0">
      <w:start w:val="1"/>
      <w:numFmt w:val="decimal"/>
      <w:pStyle w:val="12"/>
      <w:lvlText w:val="%2.%3.%4.%5.%6.%7"/>
      <w:lvlJc w:val="left"/>
      <w:pPr>
        <w:ind w:left="1296" w:hanging="1296"/>
      </w:pPr>
      <w:rPr>
        <w:rFonts w:hint="eastAsia"/>
      </w:rPr>
    </w:lvl>
    <w:lvl w:ilvl="7" w:tentative="0">
      <w:start w:val="1"/>
      <w:numFmt w:val="decimal"/>
      <w:pStyle w:val="13"/>
      <w:lvlText w:val="%2.%3.%4.%5.%6.%7.%8"/>
      <w:lvlJc w:val="left"/>
      <w:pPr>
        <w:ind w:left="1440" w:hanging="1440"/>
      </w:pPr>
      <w:rPr>
        <w:rFonts w:hint="eastAsia"/>
      </w:rPr>
    </w:lvl>
    <w:lvl w:ilvl="8" w:tentative="0">
      <w:start w:val="1"/>
      <w:numFmt w:val="decimal"/>
      <w:pStyle w:val="14"/>
      <w:lvlText w:val="%2.%3.%4.%5.%6.%7.%8.%9"/>
      <w:lvlJc w:val="left"/>
      <w:pPr>
        <w:ind w:left="1584" w:hanging="1584"/>
      </w:pPr>
      <w:rPr>
        <w:rFonts w:hint="eastAsia"/>
      </w:rPr>
    </w:lvl>
  </w:abstractNum>
  <w:abstractNum w:abstractNumId="2">
    <w:nsid w:val="00000021"/>
    <w:multiLevelType w:val="multilevel"/>
    <w:tmpl w:val="00000021"/>
    <w:lvl w:ilvl="0" w:tentative="0">
      <w:start w:val="1"/>
      <w:numFmt w:val="decimal"/>
      <w:lvlText w:val="%1."/>
      <w:lvlJc w:val="left"/>
      <w:pPr>
        <w:tabs>
          <w:tab w:val="left" w:pos="420"/>
        </w:tabs>
        <w:ind w:left="420" w:hanging="420"/>
      </w:pPr>
      <w:rPr>
        <w:rFonts w:hint="eastAsia"/>
        <w:color w:val="auto"/>
      </w:rPr>
    </w:lvl>
    <w:lvl w:ilvl="1" w:tentative="0">
      <w:start w:val="1"/>
      <w:numFmt w:val="decimal"/>
      <w:lvlText w:val="%2、"/>
      <w:lvlJc w:val="left"/>
      <w:pPr>
        <w:tabs>
          <w:tab w:val="left" w:pos="510"/>
        </w:tabs>
        <w:ind w:left="510" w:hanging="510"/>
      </w:pPr>
      <w:rPr>
        <w:rFonts w:hint="default"/>
      </w:rPr>
    </w:lvl>
    <w:lvl w:ilvl="2" w:tentative="0">
      <w:start w:val="1"/>
      <w:numFmt w:val="decimal"/>
      <w:lvlText w:val="%3)"/>
      <w:lvlJc w:val="left"/>
      <w:pPr>
        <w:tabs>
          <w:tab w:val="left" w:pos="840"/>
        </w:tabs>
        <w:ind w:left="840" w:hanging="420"/>
      </w:pPr>
      <w:rPr>
        <w:rFonts w:hint="eastAsia"/>
        <w:color w:val="auto"/>
      </w:r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3">
    <w:nsid w:val="00000028"/>
    <w:multiLevelType w:val="multilevel"/>
    <w:tmpl w:val="00000028"/>
    <w:lvl w:ilvl="0" w:tentative="0">
      <w:start w:val="1"/>
      <w:numFmt w:val="decimal"/>
      <w:lvlText w:val="%1."/>
      <w:lvlJc w:val="left"/>
      <w:pPr>
        <w:tabs>
          <w:tab w:val="left" w:pos="1260"/>
        </w:tabs>
        <w:ind w:left="126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0000003E"/>
    <w:multiLevelType w:val="multilevel"/>
    <w:tmpl w:val="0000003E"/>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31207EF"/>
    <w:multiLevelType w:val="multilevel"/>
    <w:tmpl w:val="031207EF"/>
    <w:lvl w:ilvl="0" w:tentative="0">
      <w:start w:val="1"/>
      <w:numFmt w:val="japaneseCounting"/>
      <w:lvlText w:val="%1、"/>
      <w:lvlJc w:val="left"/>
      <w:pPr>
        <w:ind w:left="1296" w:hanging="720"/>
      </w:pPr>
      <w:rPr>
        <w:rFonts w:hint="default"/>
      </w:rPr>
    </w:lvl>
    <w:lvl w:ilvl="1" w:tentative="0">
      <w:start w:val="1"/>
      <w:numFmt w:val="lowerLetter"/>
      <w:lvlText w:val="%2)"/>
      <w:lvlJc w:val="left"/>
      <w:pPr>
        <w:ind w:left="1416" w:hanging="420"/>
      </w:pPr>
    </w:lvl>
    <w:lvl w:ilvl="2" w:tentative="0">
      <w:start w:val="1"/>
      <w:numFmt w:val="lowerRoman"/>
      <w:lvlText w:val="%3."/>
      <w:lvlJc w:val="right"/>
      <w:pPr>
        <w:ind w:left="1836" w:hanging="420"/>
      </w:pPr>
    </w:lvl>
    <w:lvl w:ilvl="3" w:tentative="0">
      <w:start w:val="1"/>
      <w:numFmt w:val="decimal"/>
      <w:lvlText w:val="%4."/>
      <w:lvlJc w:val="left"/>
      <w:pPr>
        <w:ind w:left="2256" w:hanging="420"/>
      </w:pPr>
    </w:lvl>
    <w:lvl w:ilvl="4" w:tentative="0">
      <w:start w:val="1"/>
      <w:numFmt w:val="lowerLetter"/>
      <w:lvlText w:val="%5)"/>
      <w:lvlJc w:val="left"/>
      <w:pPr>
        <w:ind w:left="2676" w:hanging="420"/>
      </w:pPr>
    </w:lvl>
    <w:lvl w:ilvl="5" w:tentative="0">
      <w:start w:val="1"/>
      <w:numFmt w:val="lowerRoman"/>
      <w:lvlText w:val="%6."/>
      <w:lvlJc w:val="right"/>
      <w:pPr>
        <w:ind w:left="3096" w:hanging="420"/>
      </w:pPr>
    </w:lvl>
    <w:lvl w:ilvl="6" w:tentative="0">
      <w:start w:val="1"/>
      <w:numFmt w:val="decimal"/>
      <w:lvlText w:val="%7."/>
      <w:lvlJc w:val="left"/>
      <w:pPr>
        <w:ind w:left="3516" w:hanging="420"/>
      </w:pPr>
    </w:lvl>
    <w:lvl w:ilvl="7" w:tentative="0">
      <w:start w:val="1"/>
      <w:numFmt w:val="lowerLetter"/>
      <w:lvlText w:val="%8)"/>
      <w:lvlJc w:val="left"/>
      <w:pPr>
        <w:ind w:left="3936" w:hanging="420"/>
      </w:pPr>
    </w:lvl>
    <w:lvl w:ilvl="8" w:tentative="0">
      <w:start w:val="1"/>
      <w:numFmt w:val="lowerRoman"/>
      <w:lvlText w:val="%9."/>
      <w:lvlJc w:val="right"/>
      <w:pPr>
        <w:ind w:left="4356" w:hanging="420"/>
      </w:pPr>
    </w:lvl>
  </w:abstractNum>
  <w:abstractNum w:abstractNumId="6">
    <w:nsid w:val="0B8BD17C"/>
    <w:multiLevelType w:val="singleLevel"/>
    <w:tmpl w:val="0B8BD17C"/>
    <w:lvl w:ilvl="0" w:tentative="0">
      <w:start w:val="2"/>
      <w:numFmt w:val="decimal"/>
      <w:suff w:val="nothing"/>
      <w:lvlText w:val="%1、"/>
      <w:lvlJc w:val="left"/>
    </w:lvl>
  </w:abstractNum>
  <w:abstractNum w:abstractNumId="7">
    <w:nsid w:val="2105764A"/>
    <w:multiLevelType w:val="multilevel"/>
    <w:tmpl w:val="2105764A"/>
    <w:lvl w:ilvl="0" w:tentative="0">
      <w:start w:val="1"/>
      <w:numFmt w:val="decimal"/>
      <w:lvlText w:val="%1、"/>
      <w:lvlJc w:val="left"/>
      <w:pPr>
        <w:tabs>
          <w:tab w:val="left" w:pos="0"/>
        </w:tabs>
        <w:ind w:left="437" w:hanging="437"/>
      </w:pPr>
      <w:rPr>
        <w:rFonts w:hint="eastAsia" w:ascii="宋体" w:hAnsi="宋体" w:eastAsia="宋体"/>
        <w:b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400C500D"/>
    <w:multiLevelType w:val="multilevel"/>
    <w:tmpl w:val="400C500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0008C5E"/>
    <w:multiLevelType w:val="singleLevel"/>
    <w:tmpl w:val="60008C5E"/>
    <w:lvl w:ilvl="0" w:tentative="0">
      <w:start w:val="1"/>
      <w:numFmt w:val="decimal"/>
      <w:suff w:val="nothing"/>
      <w:lvlText w:val="%1．"/>
      <w:lvlJc w:val="left"/>
      <w:pPr>
        <w:ind w:left="0" w:firstLine="400"/>
      </w:pPr>
      <w:rPr>
        <w:rFonts w:hint="default"/>
      </w:rPr>
    </w:lvl>
  </w:abstractNum>
  <w:abstractNum w:abstractNumId="10">
    <w:nsid w:val="60008CFF"/>
    <w:multiLevelType w:val="singleLevel"/>
    <w:tmpl w:val="60008CFF"/>
    <w:lvl w:ilvl="0" w:tentative="0">
      <w:start w:val="1"/>
      <w:numFmt w:val="decimal"/>
      <w:suff w:val="nothing"/>
      <w:lvlText w:val="（%1）"/>
      <w:lvlJc w:val="left"/>
      <w:pPr>
        <w:ind w:left="0" w:firstLine="420"/>
      </w:pPr>
      <w:rPr>
        <w:rFonts w:hint="default"/>
      </w:rPr>
    </w:lvl>
  </w:abstractNum>
  <w:abstractNum w:abstractNumId="11">
    <w:nsid w:val="60008D1D"/>
    <w:multiLevelType w:val="singleLevel"/>
    <w:tmpl w:val="60008D1D"/>
    <w:lvl w:ilvl="0" w:tentative="0">
      <w:start w:val="1"/>
      <w:numFmt w:val="decimal"/>
      <w:suff w:val="nothing"/>
      <w:lvlText w:val="（%1）"/>
      <w:lvlJc w:val="left"/>
      <w:pPr>
        <w:ind w:left="0" w:firstLine="420"/>
      </w:pPr>
      <w:rPr>
        <w:rFonts w:hint="default"/>
      </w:rPr>
    </w:lvl>
  </w:abstractNum>
  <w:abstractNum w:abstractNumId="12">
    <w:nsid w:val="60008D40"/>
    <w:multiLevelType w:val="singleLevel"/>
    <w:tmpl w:val="60008D40"/>
    <w:lvl w:ilvl="0" w:tentative="0">
      <w:start w:val="1"/>
      <w:numFmt w:val="decimal"/>
      <w:suff w:val="nothing"/>
      <w:lvlText w:val="（%1）"/>
      <w:lvlJc w:val="left"/>
      <w:pPr>
        <w:ind w:left="0" w:firstLine="420"/>
      </w:pPr>
      <w:rPr>
        <w:rFonts w:hint="default"/>
      </w:rPr>
    </w:lvl>
  </w:abstractNum>
  <w:num w:numId="1">
    <w:abstractNumId w:val="1"/>
  </w:num>
  <w:num w:numId="2">
    <w:abstractNumId w:val="0"/>
  </w:num>
  <w:num w:numId="3">
    <w:abstractNumId w:val="8"/>
  </w:num>
  <w:num w:numId="4">
    <w:abstractNumId w:val="5"/>
  </w:num>
  <w:num w:numId="5">
    <w:abstractNumId w:val="7"/>
  </w:num>
  <w:num w:numId="6">
    <w:abstractNumId w:val="9"/>
  </w:num>
  <w:num w:numId="7">
    <w:abstractNumId w:val="12"/>
  </w:num>
  <w:num w:numId="8">
    <w:abstractNumId w:val="10"/>
  </w:num>
  <w:num w:numId="9">
    <w:abstractNumId w:val="11"/>
  </w:num>
  <w:num w:numId="10">
    <w:abstractNumId w:val="6"/>
  </w:num>
  <w:num w:numId="11">
    <w:abstractNumId w:val="3"/>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6E"/>
    <w:rsid w:val="000204B9"/>
    <w:rsid w:val="000B50CD"/>
    <w:rsid w:val="00126DA1"/>
    <w:rsid w:val="0014649C"/>
    <w:rsid w:val="001607C2"/>
    <w:rsid w:val="00161BCE"/>
    <w:rsid w:val="001A3F6E"/>
    <w:rsid w:val="00215CB9"/>
    <w:rsid w:val="00241DDB"/>
    <w:rsid w:val="00262DE1"/>
    <w:rsid w:val="00345531"/>
    <w:rsid w:val="00355113"/>
    <w:rsid w:val="0036181B"/>
    <w:rsid w:val="004B4903"/>
    <w:rsid w:val="004C1D10"/>
    <w:rsid w:val="004E2460"/>
    <w:rsid w:val="00550137"/>
    <w:rsid w:val="005A7C37"/>
    <w:rsid w:val="00607356"/>
    <w:rsid w:val="006A340F"/>
    <w:rsid w:val="006B1E61"/>
    <w:rsid w:val="006B4AF2"/>
    <w:rsid w:val="006E20A8"/>
    <w:rsid w:val="00700506"/>
    <w:rsid w:val="00707367"/>
    <w:rsid w:val="00716EB9"/>
    <w:rsid w:val="00783FAD"/>
    <w:rsid w:val="007A62D4"/>
    <w:rsid w:val="007B1B32"/>
    <w:rsid w:val="007F7797"/>
    <w:rsid w:val="00882188"/>
    <w:rsid w:val="008B2D2C"/>
    <w:rsid w:val="008E2B1F"/>
    <w:rsid w:val="008E4D5D"/>
    <w:rsid w:val="008F58A4"/>
    <w:rsid w:val="00927F66"/>
    <w:rsid w:val="00943AC7"/>
    <w:rsid w:val="009B1404"/>
    <w:rsid w:val="009C2CD0"/>
    <w:rsid w:val="009D14CD"/>
    <w:rsid w:val="009D41F6"/>
    <w:rsid w:val="00A02C9F"/>
    <w:rsid w:val="00AA5473"/>
    <w:rsid w:val="00AE05F2"/>
    <w:rsid w:val="00AF6C5E"/>
    <w:rsid w:val="00B352C0"/>
    <w:rsid w:val="00C823E2"/>
    <w:rsid w:val="00D05181"/>
    <w:rsid w:val="00D164AB"/>
    <w:rsid w:val="00D45C09"/>
    <w:rsid w:val="00D5227A"/>
    <w:rsid w:val="00D823CC"/>
    <w:rsid w:val="00D834CF"/>
    <w:rsid w:val="00DC5B11"/>
    <w:rsid w:val="00E70455"/>
    <w:rsid w:val="00EB6000"/>
    <w:rsid w:val="00EC6FB9"/>
    <w:rsid w:val="00ED4B9A"/>
    <w:rsid w:val="00F51C33"/>
    <w:rsid w:val="00F763AA"/>
    <w:rsid w:val="00FF51A1"/>
    <w:rsid w:val="01D93FFC"/>
    <w:rsid w:val="118C65EF"/>
    <w:rsid w:val="5A5E6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41"/>
    <w:qFormat/>
    <w:uiPriority w:val="0"/>
    <w:pPr>
      <w:keepNext/>
      <w:keepLines/>
      <w:numPr>
        <w:ilvl w:val="0"/>
        <w:numId w:val="1"/>
      </w:numPr>
      <w:spacing w:line="578" w:lineRule="auto"/>
      <w:outlineLvl w:val="0"/>
    </w:pPr>
    <w:rPr>
      <w:b/>
      <w:bCs/>
      <w:kern w:val="44"/>
      <w:sz w:val="44"/>
      <w:szCs w:val="44"/>
    </w:rPr>
  </w:style>
  <w:style w:type="paragraph" w:styleId="5">
    <w:name w:val="heading 2"/>
    <w:basedOn w:val="1"/>
    <w:next w:val="1"/>
    <w:link w:val="42"/>
    <w:qFormat/>
    <w:uiPriority w:val="0"/>
    <w:pPr>
      <w:keepNext/>
      <w:keepLines/>
      <w:numPr>
        <w:ilvl w:val="1"/>
        <w:numId w:val="1"/>
      </w:numPr>
      <w:spacing w:before="260" w:after="260" w:line="416" w:lineRule="auto"/>
      <w:outlineLvl w:val="1"/>
    </w:pPr>
    <w:rPr>
      <w:rFonts w:ascii="Cambria" w:hAnsi="Cambria"/>
      <w:b/>
      <w:bCs/>
      <w:sz w:val="32"/>
      <w:szCs w:val="32"/>
    </w:rPr>
  </w:style>
  <w:style w:type="paragraph" w:styleId="6">
    <w:name w:val="heading 3"/>
    <w:basedOn w:val="1"/>
    <w:next w:val="7"/>
    <w:link w:val="43"/>
    <w:qFormat/>
    <w:uiPriority w:val="0"/>
    <w:pPr>
      <w:keepNext/>
      <w:keepLines/>
      <w:numPr>
        <w:ilvl w:val="2"/>
        <w:numId w:val="1"/>
      </w:numPr>
      <w:autoSpaceDE w:val="0"/>
      <w:autoSpaceDN w:val="0"/>
      <w:adjustRightInd w:val="0"/>
      <w:spacing w:before="360" w:after="260" w:line="360" w:lineRule="auto"/>
      <w:jc w:val="left"/>
      <w:outlineLvl w:val="2"/>
    </w:pPr>
    <w:rPr>
      <w:rFonts w:ascii="宋体" w:hAnsi="Arial" w:cs="宋体"/>
      <w:b/>
      <w:sz w:val="28"/>
      <w:szCs w:val="20"/>
    </w:rPr>
  </w:style>
  <w:style w:type="paragraph" w:styleId="9">
    <w:name w:val="heading 4"/>
    <w:basedOn w:val="1"/>
    <w:next w:val="1"/>
    <w:link w:val="44"/>
    <w:qFormat/>
    <w:uiPriority w:val="0"/>
    <w:pPr>
      <w:keepNext/>
      <w:keepLines/>
      <w:numPr>
        <w:ilvl w:val="3"/>
        <w:numId w:val="1"/>
      </w:numPr>
      <w:spacing w:line="376" w:lineRule="auto"/>
      <w:outlineLvl w:val="3"/>
    </w:pPr>
    <w:rPr>
      <w:rFonts w:ascii="Cambria" w:hAnsi="Cambria"/>
      <w:b/>
      <w:bCs/>
      <w:sz w:val="28"/>
      <w:szCs w:val="28"/>
    </w:rPr>
  </w:style>
  <w:style w:type="paragraph" w:styleId="10">
    <w:name w:val="heading 5"/>
    <w:basedOn w:val="1"/>
    <w:next w:val="1"/>
    <w:link w:val="45"/>
    <w:qFormat/>
    <w:uiPriority w:val="0"/>
    <w:pPr>
      <w:keepNext/>
      <w:keepLines/>
      <w:numPr>
        <w:ilvl w:val="4"/>
        <w:numId w:val="1"/>
      </w:numPr>
      <w:spacing w:line="376" w:lineRule="auto"/>
      <w:outlineLvl w:val="4"/>
    </w:pPr>
    <w:rPr>
      <w:b/>
      <w:bCs/>
      <w:sz w:val="28"/>
      <w:szCs w:val="28"/>
    </w:rPr>
  </w:style>
  <w:style w:type="paragraph" w:styleId="11">
    <w:name w:val="heading 6"/>
    <w:basedOn w:val="1"/>
    <w:next w:val="1"/>
    <w:link w:val="46"/>
    <w:qFormat/>
    <w:uiPriority w:val="0"/>
    <w:pPr>
      <w:keepNext/>
      <w:keepLines/>
      <w:numPr>
        <w:ilvl w:val="5"/>
        <w:numId w:val="1"/>
      </w:numPr>
      <w:spacing w:line="320" w:lineRule="auto"/>
      <w:outlineLvl w:val="5"/>
    </w:pPr>
    <w:rPr>
      <w:rFonts w:ascii="Cambria" w:hAnsi="Cambria"/>
      <w:b/>
      <w:bCs/>
      <w:sz w:val="24"/>
    </w:rPr>
  </w:style>
  <w:style w:type="paragraph" w:styleId="12">
    <w:name w:val="heading 7"/>
    <w:basedOn w:val="1"/>
    <w:next w:val="1"/>
    <w:link w:val="47"/>
    <w:qFormat/>
    <w:uiPriority w:val="0"/>
    <w:pPr>
      <w:keepNext/>
      <w:keepLines/>
      <w:numPr>
        <w:ilvl w:val="6"/>
        <w:numId w:val="1"/>
      </w:numPr>
      <w:spacing w:line="320" w:lineRule="auto"/>
      <w:outlineLvl w:val="6"/>
    </w:pPr>
    <w:rPr>
      <w:b/>
      <w:bCs/>
      <w:sz w:val="24"/>
    </w:rPr>
  </w:style>
  <w:style w:type="paragraph" w:styleId="13">
    <w:name w:val="heading 8"/>
    <w:basedOn w:val="1"/>
    <w:next w:val="1"/>
    <w:link w:val="48"/>
    <w:qFormat/>
    <w:uiPriority w:val="0"/>
    <w:pPr>
      <w:keepNext/>
      <w:keepLines/>
      <w:numPr>
        <w:ilvl w:val="7"/>
        <w:numId w:val="1"/>
      </w:numPr>
      <w:spacing w:line="320" w:lineRule="auto"/>
      <w:outlineLvl w:val="7"/>
    </w:pPr>
    <w:rPr>
      <w:rFonts w:ascii="Cambria" w:hAnsi="Cambria"/>
      <w:sz w:val="24"/>
    </w:rPr>
  </w:style>
  <w:style w:type="paragraph" w:styleId="14">
    <w:name w:val="heading 9"/>
    <w:basedOn w:val="1"/>
    <w:next w:val="1"/>
    <w:link w:val="49"/>
    <w:qFormat/>
    <w:uiPriority w:val="0"/>
    <w:pPr>
      <w:keepNext/>
      <w:keepLines/>
      <w:numPr>
        <w:ilvl w:val="8"/>
        <w:numId w:val="1"/>
      </w:numPr>
      <w:spacing w:line="320" w:lineRule="auto"/>
      <w:outlineLvl w:val="8"/>
    </w:pPr>
    <w:rPr>
      <w:rFonts w:ascii="Cambria" w:hAnsi="Cambria"/>
      <w:szCs w:val="21"/>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customStyle="1" w:styleId="2">
    <w:name w:val="_Style 3"/>
    <w:next w:val="3"/>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Body Text Indent 3"/>
    <w:basedOn w:val="1"/>
    <w:link w:val="50"/>
    <w:qFormat/>
    <w:uiPriority w:val="0"/>
    <w:pPr>
      <w:ind w:firstLine="426"/>
    </w:pPr>
    <w:rPr>
      <w:szCs w:val="20"/>
    </w:rPr>
  </w:style>
  <w:style w:type="paragraph" w:styleId="7">
    <w:name w:val="Normal Indent"/>
    <w:basedOn w:val="1"/>
    <w:next w:val="8"/>
    <w:link w:val="51"/>
    <w:qFormat/>
    <w:uiPriority w:val="0"/>
    <w:pPr>
      <w:widowControl/>
      <w:spacing w:beforeAutospacing="1" w:afterAutospacing="1"/>
      <w:jc w:val="left"/>
    </w:pPr>
    <w:rPr>
      <w:rFonts w:ascii="宋体" w:hAnsi="宋体"/>
      <w:kern w:val="0"/>
      <w:sz w:val="24"/>
    </w:rPr>
  </w:style>
  <w:style w:type="paragraph" w:styleId="8">
    <w:name w:val="toc 4"/>
    <w:basedOn w:val="1"/>
    <w:next w:val="1"/>
    <w:qFormat/>
    <w:uiPriority w:val="0"/>
    <w:pPr>
      <w:wordWrap w:val="0"/>
      <w:ind w:left="850"/>
    </w:pPr>
    <w:rPr>
      <w:rFonts w:cs="黑体"/>
    </w:rPr>
  </w:style>
  <w:style w:type="paragraph" w:styleId="15">
    <w:name w:val="Document Map"/>
    <w:basedOn w:val="1"/>
    <w:link w:val="52"/>
    <w:qFormat/>
    <w:uiPriority w:val="0"/>
    <w:pPr>
      <w:shd w:val="clear" w:color="auto" w:fill="000080"/>
    </w:pPr>
  </w:style>
  <w:style w:type="paragraph" w:styleId="16">
    <w:name w:val="annotation text"/>
    <w:basedOn w:val="1"/>
    <w:link w:val="53"/>
    <w:qFormat/>
    <w:uiPriority w:val="0"/>
    <w:pPr>
      <w:jc w:val="left"/>
    </w:pPr>
  </w:style>
  <w:style w:type="paragraph" w:styleId="17">
    <w:name w:val="Body Text"/>
    <w:basedOn w:val="1"/>
    <w:link w:val="54"/>
    <w:qFormat/>
    <w:uiPriority w:val="0"/>
  </w:style>
  <w:style w:type="paragraph" w:styleId="18">
    <w:name w:val="Body Text Indent"/>
    <w:basedOn w:val="1"/>
    <w:next w:val="7"/>
    <w:link w:val="55"/>
    <w:qFormat/>
    <w:uiPriority w:val="0"/>
    <w:pPr>
      <w:autoSpaceDN w:val="0"/>
      <w:ind w:firstLine="560" w:firstLineChars="200"/>
    </w:pPr>
    <w:rPr>
      <w:sz w:val="28"/>
    </w:rPr>
  </w:style>
  <w:style w:type="paragraph" w:styleId="19">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20">
    <w:name w:val="Plain Text"/>
    <w:basedOn w:val="1"/>
    <w:link w:val="56"/>
    <w:qFormat/>
    <w:uiPriority w:val="0"/>
    <w:rPr>
      <w:rFonts w:ascii="宋体" w:hAnsi="Courier New"/>
      <w:szCs w:val="20"/>
    </w:rPr>
  </w:style>
  <w:style w:type="paragraph" w:styleId="21">
    <w:name w:val="Body Text Indent 2"/>
    <w:basedOn w:val="1"/>
    <w:link w:val="57"/>
    <w:qFormat/>
    <w:uiPriority w:val="0"/>
    <w:pPr>
      <w:spacing w:line="480" w:lineRule="auto"/>
      <w:ind w:left="420" w:leftChars="200"/>
    </w:pPr>
  </w:style>
  <w:style w:type="paragraph" w:styleId="22">
    <w:name w:val="Balloon Text"/>
    <w:basedOn w:val="1"/>
    <w:link w:val="58"/>
    <w:qFormat/>
    <w:uiPriority w:val="0"/>
    <w:rPr>
      <w:sz w:val="18"/>
      <w:szCs w:val="18"/>
    </w:rPr>
  </w:style>
  <w:style w:type="paragraph" w:styleId="23">
    <w:name w:val="footer"/>
    <w:basedOn w:val="1"/>
    <w:link w:val="59"/>
    <w:qFormat/>
    <w:uiPriority w:val="0"/>
    <w:pPr>
      <w:tabs>
        <w:tab w:val="center" w:pos="4153"/>
        <w:tab w:val="right" w:pos="8306"/>
      </w:tabs>
      <w:snapToGrid w:val="0"/>
      <w:jc w:val="left"/>
    </w:pPr>
    <w:rPr>
      <w:sz w:val="18"/>
      <w:szCs w:val="18"/>
    </w:rPr>
  </w:style>
  <w:style w:type="paragraph" w:styleId="24">
    <w:name w:val="header"/>
    <w:basedOn w:val="1"/>
    <w:link w:val="60"/>
    <w:qFormat/>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unhideWhenUsed/>
    <w:qFormat/>
    <w:uiPriority w:val="39"/>
    <w:pPr>
      <w:widowControl/>
      <w:spacing w:after="100" w:line="276" w:lineRule="auto"/>
      <w:jc w:val="left"/>
    </w:pPr>
    <w:rPr>
      <w:rFonts w:asciiTheme="minorHAnsi" w:hAnsiTheme="minorHAnsi" w:eastAsiaTheme="minorEastAsia" w:cstheme="minorBidi"/>
      <w:kern w:val="0"/>
      <w:sz w:val="22"/>
      <w:szCs w:val="22"/>
    </w:rPr>
  </w:style>
  <w:style w:type="paragraph" w:styleId="26">
    <w:name w:val="toc 2"/>
    <w:basedOn w:val="1"/>
    <w:next w:val="1"/>
    <w:unhideWhenUsed/>
    <w:qFormat/>
    <w:uiPriority w:val="39"/>
    <w:pPr>
      <w:ind w:left="278"/>
    </w:pPr>
    <w:rPr>
      <w:smallCaps/>
      <w:sz w:val="24"/>
      <w:szCs w:val="20"/>
    </w:rPr>
  </w:style>
  <w:style w:type="paragraph" w:styleId="27">
    <w:name w:val="HTML Preformatted"/>
    <w:basedOn w:val="1"/>
    <w:link w:val="6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28">
    <w:name w:val="Normal (Web)"/>
    <w:basedOn w:val="1"/>
    <w:qFormat/>
    <w:uiPriority w:val="99"/>
    <w:pPr>
      <w:widowControl/>
      <w:spacing w:beforeAutospacing="1" w:afterAutospacing="1"/>
      <w:jc w:val="left"/>
    </w:pPr>
    <w:rPr>
      <w:rFonts w:ascii="宋体" w:hAnsi="宋体" w:cs="宋体"/>
      <w:kern w:val="0"/>
      <w:sz w:val="24"/>
    </w:rPr>
  </w:style>
  <w:style w:type="paragraph" w:styleId="29">
    <w:name w:val="annotation subject"/>
    <w:basedOn w:val="16"/>
    <w:next w:val="16"/>
    <w:link w:val="62"/>
    <w:qFormat/>
    <w:uiPriority w:val="0"/>
    <w:rPr>
      <w:b/>
      <w:bCs/>
    </w:rPr>
  </w:style>
  <w:style w:type="paragraph" w:styleId="30">
    <w:name w:val="Body Text First Indent"/>
    <w:basedOn w:val="17"/>
    <w:link w:val="63"/>
    <w:qFormat/>
    <w:uiPriority w:val="0"/>
    <w:pPr>
      <w:ind w:firstLine="420" w:firstLineChars="100"/>
    </w:pPr>
  </w:style>
  <w:style w:type="paragraph" w:styleId="31">
    <w:name w:val="Body Text First Indent 2"/>
    <w:basedOn w:val="18"/>
    <w:next w:val="1"/>
    <w:link w:val="64"/>
    <w:qFormat/>
    <w:uiPriority w:val="0"/>
    <w:pPr>
      <w:ind w:firstLine="420"/>
    </w:pPr>
    <w:rPr>
      <w:rFonts w:ascii="Calibri" w:hAnsi="Calibri"/>
    </w:rPr>
  </w:style>
  <w:style w:type="table" w:styleId="33">
    <w:name w:val="Table Grid"/>
    <w:basedOn w:val="32"/>
    <w:qFormat/>
    <w:uiPriority w:val="3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5">
    <w:name w:val="Strong"/>
    <w:qFormat/>
    <w:uiPriority w:val="0"/>
    <w:rPr>
      <w:b/>
      <w:bCs/>
    </w:rPr>
  </w:style>
  <w:style w:type="character" w:styleId="36">
    <w:name w:val="page number"/>
    <w:qFormat/>
    <w:uiPriority w:val="0"/>
  </w:style>
  <w:style w:type="character" w:styleId="37">
    <w:name w:val="FollowedHyperlink"/>
    <w:unhideWhenUsed/>
    <w:qFormat/>
    <w:uiPriority w:val="99"/>
    <w:rPr>
      <w:color w:val="800080"/>
      <w:u w:val="single"/>
    </w:rPr>
  </w:style>
  <w:style w:type="character" w:styleId="38">
    <w:name w:val="Emphasis"/>
    <w:qFormat/>
    <w:uiPriority w:val="0"/>
    <w:rPr>
      <w:i/>
      <w:iCs/>
    </w:rPr>
  </w:style>
  <w:style w:type="character" w:styleId="39">
    <w:name w:val="Hyperlink"/>
    <w:unhideWhenUsed/>
    <w:qFormat/>
    <w:uiPriority w:val="99"/>
    <w:rPr>
      <w:color w:val="0000FF"/>
      <w:u w:val="single"/>
    </w:rPr>
  </w:style>
  <w:style w:type="character" w:styleId="40">
    <w:name w:val="annotation reference"/>
    <w:qFormat/>
    <w:uiPriority w:val="0"/>
    <w:rPr>
      <w:sz w:val="21"/>
      <w:szCs w:val="21"/>
    </w:rPr>
  </w:style>
  <w:style w:type="character" w:customStyle="1" w:styleId="41">
    <w:name w:val="标题 1 Char"/>
    <w:basedOn w:val="34"/>
    <w:link w:val="4"/>
    <w:qFormat/>
    <w:uiPriority w:val="0"/>
    <w:rPr>
      <w:rFonts w:ascii="Times New Roman" w:hAnsi="Times New Roman" w:eastAsia="宋体" w:cs="Times New Roman"/>
      <w:b/>
      <w:bCs/>
      <w:kern w:val="44"/>
      <w:sz w:val="44"/>
      <w:szCs w:val="44"/>
    </w:rPr>
  </w:style>
  <w:style w:type="character" w:customStyle="1" w:styleId="42">
    <w:name w:val="标题 2 Char"/>
    <w:basedOn w:val="34"/>
    <w:link w:val="5"/>
    <w:qFormat/>
    <w:uiPriority w:val="0"/>
    <w:rPr>
      <w:rFonts w:ascii="Cambria" w:hAnsi="Cambria" w:eastAsia="宋体" w:cs="Times New Roman"/>
      <w:b/>
      <w:bCs/>
      <w:sz w:val="32"/>
      <w:szCs w:val="32"/>
    </w:rPr>
  </w:style>
  <w:style w:type="character" w:customStyle="1" w:styleId="43">
    <w:name w:val="标题 3 Char"/>
    <w:basedOn w:val="34"/>
    <w:link w:val="6"/>
    <w:qFormat/>
    <w:uiPriority w:val="0"/>
    <w:rPr>
      <w:rFonts w:ascii="宋体" w:hAnsi="Arial" w:eastAsia="宋体" w:cs="宋体"/>
      <w:b/>
      <w:sz w:val="28"/>
      <w:szCs w:val="20"/>
    </w:rPr>
  </w:style>
  <w:style w:type="character" w:customStyle="1" w:styleId="44">
    <w:name w:val="标题 4 Char"/>
    <w:basedOn w:val="34"/>
    <w:link w:val="9"/>
    <w:qFormat/>
    <w:uiPriority w:val="0"/>
    <w:rPr>
      <w:rFonts w:ascii="Cambria" w:hAnsi="Cambria" w:eastAsia="宋体" w:cs="Times New Roman"/>
      <w:b/>
      <w:bCs/>
      <w:sz w:val="28"/>
      <w:szCs w:val="28"/>
    </w:rPr>
  </w:style>
  <w:style w:type="character" w:customStyle="1" w:styleId="45">
    <w:name w:val="标题 5 Char"/>
    <w:basedOn w:val="34"/>
    <w:link w:val="10"/>
    <w:qFormat/>
    <w:uiPriority w:val="0"/>
    <w:rPr>
      <w:rFonts w:ascii="Times New Roman" w:hAnsi="Times New Roman" w:eastAsia="宋体" w:cs="Times New Roman"/>
      <w:b/>
      <w:bCs/>
      <w:sz w:val="28"/>
      <w:szCs w:val="28"/>
    </w:rPr>
  </w:style>
  <w:style w:type="character" w:customStyle="1" w:styleId="46">
    <w:name w:val="标题 6 Char"/>
    <w:basedOn w:val="34"/>
    <w:link w:val="11"/>
    <w:qFormat/>
    <w:uiPriority w:val="0"/>
    <w:rPr>
      <w:rFonts w:ascii="Cambria" w:hAnsi="Cambria" w:eastAsia="宋体" w:cs="Times New Roman"/>
      <w:b/>
      <w:bCs/>
      <w:sz w:val="24"/>
      <w:szCs w:val="24"/>
    </w:rPr>
  </w:style>
  <w:style w:type="character" w:customStyle="1" w:styleId="47">
    <w:name w:val="标题 7 Char"/>
    <w:basedOn w:val="34"/>
    <w:link w:val="12"/>
    <w:qFormat/>
    <w:uiPriority w:val="0"/>
    <w:rPr>
      <w:rFonts w:ascii="Times New Roman" w:hAnsi="Times New Roman" w:eastAsia="宋体" w:cs="Times New Roman"/>
      <w:b/>
      <w:bCs/>
      <w:sz w:val="24"/>
      <w:szCs w:val="24"/>
    </w:rPr>
  </w:style>
  <w:style w:type="character" w:customStyle="1" w:styleId="48">
    <w:name w:val="标题 8 Char"/>
    <w:basedOn w:val="34"/>
    <w:link w:val="13"/>
    <w:qFormat/>
    <w:uiPriority w:val="0"/>
    <w:rPr>
      <w:rFonts w:ascii="Cambria" w:hAnsi="Cambria" w:eastAsia="宋体" w:cs="Times New Roman"/>
      <w:sz w:val="24"/>
      <w:szCs w:val="24"/>
    </w:rPr>
  </w:style>
  <w:style w:type="character" w:customStyle="1" w:styleId="49">
    <w:name w:val="标题 9 Char"/>
    <w:basedOn w:val="34"/>
    <w:link w:val="14"/>
    <w:qFormat/>
    <w:uiPriority w:val="0"/>
    <w:rPr>
      <w:rFonts w:ascii="Cambria" w:hAnsi="Cambria" w:eastAsia="宋体" w:cs="Times New Roman"/>
      <w:szCs w:val="21"/>
    </w:rPr>
  </w:style>
  <w:style w:type="character" w:customStyle="1" w:styleId="50">
    <w:name w:val="正文文本缩进 3 Char"/>
    <w:basedOn w:val="34"/>
    <w:link w:val="3"/>
    <w:qFormat/>
    <w:uiPriority w:val="0"/>
    <w:rPr>
      <w:rFonts w:ascii="Times New Roman" w:hAnsi="Times New Roman" w:eastAsia="宋体" w:cs="Times New Roman"/>
      <w:szCs w:val="20"/>
    </w:rPr>
  </w:style>
  <w:style w:type="character" w:customStyle="1" w:styleId="51">
    <w:name w:val="正文缩进 Char"/>
    <w:link w:val="7"/>
    <w:qFormat/>
    <w:uiPriority w:val="0"/>
    <w:rPr>
      <w:rFonts w:ascii="宋体" w:hAnsi="宋体" w:eastAsia="宋体" w:cs="Times New Roman"/>
      <w:kern w:val="0"/>
      <w:sz w:val="24"/>
      <w:szCs w:val="24"/>
    </w:rPr>
  </w:style>
  <w:style w:type="character" w:customStyle="1" w:styleId="52">
    <w:name w:val="文档结构图 Char"/>
    <w:basedOn w:val="34"/>
    <w:link w:val="15"/>
    <w:qFormat/>
    <w:uiPriority w:val="0"/>
    <w:rPr>
      <w:rFonts w:ascii="Times New Roman" w:hAnsi="Times New Roman" w:eastAsia="宋体" w:cs="Times New Roman"/>
      <w:szCs w:val="24"/>
      <w:shd w:val="clear" w:color="auto" w:fill="000080"/>
    </w:rPr>
  </w:style>
  <w:style w:type="character" w:customStyle="1" w:styleId="53">
    <w:name w:val="批注文字 Char"/>
    <w:basedOn w:val="34"/>
    <w:link w:val="16"/>
    <w:qFormat/>
    <w:uiPriority w:val="0"/>
    <w:rPr>
      <w:rFonts w:ascii="Times New Roman" w:hAnsi="Times New Roman" w:eastAsia="宋体" w:cs="Times New Roman"/>
      <w:szCs w:val="24"/>
    </w:rPr>
  </w:style>
  <w:style w:type="character" w:customStyle="1" w:styleId="54">
    <w:name w:val="正文文本 Char"/>
    <w:basedOn w:val="34"/>
    <w:link w:val="17"/>
    <w:qFormat/>
    <w:uiPriority w:val="0"/>
    <w:rPr>
      <w:rFonts w:ascii="Times New Roman" w:hAnsi="Times New Roman" w:eastAsia="宋体" w:cs="Times New Roman"/>
      <w:szCs w:val="24"/>
    </w:rPr>
  </w:style>
  <w:style w:type="character" w:customStyle="1" w:styleId="55">
    <w:name w:val="正文文本缩进 Char"/>
    <w:basedOn w:val="34"/>
    <w:link w:val="18"/>
    <w:qFormat/>
    <w:uiPriority w:val="0"/>
    <w:rPr>
      <w:rFonts w:ascii="Times New Roman" w:hAnsi="Times New Roman" w:eastAsia="宋体" w:cs="Times New Roman"/>
      <w:sz w:val="28"/>
      <w:szCs w:val="24"/>
    </w:rPr>
  </w:style>
  <w:style w:type="character" w:customStyle="1" w:styleId="56">
    <w:name w:val="纯文本 Char"/>
    <w:basedOn w:val="34"/>
    <w:link w:val="20"/>
    <w:qFormat/>
    <w:uiPriority w:val="0"/>
    <w:rPr>
      <w:rFonts w:ascii="宋体" w:hAnsi="Courier New" w:eastAsia="宋体" w:cs="Times New Roman"/>
      <w:szCs w:val="20"/>
    </w:rPr>
  </w:style>
  <w:style w:type="character" w:customStyle="1" w:styleId="57">
    <w:name w:val="正文文本缩进 2 Char"/>
    <w:basedOn w:val="34"/>
    <w:link w:val="21"/>
    <w:qFormat/>
    <w:uiPriority w:val="0"/>
    <w:rPr>
      <w:rFonts w:ascii="Times New Roman" w:hAnsi="Times New Roman" w:eastAsia="宋体" w:cs="Times New Roman"/>
      <w:szCs w:val="24"/>
    </w:rPr>
  </w:style>
  <w:style w:type="character" w:customStyle="1" w:styleId="58">
    <w:name w:val="批注框文本 Char"/>
    <w:basedOn w:val="34"/>
    <w:link w:val="22"/>
    <w:qFormat/>
    <w:uiPriority w:val="0"/>
    <w:rPr>
      <w:rFonts w:ascii="Times New Roman" w:hAnsi="Times New Roman" w:eastAsia="宋体" w:cs="Times New Roman"/>
      <w:sz w:val="18"/>
      <w:szCs w:val="18"/>
    </w:rPr>
  </w:style>
  <w:style w:type="character" w:customStyle="1" w:styleId="59">
    <w:name w:val="页脚 Char"/>
    <w:basedOn w:val="34"/>
    <w:link w:val="23"/>
    <w:qFormat/>
    <w:uiPriority w:val="0"/>
    <w:rPr>
      <w:rFonts w:ascii="Times New Roman" w:hAnsi="Times New Roman" w:eastAsia="宋体" w:cs="Times New Roman"/>
      <w:sz w:val="18"/>
      <w:szCs w:val="18"/>
    </w:rPr>
  </w:style>
  <w:style w:type="character" w:customStyle="1" w:styleId="60">
    <w:name w:val="页眉 Char"/>
    <w:basedOn w:val="34"/>
    <w:link w:val="24"/>
    <w:qFormat/>
    <w:uiPriority w:val="99"/>
    <w:rPr>
      <w:rFonts w:ascii="Times New Roman" w:hAnsi="Times New Roman" w:eastAsia="宋体" w:cs="Times New Roman"/>
      <w:sz w:val="18"/>
      <w:szCs w:val="18"/>
    </w:rPr>
  </w:style>
  <w:style w:type="character" w:customStyle="1" w:styleId="61">
    <w:name w:val="HTML 预设格式 Char"/>
    <w:basedOn w:val="34"/>
    <w:link w:val="27"/>
    <w:qFormat/>
    <w:uiPriority w:val="0"/>
    <w:rPr>
      <w:rFonts w:ascii="宋体" w:hAnsi="宋体" w:eastAsia="宋体" w:cs="Times New Roman"/>
      <w:kern w:val="0"/>
      <w:sz w:val="24"/>
      <w:szCs w:val="24"/>
    </w:rPr>
  </w:style>
  <w:style w:type="character" w:customStyle="1" w:styleId="62">
    <w:name w:val="批注主题 Char"/>
    <w:basedOn w:val="53"/>
    <w:link w:val="29"/>
    <w:qFormat/>
    <w:uiPriority w:val="0"/>
    <w:rPr>
      <w:rFonts w:ascii="Times New Roman" w:hAnsi="Times New Roman" w:eastAsia="宋体" w:cs="Times New Roman"/>
      <w:b/>
      <w:bCs/>
      <w:szCs w:val="24"/>
    </w:rPr>
  </w:style>
  <w:style w:type="character" w:customStyle="1" w:styleId="63">
    <w:name w:val="正文首行缩进 Char"/>
    <w:basedOn w:val="54"/>
    <w:link w:val="30"/>
    <w:qFormat/>
    <w:uiPriority w:val="0"/>
    <w:rPr>
      <w:rFonts w:ascii="Times New Roman" w:hAnsi="Times New Roman" w:eastAsia="宋体" w:cs="Times New Roman"/>
      <w:szCs w:val="24"/>
    </w:rPr>
  </w:style>
  <w:style w:type="character" w:customStyle="1" w:styleId="64">
    <w:name w:val="正文首行缩进 2 Char"/>
    <w:basedOn w:val="55"/>
    <w:link w:val="31"/>
    <w:qFormat/>
    <w:uiPriority w:val="0"/>
    <w:rPr>
      <w:rFonts w:ascii="Calibri" w:hAnsi="Calibri" w:eastAsia="宋体" w:cs="Times New Roman"/>
      <w:sz w:val="28"/>
      <w:szCs w:val="24"/>
    </w:rPr>
  </w:style>
  <w:style w:type="character" w:customStyle="1" w:styleId="65">
    <w:name w:val="p141"/>
    <w:qFormat/>
    <w:uiPriority w:val="0"/>
    <w:rPr>
      <w:sz w:val="21"/>
      <w:szCs w:val="21"/>
    </w:rPr>
  </w:style>
  <w:style w:type="character" w:customStyle="1" w:styleId="66">
    <w:name w:val="样式 首行缩进:  2.25 字符 Char Char"/>
    <w:link w:val="67"/>
    <w:qFormat/>
    <w:uiPriority w:val="0"/>
    <w:rPr>
      <w:rFonts w:ascii="Arial" w:hAnsi="Arial" w:eastAsia="宋体" w:cs="Times New Roman"/>
      <w:szCs w:val="21"/>
    </w:rPr>
  </w:style>
  <w:style w:type="paragraph" w:customStyle="1" w:styleId="67">
    <w:name w:val="样式 首行缩进:  2.25 字符"/>
    <w:basedOn w:val="1"/>
    <w:link w:val="66"/>
    <w:qFormat/>
    <w:uiPriority w:val="0"/>
    <w:pPr>
      <w:spacing w:line="360" w:lineRule="auto"/>
      <w:ind w:firstLine="473" w:firstLineChars="225"/>
    </w:pPr>
    <w:rPr>
      <w:rFonts w:ascii="Arial" w:hAnsi="Arial"/>
      <w:szCs w:val="21"/>
    </w:rPr>
  </w:style>
  <w:style w:type="character" w:customStyle="1" w:styleId="68">
    <w:name w:val="userdata"/>
    <w:qFormat/>
    <w:uiPriority w:val="0"/>
    <w:rPr>
      <w:rFonts w:eastAsia="宋体"/>
      <w:kern w:val="2"/>
      <w:sz w:val="24"/>
      <w:szCs w:val="24"/>
      <w:lang w:val="en-US" w:eastAsia="zh-CN" w:bidi="ar-SA"/>
    </w:rPr>
  </w:style>
  <w:style w:type="character" w:customStyle="1" w:styleId="69">
    <w:name w:val="纯文本 Char1"/>
    <w:qFormat/>
    <w:uiPriority w:val="0"/>
    <w:rPr>
      <w:rFonts w:ascii="宋体" w:hAnsi="Courier New" w:cs="Courier New"/>
      <w:kern w:val="2"/>
      <w:sz w:val="21"/>
      <w:szCs w:val="21"/>
    </w:rPr>
  </w:style>
  <w:style w:type="character" w:customStyle="1" w:styleId="70">
    <w:name w:val="纯文本 Char Char"/>
    <w:link w:val="71"/>
    <w:qFormat/>
    <w:uiPriority w:val="0"/>
    <w:rPr>
      <w:rFonts w:ascii="宋体" w:hAnsi="Courier New" w:eastAsia="宋体" w:cs="Times New Roman"/>
      <w:sz w:val="24"/>
      <w:szCs w:val="21"/>
    </w:rPr>
  </w:style>
  <w:style w:type="paragraph" w:customStyle="1" w:styleId="71">
    <w:name w:val="纯文本1"/>
    <w:basedOn w:val="1"/>
    <w:link w:val="70"/>
    <w:qFormat/>
    <w:uiPriority w:val="0"/>
    <w:pPr>
      <w:spacing w:line="360" w:lineRule="auto"/>
    </w:pPr>
    <w:rPr>
      <w:rFonts w:ascii="宋体" w:hAnsi="Courier New"/>
      <w:sz w:val="24"/>
      <w:szCs w:val="21"/>
    </w:rPr>
  </w:style>
  <w:style w:type="character" w:customStyle="1" w:styleId="72">
    <w:name w:val="表格 Char"/>
    <w:link w:val="73"/>
    <w:qFormat/>
    <w:uiPriority w:val="0"/>
    <w:rPr>
      <w:rFonts w:ascii="Times New Roman" w:hAnsi="Times New Roman" w:eastAsia="宋体" w:cs="Times New Roman"/>
    </w:rPr>
  </w:style>
  <w:style w:type="paragraph" w:customStyle="1" w:styleId="73">
    <w:name w:val="表格"/>
    <w:basedOn w:val="1"/>
    <w:link w:val="72"/>
    <w:qFormat/>
    <w:uiPriority w:val="0"/>
    <w:pPr>
      <w:spacing w:line="360" w:lineRule="auto"/>
      <w:jc w:val="left"/>
    </w:pPr>
    <w:rPr>
      <w:szCs w:val="22"/>
    </w:rPr>
  </w:style>
  <w:style w:type="character" w:customStyle="1" w:styleId="74">
    <w:name w:val="正文文本 2 Char1"/>
    <w:qFormat/>
    <w:uiPriority w:val="0"/>
    <w:rPr>
      <w:rFonts w:ascii="Tahoma" w:hAnsi="Tahoma" w:eastAsia="宋体" w:cs="Times New Roman"/>
      <w:sz w:val="24"/>
      <w:szCs w:val="24"/>
    </w:rPr>
  </w:style>
  <w:style w:type="character" w:customStyle="1" w:styleId="75">
    <w:name w:val="无间隔 Char"/>
    <w:link w:val="76"/>
    <w:qFormat/>
    <w:locked/>
    <w:uiPriority w:val="1"/>
    <w:rPr>
      <w:rFonts w:ascii="Arial" w:hAnsi="Arial" w:eastAsia="宋体" w:cs="Times New Roman"/>
      <w:kern w:val="0"/>
      <w:sz w:val="24"/>
      <w:szCs w:val="20"/>
    </w:rPr>
  </w:style>
  <w:style w:type="paragraph" w:styleId="76">
    <w:name w:val="No Spacing"/>
    <w:basedOn w:val="1"/>
    <w:link w:val="75"/>
    <w:qFormat/>
    <w:uiPriority w:val="1"/>
    <w:pPr>
      <w:spacing w:beforeLines="50"/>
    </w:pPr>
    <w:rPr>
      <w:rFonts w:ascii="Arial" w:hAnsi="Arial"/>
      <w:kern w:val="0"/>
      <w:sz w:val="24"/>
      <w:szCs w:val="20"/>
    </w:rPr>
  </w:style>
  <w:style w:type="character" w:customStyle="1" w:styleId="77">
    <w:name w:val="a3"/>
    <w:qFormat/>
    <w:uiPriority w:val="0"/>
  </w:style>
  <w:style w:type="paragraph" w:customStyle="1" w:styleId="78">
    <w:name w:val="Char"/>
    <w:basedOn w:val="1"/>
    <w:qFormat/>
    <w:uiPriority w:val="0"/>
    <w:pPr>
      <w:widowControl/>
      <w:spacing w:line="240" w:lineRule="exact"/>
      <w:jc w:val="left"/>
    </w:pPr>
    <w:rPr>
      <w:rFonts w:ascii="Verdana" w:hAnsi="Verdana" w:eastAsia="仿宋_GB2312"/>
      <w:kern w:val="0"/>
      <w:sz w:val="24"/>
      <w:szCs w:val="20"/>
      <w:lang w:eastAsia="en-US"/>
    </w:rPr>
  </w:style>
  <w:style w:type="paragraph" w:customStyle="1" w:styleId="79">
    <w:name w:val="xl73"/>
    <w:basedOn w:val="1"/>
    <w:qFormat/>
    <w:uiPriority w:val="0"/>
    <w:pPr>
      <w:widowControl/>
      <w:pBdr>
        <w:top w:val="single" w:color="000000" w:sz="4" w:space="0"/>
        <w:left w:val="single" w:color="000000" w:sz="4" w:space="0"/>
        <w:bottom w:val="single" w:color="000000" w:sz="8" w:space="0"/>
        <w:right w:val="single" w:color="000000" w:sz="8" w:space="0"/>
      </w:pBdr>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80">
    <w:name w:val="5"/>
    <w:basedOn w:val="1"/>
    <w:qFormat/>
    <w:uiPriority w:val="0"/>
    <w:pPr>
      <w:tabs>
        <w:tab w:val="left" w:pos="432"/>
      </w:tabs>
      <w:ind w:left="432" w:hanging="432"/>
    </w:pPr>
    <w:rPr>
      <w:rFonts w:ascii="宋体" w:hAnsi="宋体"/>
      <w:kern w:val="16"/>
    </w:rPr>
  </w:style>
  <w:style w:type="paragraph" w:customStyle="1" w:styleId="81">
    <w:name w:val="xl80"/>
    <w:basedOn w:val="1"/>
    <w:qFormat/>
    <w:uiPriority w:val="0"/>
    <w:pPr>
      <w:widowControl/>
      <w:shd w:val="clear" w:color="FFFFFF" w:fill="FFFFFF"/>
      <w:spacing w:before="100" w:beforeAutospacing="1" w:after="100" w:afterAutospacing="1"/>
      <w:jc w:val="center"/>
      <w:textAlignment w:val="center"/>
    </w:pPr>
    <w:rPr>
      <w:rFonts w:ascii="宋体" w:hAnsi="宋体" w:cs="宋体"/>
      <w:color w:val="000000"/>
      <w:kern w:val="0"/>
      <w:sz w:val="24"/>
      <w:u w:val="single"/>
    </w:rPr>
  </w:style>
  <w:style w:type="paragraph" w:customStyle="1" w:styleId="82">
    <w:name w:val="xl69"/>
    <w:basedOn w:val="1"/>
    <w:qFormat/>
    <w:uiPriority w:val="0"/>
    <w:pPr>
      <w:widowControl/>
      <w:pBdr>
        <w:top w:val="single" w:color="000000" w:sz="4" w:space="0"/>
        <w:left w:val="single" w:color="000000" w:sz="4" w:space="0"/>
        <w:bottom w:val="single" w:color="000000" w:sz="4" w:space="0"/>
        <w:right w:val="single" w:color="000000" w:sz="8"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83">
    <w:name w:val="表格文字"/>
    <w:basedOn w:val="1"/>
    <w:qFormat/>
    <w:uiPriority w:val="0"/>
    <w:pPr>
      <w:jc w:val="left"/>
    </w:pPr>
    <w:rPr>
      <w:bCs/>
      <w:spacing w:val="10"/>
      <w:kern w:val="0"/>
      <w:sz w:val="24"/>
      <w:szCs w:val="20"/>
    </w:rPr>
  </w:style>
  <w:style w:type="paragraph" w:customStyle="1" w:styleId="84">
    <w:name w:val="xl84"/>
    <w:basedOn w:val="1"/>
    <w:qFormat/>
    <w:uiPriority w:val="0"/>
    <w:pPr>
      <w:widowControl/>
      <w:shd w:val="clear" w:color="FFFFFF" w:fill="FFFFFF"/>
      <w:spacing w:before="100" w:beforeAutospacing="1" w:after="100" w:afterAutospacing="1"/>
      <w:jc w:val="center"/>
      <w:textAlignment w:val="center"/>
    </w:pPr>
    <w:rPr>
      <w:rFonts w:ascii="宋体" w:hAnsi="宋体" w:cs="宋体"/>
      <w:b/>
      <w:bCs/>
      <w:color w:val="000000"/>
      <w:kern w:val="0"/>
      <w:sz w:val="40"/>
      <w:szCs w:val="40"/>
    </w:rPr>
  </w:style>
  <w:style w:type="paragraph" w:customStyle="1" w:styleId="85">
    <w:name w:val="xl82"/>
    <w:basedOn w:val="1"/>
    <w:qFormat/>
    <w:uiPriority w:val="0"/>
    <w:pPr>
      <w:widowControl/>
      <w:pBdr>
        <w:top w:val="single" w:color="000000" w:sz="8" w:space="0"/>
        <w:left w:val="single" w:color="000000" w:sz="4" w:space="0"/>
        <w:bottom w:val="single" w:color="000000" w:sz="4" w:space="0"/>
        <w:right w:val="single" w:color="000000" w:sz="8"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8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87">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88">
    <w:name w:val="列出段落1"/>
    <w:basedOn w:val="1"/>
    <w:qFormat/>
    <w:uiPriority w:val="99"/>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89">
    <w:name w:val="xl74"/>
    <w:basedOn w:val="1"/>
    <w:qFormat/>
    <w:uiPriority w:val="0"/>
    <w:pPr>
      <w:widowControl/>
      <w:pBdr>
        <w:top w:val="single" w:color="000000" w:sz="8" w:space="0"/>
        <w:left w:val="single" w:color="000000" w:sz="4"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90">
    <w:name w:val="xl70"/>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91">
    <w:name w:val="xl65"/>
    <w:basedOn w:val="1"/>
    <w:qFormat/>
    <w:uiPriority w:val="0"/>
    <w:pPr>
      <w:widowControl/>
      <w:pBdr>
        <w:top w:val="single" w:color="000000" w:sz="4"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92">
    <w:name w:val="xl83"/>
    <w:basedOn w:val="1"/>
    <w:qFormat/>
    <w:uiPriority w:val="0"/>
    <w:pPr>
      <w:widowControl/>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93">
    <w:name w:val="Table Paragraph"/>
    <w:basedOn w:val="1"/>
    <w:qFormat/>
    <w:uiPriority w:val="0"/>
  </w:style>
  <w:style w:type="paragraph" w:customStyle="1" w:styleId="94">
    <w:name w:val="xl77"/>
    <w:basedOn w:val="1"/>
    <w:qFormat/>
    <w:uiPriority w:val="0"/>
    <w:pPr>
      <w:widowControl/>
      <w:pBdr>
        <w:top w:val="single" w:color="000000" w:sz="4" w:space="0"/>
        <w:left w:val="single" w:color="000000" w:sz="4" w:space="0"/>
        <w:bottom w:val="single" w:color="000000" w:sz="8"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95">
    <w:name w:val="格式正文"/>
    <w:basedOn w:val="28"/>
    <w:qFormat/>
    <w:uiPriority w:val="0"/>
    <w:pPr>
      <w:adjustRightInd w:val="0"/>
      <w:snapToGrid w:val="0"/>
      <w:spacing w:beforeAutospacing="0" w:afterLines="50" w:afterAutospacing="0"/>
      <w:ind w:left="178" w:leftChars="85" w:firstLine="480" w:firstLineChars="200"/>
    </w:pPr>
    <w:rPr>
      <w:rFonts w:cs="Times New Roman"/>
      <w:color w:val="000000"/>
    </w:rPr>
  </w:style>
  <w:style w:type="paragraph" w:customStyle="1" w:styleId="96">
    <w:name w:val="样式 正文文本缩进 2正文文字缩进 2 + (中文) 宋体 小四 黑色 首行缩进:  2 字符 段前: 1 磅 段后..."/>
    <w:basedOn w:val="1"/>
    <w:next w:val="1"/>
    <w:qFormat/>
    <w:uiPriority w:val="0"/>
    <w:pPr>
      <w:spacing w:before="20" w:after="20" w:line="360" w:lineRule="auto"/>
      <w:ind w:firstLine="560" w:firstLineChars="200"/>
    </w:pPr>
    <w:rPr>
      <w:rFonts w:cs="宋体"/>
      <w:color w:val="000000"/>
      <w:kern w:val="32"/>
      <w:sz w:val="28"/>
      <w:szCs w:val="28"/>
    </w:rPr>
  </w:style>
  <w:style w:type="paragraph" w:customStyle="1" w:styleId="97">
    <w:name w:val="xl71"/>
    <w:basedOn w:val="1"/>
    <w:qFormat/>
    <w:uiPriority w:val="0"/>
    <w:pPr>
      <w:widowControl/>
      <w:pBdr>
        <w:top w:val="single" w:color="000000" w:sz="4" w:space="0"/>
        <w:left w:val="single" w:color="000000" w:sz="4" w:space="0"/>
        <w:bottom w:val="single" w:color="000000" w:sz="4" w:space="0"/>
        <w:right w:val="single" w:color="000000" w:sz="8" w:space="0"/>
      </w:pBdr>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98">
    <w:name w:val="p0"/>
    <w:basedOn w:val="1"/>
    <w:qFormat/>
    <w:uiPriority w:val="0"/>
    <w:pPr>
      <w:widowControl/>
    </w:pPr>
    <w:rPr>
      <w:rFonts w:ascii="宋体" w:hAnsi="宋体"/>
      <w:kern w:val="0"/>
      <w:szCs w:val="20"/>
    </w:rPr>
  </w:style>
  <w:style w:type="paragraph" w:customStyle="1" w:styleId="99">
    <w:name w:val="xl75"/>
    <w:basedOn w:val="1"/>
    <w:qFormat/>
    <w:uiPriority w:val="0"/>
    <w:pPr>
      <w:widowControl/>
      <w:pBdr>
        <w:top w:val="single" w:color="000000" w:sz="8"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100">
    <w:name w:val="文档正文"/>
    <w:basedOn w:val="1"/>
    <w:qFormat/>
    <w:uiPriority w:val="0"/>
    <w:pPr>
      <w:spacing w:line="360" w:lineRule="auto"/>
    </w:pPr>
    <w:rPr>
      <w:rFonts w:ascii="Arial" w:hAnsi="Arial" w:cs="Arial"/>
      <w:sz w:val="24"/>
    </w:rPr>
  </w:style>
  <w:style w:type="paragraph" w:customStyle="1" w:styleId="101">
    <w:name w:val="xl85"/>
    <w:basedOn w:val="1"/>
    <w:qFormat/>
    <w:uiPriority w:val="0"/>
    <w:pPr>
      <w:widowControl/>
      <w:shd w:val="clear" w:color="FFFFFF" w:fill="FFFFFF"/>
      <w:spacing w:before="100" w:beforeAutospacing="1" w:after="100" w:afterAutospacing="1"/>
      <w:jc w:val="left"/>
      <w:textAlignment w:val="center"/>
    </w:pPr>
    <w:rPr>
      <w:rFonts w:ascii="宋体" w:hAnsi="宋体" w:cs="宋体"/>
      <w:color w:val="000000"/>
      <w:kern w:val="0"/>
      <w:sz w:val="24"/>
    </w:rPr>
  </w:style>
  <w:style w:type="paragraph" w:styleId="102">
    <w:name w:val="List Paragraph"/>
    <w:basedOn w:val="1"/>
    <w:qFormat/>
    <w:uiPriority w:val="34"/>
    <w:pPr>
      <w:ind w:firstLine="420" w:firstLineChars="200"/>
    </w:pPr>
  </w:style>
  <w:style w:type="paragraph" w:customStyle="1" w:styleId="103">
    <w:name w:val="xl81"/>
    <w:basedOn w:val="1"/>
    <w:qFormat/>
    <w:uiPriority w:val="0"/>
    <w:pPr>
      <w:widowControl/>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104">
    <w:name w:val="0正文"/>
    <w:basedOn w:val="1"/>
    <w:qFormat/>
    <w:uiPriority w:val="0"/>
    <w:pPr>
      <w:adjustRightInd w:val="0"/>
      <w:spacing w:line="360" w:lineRule="auto"/>
      <w:ind w:firstLine="420" w:firstLineChars="200"/>
      <w:textAlignment w:val="baseline"/>
    </w:pPr>
    <w:rPr>
      <w:rFonts w:ascii="宋体" w:hAnsi="宋体"/>
      <w:szCs w:val="21"/>
    </w:rPr>
  </w:style>
  <w:style w:type="paragraph" w:customStyle="1" w:styleId="105">
    <w:name w:val="xl72"/>
    <w:basedOn w:val="1"/>
    <w:qFormat/>
    <w:uiPriority w:val="0"/>
    <w:pPr>
      <w:widowControl/>
      <w:pBdr>
        <w:top w:val="single" w:color="000000" w:sz="4" w:space="0"/>
        <w:left w:val="single" w:color="000000" w:sz="4" w:space="0"/>
        <w:bottom w:val="single" w:color="000000" w:sz="8" w:space="0"/>
        <w:right w:val="single" w:color="000000" w:sz="4" w:space="0"/>
      </w:pBdr>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106">
    <w:name w:val="Char Char Char Char Char Char1 Char"/>
    <w:basedOn w:val="1"/>
    <w:qFormat/>
    <w:uiPriority w:val="0"/>
    <w:pPr>
      <w:widowControl/>
      <w:spacing w:line="240" w:lineRule="exact"/>
      <w:jc w:val="left"/>
    </w:pPr>
  </w:style>
  <w:style w:type="paragraph" w:customStyle="1" w:styleId="107">
    <w:name w:val="xl76"/>
    <w:basedOn w:val="1"/>
    <w:qFormat/>
    <w:uiPriority w:val="0"/>
    <w:pPr>
      <w:widowControl/>
      <w:pBdr>
        <w:top w:val="single" w:color="000000" w:sz="4" w:space="0"/>
        <w:left w:val="single" w:color="000000" w:sz="8" w:space="0"/>
        <w:bottom w:val="single" w:color="000000" w:sz="8"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108">
    <w:name w:val="xl68"/>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109">
    <w:name w:val="xl66"/>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110">
    <w:name w:val="xl67"/>
    <w:basedOn w:val="1"/>
    <w:qFormat/>
    <w:uiPriority w:val="0"/>
    <w:pPr>
      <w:widowControl/>
      <w:pBdr>
        <w:top w:val="single" w:color="000000" w:sz="4" w:space="0"/>
        <w:left w:val="single" w:color="000000" w:sz="8" w:space="0"/>
        <w:bottom w:val="single" w:color="000000" w:sz="4" w:space="0"/>
        <w:right w:val="single" w:color="000000" w:sz="4" w:space="0"/>
      </w:pBdr>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111">
    <w:name w:val="Char Char Char Char"/>
    <w:basedOn w:val="1"/>
    <w:qFormat/>
    <w:uiPriority w:val="0"/>
    <w:pPr>
      <w:adjustRightInd w:val="0"/>
      <w:spacing w:line="360" w:lineRule="auto"/>
    </w:pPr>
    <w:rPr>
      <w:kern w:val="0"/>
      <w:sz w:val="24"/>
      <w:szCs w:val="20"/>
    </w:rPr>
  </w:style>
  <w:style w:type="paragraph" w:customStyle="1" w:styleId="112">
    <w:name w:val="xl79"/>
    <w:basedOn w:val="1"/>
    <w:qFormat/>
    <w:uiPriority w:val="0"/>
    <w:pPr>
      <w:widowControl/>
      <w:shd w:val="clear" w:color="FFFFFF" w:fill="FFFFFF"/>
      <w:spacing w:before="100" w:beforeAutospacing="1" w:after="100" w:afterAutospacing="1"/>
      <w:jc w:val="left"/>
      <w:textAlignment w:val="center"/>
    </w:pPr>
    <w:rPr>
      <w:rFonts w:ascii="宋体" w:hAnsi="宋体" w:cs="宋体"/>
      <w:color w:val="000000"/>
      <w:kern w:val="0"/>
      <w:sz w:val="24"/>
      <w:u w:val="single"/>
    </w:rPr>
  </w:style>
  <w:style w:type="paragraph" w:customStyle="1" w:styleId="113">
    <w:name w:val="xl78"/>
    <w:basedOn w:val="1"/>
    <w:qFormat/>
    <w:uiPriority w:val="0"/>
    <w:pPr>
      <w:widowControl/>
      <w:shd w:val="clear" w:color="FFFFFF" w:fill="FFFFFF"/>
      <w:spacing w:before="100" w:beforeAutospacing="1" w:after="100" w:afterAutospacing="1"/>
      <w:jc w:val="left"/>
    </w:pPr>
    <w:rPr>
      <w:rFonts w:ascii="宋体" w:hAnsi="宋体" w:cs="宋体"/>
      <w:color w:val="000000"/>
      <w:kern w:val="0"/>
      <w:sz w:val="24"/>
    </w:rPr>
  </w:style>
  <w:style w:type="table" w:customStyle="1" w:styleId="114">
    <w:name w:val="网格型1"/>
    <w:basedOn w:val="3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5">
    <w:name w:val="网格型3"/>
    <w:basedOn w:val="32"/>
    <w:qFormat/>
    <w:uiPriority w:val="5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
    <w:name w:val="网格型2"/>
    <w:basedOn w:val="32"/>
    <w:qFormat/>
    <w:uiPriority w:val="5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7">
    <w:name w:val="Body text|1"/>
    <w:basedOn w:val="1"/>
    <w:qFormat/>
    <w:uiPriority w:val="0"/>
    <w:pPr>
      <w:spacing w:line="439" w:lineRule="auto"/>
      <w:ind w:firstLine="400"/>
      <w:jc w:val="left"/>
    </w:pPr>
    <w:rPr>
      <w:rFonts w:ascii="宋体" w:hAnsi="宋体" w:cs="宋体"/>
      <w:color w:val="000000"/>
      <w:kern w:val="0"/>
      <w:sz w:val="20"/>
      <w:szCs w:val="20"/>
      <w:lang w:val="zh-TW" w:eastAsia="zh-TW" w:bidi="zh-TW"/>
    </w:rPr>
  </w:style>
  <w:style w:type="paragraph" w:customStyle="1" w:styleId="118">
    <w:name w:val="TOC Heading"/>
    <w:basedOn w:val="4"/>
    <w:next w:val="1"/>
    <w:semiHidden/>
    <w:unhideWhenUsed/>
    <w:qFormat/>
    <w:uiPriority w:val="39"/>
    <w:pPr>
      <w:widowControl/>
      <w:numPr>
        <w:numId w:val="0"/>
      </w:numPr>
      <w:spacing w:before="48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A6981B-9B67-4B98-AB17-BC8F58A5190D}">
  <ds:schemaRefs/>
</ds:datastoreItem>
</file>

<file path=docProps/app.xml><?xml version="1.0" encoding="utf-8"?>
<Properties xmlns="http://schemas.openxmlformats.org/officeDocument/2006/extended-properties" xmlns:vt="http://schemas.openxmlformats.org/officeDocument/2006/docPropsVTypes">
  <Template>Normal</Template>
  <Pages>57</Pages>
  <Words>4754</Words>
  <Characters>27103</Characters>
  <Lines>225</Lines>
  <Paragraphs>63</Paragraphs>
  <TotalTime>1</TotalTime>
  <ScaleCrop>false</ScaleCrop>
  <LinksUpToDate>false</LinksUpToDate>
  <CharactersWithSpaces>31794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2022-11-17T04:08:00Z</dcterms:created>
  <dc:creator>xb21cn</dc:creator>
  <cp:lastModifiedBy>陈黄悦</cp:lastModifiedBy>
  <dcterms:modified xsi:type="dcterms:W3CDTF">2022-11-17T08:16:06Z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